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Zbierka zákonov a medzinárodných zmlúv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Č</w:t>
      </w:r>
      <w:r>
        <w:rPr>
          <w:rFonts w:ascii="Courier New" w:hAnsi="Courier New"/>
          <w:b w:val="0"/>
          <w:sz w:val="34"/>
        </w:rPr>
        <w:t>ESKÁ REPUBLIKA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Sprístupnená 5. marca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Nariadenie vlády č. 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Nariadenie vlády, ktorým sa mení nariadenie vlády</w:t>
      </w:r>
      <w:r>
        <w:br/>
        <w:t>č. 463/2013 o zoznamoch návykových látok,</w:t>
      </w:r>
      <w:r>
        <w:br/>
        <w:t>v znení zmien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NARIADENIE VLÁDY</w:t>
      </w:r>
      <w:r>
        <w:br/>
        <w:t>zo 14. februára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ktorým sa mení nariadenie vlády č. 463/2013 Sb. o zoznamoch návykových látok, v znení zmien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Podľa § 44c ods. 1 a 2 zákona č. 167/1998 Sb. o návykových látkach a o zmene niektorých ďalších zákonov, v znení zákona č. 273/2013 Sb. a zákona č. 366/2021 Sb. vláda týmto nariaďuje: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Článok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Nariadenie vlády č. 463/2013 Sb. o zoznamoch návykových látok, v znení nariadenia vlády č. 243/2015 Sb., nariadenia vlády č. 46/2017 Sb., nariadenia vlády č. 30/2018 Sb., nariadenia vlády č. 242/2018 Sb., nariadenia vlády č. 184/2021 Sb., nariadenia vlády č. 159/2022 Sb. a nariadenia vlády č. 228/2023 Sb. sa mení takto: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V tabuľke prílohy č. 4 sa pod riadok, v ktorom je v stĺpci s názvom „Ďalší medzinárodný nechránený názov alebo ďalší všeobecný názov“ uvedený text „FUB-PB-22“, vkladá nový riadok, v ktorom je v stĺpci s názvom „Medzinárodný nechránený názov (INN) v českom jazyku/všeobecný názov“ uvedené slovo „Hexahydrokanabinol“, v stĺpci s názvom „Ďalší medzinárodný nechránený názov alebo ďalší všeobecný názov“ je uvedený text „HHC“, v stĺpci s názvom „Chemický názov podľa IUPAC“ je uvedené slovo „(6aR,10aR)-6,6,9-trimetyl-3-pentyl-6a,7,8,9,10,10a-hexahydrobenzo[c]chromen-1-ol“ a v stĺpci s názvom „Poznámka“ sú uvedené vety „S výnimkou látky HHC, ak je obsiahnutá v rastline technickej konopy, v technickej konope, konopnom výťažku a tinktúre a prípravku z technickej konopy v množstve nižšom ako 0,3 %. Táto výnimka sa nevzťahuje na potraviny.“.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V tabuľke prílohy č. 4 sa nad riadok, v ktorom je v stĺpci s názvom „Medzinárodný nechránený názov (INN) v českom jazyku/všeobecný názov“ uvedené slovo „Hexedrón“, vkladá nový riadok, v ktorom je v stĺpci s názvom „Medzinárodný nechránený názov (INN) v českom jazyku/všeobecný názov“ uvedené slovo „Hexahydrokanabinol-O-acetát“, v stĺpci s názvom „Ďalší medzinárodný nechránený názov alebo ďalší všeobecný názov“ sú uvedené slová „HHC-acetát, HHC-O“, v stĺpci s názvom „Chemický názov podľa IUPAC“ je uvedené slovo „[(6aR,10aR)-6,6,9-trimetyl-3-pentyl-6a,7,8,9,10,10a-hexahydrobenzo[c]chromen-1-yl] acetát“.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V tabuľke prílohy č. 4 sa nad riadok, v ktorom je v stĺpci s názvom „Medzinárodný nechránený názov (INN) v českom jazyku/všeobecný názov“ uvedené slovo „Tetrahydrokanabinol“, vkladá nový riadok, v ktorom je v stĺpci s názvom „Medzinárodný nechránený názov (INN) v českom jazyku/všeobecný názov“ uvedené slovo „Tetrahydrokanabiforol“, v stĺpci s názvom „Ďalší medzinárodný nechránený názov alebo ďalší všeobecný názov“ je uvedené slovo „THCP“, v stĺpci s názvom „Chemický názov podľa IUPAC“ je uvedené slovo „(6aR,10aR)-3-heptyl-6,6,9-trimetyl-6a,7,8,10a-tetrahydrobenzo[c]chromen-1-ol“ a v stĺpci s názvom „Poznámka“ sú uvedené vety „S výnimkou látky THCP, ak je obsiahnutá v rastline technickej konopy, v technickej konope, konopnom výťažku a tinktúre a prípravku z technickej konopy v množstve nižšom ako 0,3 %. Táto výnimka sa nevzťahuje na potraviny.“.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V tabuľke prílohy 4 sa vypúšťajú riadky, v ktorých je v stĺpci s názvom „Medzinárodný nechránený názov (INN) v českom jazyku/bežný názov“ uvedené slovo „Hexahydrokanabinol“, „Hexahydrokanabinol-O-acetát“ a slovo „Tetrahydrokanabiforol“.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Článok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Technický predpis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Toto nariadenie bolo oznámené v súlade so smernicou Európskeho parlamentu a Rady (EÚ) 2015/1535 z 9. septembra 2015, ktorou sa stanovuje postup pri poskytovaní informácií v oblasti technických predpisov a pravidiel vzťahujúcich sa na služby informačnej spoločnosti.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Článok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Platnosť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Toto nariadenie vlády nadobúda účinnosť dňom nasledujúcim po dni jeho vyhlásenia, s výnimkou ustanovenia článku I bodu 4, ktoré nadobúda účinnosť 1. januára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Predseda vlády: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prof. PhDr. Fiala, PhD, LL.M., v. r.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Podpredseda vlády a minister zdravotníctva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prof. Dr. Válek, CSc., MBA, EBIR, v. r.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Vydavateľ: Ministerstvo vnútra, Nad Štolou 3, PO Box 21, 170 34 Praha 7 • </w:t>
      </w:r>
      <w:r>
        <w:rPr>
          <w:b/>
        </w:rPr>
        <w:t>Redakčná kancelária Zbierky zákonov a medzinárodných zmlúv</w:t>
      </w:r>
      <w:r>
        <w:t>: Ministerstvo vnútra, nám. Hrdinů 1634/3, PO Box 155/SB, 140 21 Praha 4, telefón: 974 817 289, e-mail:</w:t>
      </w:r>
      <w:hyperlink r:id="rId10" w:history="1">
        <w:r>
          <w:t xml:space="preserve"> sbirka@mvcr.cz</w:t>
        </w:r>
      </w:hyperlink>
      <w:r>
        <w:t xml:space="preserve"> • Sadzba: Tiskárna Ministerstva vnitra [Tlačiareň ministerstva vnútra], Bartyňkova 1159/4, poštová schránka 10, 149 00 Praha 11-Chodov • </w:t>
      </w:r>
      <w:r>
        <w:rPr>
          <w:b/>
        </w:rPr>
        <w:t xml:space="preserve">Právne záväzná elektronická verzia Zbierky zákonov a medzinárodných zmlúv je k dispozícii na webovom sídle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Tlačenú verziu časti Zbierky zákonov a medzinárodných zmlúv si možno objednať v Tlačiarni ministerstva vnútra, telefón: 974 887 312, e-mail: </w:t>
      </w:r>
      <w:hyperlink r:id="rId12" w:history="1">
        <w:r>
          <w:t>info@tmv.cz</w:t>
        </w:r>
      </w:hyperlink>
      <w:r>
        <w:t xml:space="preserve"> </w:t>
      </w:r>
      <w:hyperlink r:id="rId13" w:history="1">
        <w:r>
          <w:t>www.tmv.cz</w:t>
        </w:r>
      </w:hyperlink>
      <w:r>
        <w:t xml:space="preserve"> • Predplatné končia k 1.1.2024.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7D74" w14:textId="77777777" w:rsidR="004C0DEB" w:rsidRDefault="004C0DEB">
      <w:r>
        <w:separator/>
      </w:r>
    </w:p>
  </w:endnote>
  <w:endnote w:type="continuationSeparator" w:id="0">
    <w:p w14:paraId="6A5BD481" w14:textId="77777777" w:rsidR="004C0DEB" w:rsidRDefault="004C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04A7" w14:textId="77777777" w:rsidR="004C0DEB" w:rsidRDefault="004C0DEB"/>
  </w:footnote>
  <w:footnote w:type="continuationSeparator" w:id="0">
    <w:p w14:paraId="7FAE46F4" w14:textId="77777777" w:rsidR="004C0DEB" w:rsidRDefault="004C0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Akt č.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Akt č.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Akt </w:t>
                          </w:r>
                          <w:r>
                            <w:rPr>
                              <w:i/>
                            </w:rPr>
                            <w:t>č. 52 / 2024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Akt č. 52 / 2024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4C0DEB"/>
    <w:rsid w:val="009C0046"/>
    <w:rsid w:val="00A4367D"/>
    <w:rsid w:val="00CD3059"/>
    <w:rsid w:val="00D305EA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4197</Characters>
  <Application>Microsoft Office Word</Application>
  <DocSecurity>0</DocSecurity>
  <Lines>71</Lines>
  <Paragraphs>32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2024-05-16T11:54:00Z</dcterms:created>
  <dcterms:modified xsi:type="dcterms:W3CDTF">2024-05-16T11:54:00Z</dcterms:modified>
</cp:coreProperties>
</file>