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Layout w:type="fixed"/>
        <w:tblCellMar>
          <w:left w:w="70" w:type="dxa"/>
          <w:right w:w="70" w:type="dxa"/>
        </w:tblCellMar>
        <w:tblLook w:val="0000" w:firstRow="0" w:lastRow="0" w:firstColumn="0" w:lastColumn="0" w:noHBand="0" w:noVBand="0"/>
      </w:tblPr>
      <w:tblGrid>
        <w:gridCol w:w="7370"/>
        <w:gridCol w:w="1842"/>
      </w:tblGrid>
      <w:tr w:rsidR="00155324" w:rsidRPr="00B2348E" w14:paraId="1D8BE149" w14:textId="77777777" w:rsidTr="00B96897">
        <w:trPr>
          <w:trHeight w:val="1020"/>
        </w:trPr>
        <w:tc>
          <w:tcPr>
            <w:tcW w:w="7370" w:type="dxa"/>
          </w:tcPr>
          <w:p w14:paraId="2E2949CA" w14:textId="77777777" w:rsidR="00155324" w:rsidRPr="00B2348E" w:rsidRDefault="003D03F2" w:rsidP="00507C2A">
            <w:pPr>
              <w:pStyle w:val="StyleTitelrubrikBefore20pt"/>
              <w:spacing w:before="400" w:after="100"/>
            </w:pPr>
            <w:r w:rsidRPr="00B2348E">
              <w:t>Kodeks przepisów Szwedzkiego Urzędu ds. Policji</w:t>
            </w:r>
          </w:p>
          <w:p w14:paraId="01008595" w14:textId="77777777" w:rsidR="00155324" w:rsidRPr="00B2348E" w:rsidRDefault="00155324">
            <w:pPr>
              <w:pStyle w:val="ISSNnr"/>
              <w:rPr>
                <w:noProof w:val="0"/>
              </w:rPr>
            </w:pPr>
            <w:r w:rsidRPr="00B2348E">
              <w:t>ISSN 2002-0139</w:t>
            </w:r>
          </w:p>
          <w:p w14:paraId="0C114547" w14:textId="77777777" w:rsidR="00155324" w:rsidRPr="00B2348E" w:rsidRDefault="00155324" w:rsidP="00BE4E63">
            <w:pPr>
              <w:pStyle w:val="Utgivare"/>
              <w:rPr>
                <w:noProof w:val="0"/>
              </w:rPr>
            </w:pPr>
            <w:r w:rsidRPr="00B2348E">
              <w:t>Wydawca: Gunilla Hedwall</w:t>
            </w:r>
          </w:p>
        </w:tc>
        <w:tc>
          <w:tcPr>
            <w:tcW w:w="1842" w:type="dxa"/>
          </w:tcPr>
          <w:p w14:paraId="0D9B655A" w14:textId="77777777" w:rsidR="00155324" w:rsidRPr="00B2348E" w:rsidRDefault="00A5539E" w:rsidP="00B96897">
            <w:pPr>
              <w:pStyle w:val="Tabelltext"/>
              <w:spacing w:after="40" w:line="240" w:lineRule="auto"/>
              <w:rPr>
                <w:noProof w:val="0"/>
              </w:rPr>
            </w:pPr>
            <w:r w:rsidRPr="00B2348E">
              <w:object w:dxaOrig="915" w:dyaOrig="1215" w14:anchorId="7B2EB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vartvit polislogotyp" style="width:57.75pt;height:76.2pt" o:ole="" fillcolor="window">
                  <v:imagedata r:id="rId8" o:title=""/>
                </v:shape>
                <o:OLEObject Type="Embed" ProgID="Word.Picture.8" ShapeID="_x0000_i1025" DrawAspect="Content" ObjectID="_1832997702" r:id="rId9"/>
              </w:object>
            </w:r>
          </w:p>
        </w:tc>
      </w:tr>
    </w:tbl>
    <w:p w14:paraId="1A4E7677" w14:textId="77777777" w:rsidR="00F259BB" w:rsidRPr="00B2348E" w:rsidRDefault="00F259BB" w:rsidP="008E1A7F">
      <w:pPr>
        <w:rPr>
          <w:sz w:val="2"/>
          <w:szCs w:val="2"/>
        </w:rPr>
      </w:pPr>
    </w:p>
    <w:tbl>
      <w:tblPr>
        <w:tblW w:w="0" w:type="auto"/>
        <w:tblInd w:w="68" w:type="dxa"/>
        <w:tblBorders>
          <w:bottom w:val="single" w:sz="8" w:space="0" w:color="auto"/>
        </w:tblBorders>
        <w:tblLayout w:type="fixed"/>
        <w:tblCellMar>
          <w:left w:w="70" w:type="dxa"/>
          <w:right w:w="70" w:type="dxa"/>
        </w:tblCellMar>
        <w:tblLook w:val="0000" w:firstRow="0" w:lastRow="0" w:firstColumn="0" w:lastColumn="0" w:noHBand="0" w:noVBand="0"/>
      </w:tblPr>
      <w:tblGrid>
        <w:gridCol w:w="7234"/>
        <w:gridCol w:w="1899"/>
      </w:tblGrid>
      <w:tr w:rsidR="008573E7" w:rsidRPr="00B2348E" w14:paraId="6C911AA2" w14:textId="77777777" w:rsidTr="00C51C19">
        <w:trPr>
          <w:trHeight w:val="57"/>
        </w:trPr>
        <w:tc>
          <w:tcPr>
            <w:tcW w:w="7234" w:type="dxa"/>
          </w:tcPr>
          <w:p w14:paraId="4F237342" w14:textId="77777777" w:rsidR="008573E7" w:rsidRPr="00B2348E" w:rsidRDefault="008573E7" w:rsidP="008573E7">
            <w:pPr>
              <w:pStyle w:val="Utgivare"/>
              <w:rPr>
                <w:noProof w:val="0"/>
                <w:sz w:val="2"/>
                <w:szCs w:val="2"/>
              </w:rPr>
            </w:pPr>
          </w:p>
        </w:tc>
        <w:tc>
          <w:tcPr>
            <w:tcW w:w="1899" w:type="dxa"/>
          </w:tcPr>
          <w:p w14:paraId="1E0979C4" w14:textId="77777777" w:rsidR="008573E7" w:rsidRPr="00B2348E" w:rsidRDefault="008573E7" w:rsidP="008573E7">
            <w:pPr>
              <w:pStyle w:val="Tabelltext"/>
              <w:spacing w:line="240" w:lineRule="auto"/>
              <w:rPr>
                <w:noProof w:val="0"/>
                <w:sz w:val="2"/>
                <w:szCs w:val="2"/>
              </w:rPr>
            </w:pPr>
          </w:p>
        </w:tc>
      </w:tr>
    </w:tbl>
    <w:p w14:paraId="15B7AF2B" w14:textId="77777777" w:rsidR="00155324" w:rsidRPr="00B2348E" w:rsidRDefault="00190838" w:rsidP="00946409">
      <w:pPr>
        <w:pStyle w:val="PMFSnr"/>
        <w:framePr w:w="2533" w:wrap="notBeside" w:x="8942" w:y="3010"/>
        <w:spacing w:before="240"/>
        <w:rPr>
          <w:noProof w:val="0"/>
        </w:rPr>
      </w:pPr>
      <w:r w:rsidRPr="00B2348E">
        <w:t>PMFS 2026:XX</w:t>
      </w:r>
    </w:p>
    <w:p w14:paraId="42C7B0E7" w14:textId="77777777" w:rsidR="00155324" w:rsidRPr="00B2348E" w:rsidRDefault="00155324" w:rsidP="00946409">
      <w:pPr>
        <w:pStyle w:val="FAPnr"/>
        <w:framePr w:w="2533" w:wrap="notBeside" w:x="8942" w:y="3010"/>
        <w:rPr>
          <w:noProof w:val="0"/>
        </w:rPr>
      </w:pPr>
      <w:r w:rsidRPr="00B2348E">
        <w:t>FAP 513-1</w:t>
      </w:r>
    </w:p>
    <w:p w14:paraId="01DA752C" w14:textId="24171B48" w:rsidR="00155324" w:rsidRPr="00B2348E" w:rsidRDefault="00155324" w:rsidP="00946409">
      <w:pPr>
        <w:pStyle w:val="Utkomfrantrycket"/>
        <w:framePr w:w="2533" w:wrap="notBeside" w:x="8942" w:y="3010"/>
        <w:rPr>
          <w:noProof w:val="0"/>
        </w:rPr>
      </w:pPr>
      <w:r w:rsidRPr="00B2348E">
        <w:t xml:space="preserve">Opublikowano dnia  </w:t>
      </w:r>
    </w:p>
    <w:p w14:paraId="34CDD800" w14:textId="77777777" w:rsidR="00155324" w:rsidRPr="00B2348E" w:rsidRDefault="003D03F2" w:rsidP="00813872">
      <w:pPr>
        <w:pStyle w:val="Caption"/>
        <w:rPr>
          <w:b w:val="0"/>
          <w:bCs/>
        </w:rPr>
      </w:pPr>
      <w:r w:rsidRPr="00B2348E">
        <w:t>Przepisy i zalecenia ogólne Szwedzkiego Urzędu ds. Policji dotyczące kontroli atrakcji mechanicznych w parkach rozrywki</w:t>
      </w:r>
      <w:r w:rsidR="006C67EE" w:rsidRPr="00B2348E">
        <w:rPr>
          <w:rStyle w:val="FootnoteReference"/>
          <w:bCs/>
        </w:rPr>
        <w:footnoteReference w:id="1"/>
      </w:r>
      <w:r w:rsidRPr="00B2348E">
        <w:t>;</w:t>
      </w:r>
    </w:p>
    <w:p w14:paraId="57E448A0" w14:textId="77777777" w:rsidR="00155324" w:rsidRPr="00B2348E" w:rsidRDefault="00155324">
      <w:pPr>
        <w:pStyle w:val="PMFSinledning"/>
      </w:pPr>
      <w:r w:rsidRPr="00B2348E">
        <w:t xml:space="preserve">przyjęte w dniu </w:t>
      </w:r>
      <w:r w:rsidRPr="00B2348E">
        <w:rPr>
          <w:highlight w:val="yellow"/>
        </w:rPr>
        <w:t>X 2026 r.</w:t>
      </w:r>
    </w:p>
    <w:p w14:paraId="6BC2FDAF" w14:textId="77777777" w:rsidR="00155324" w:rsidRPr="00B2348E" w:rsidRDefault="001D708E">
      <w:pPr>
        <w:pStyle w:val="PMFSmedindrag"/>
      </w:pPr>
      <w:r w:rsidRPr="00B2348E">
        <w:t>Na podstawie § 11 rozporządzenia (1993:1634) w sprawie kontroli atrakcji mechanicznych w parkach rozrywki Szwedzki Urząd ds. Policji udziela niniejszym poniższych zaleceń ogólnych.</w:t>
      </w:r>
    </w:p>
    <w:p w14:paraId="328B216E" w14:textId="77777777" w:rsidR="00155324" w:rsidRPr="00B2348E" w:rsidRDefault="006C67EE" w:rsidP="0083431A">
      <w:pPr>
        <w:pStyle w:val="PMFSrubrik2"/>
      </w:pPr>
      <w:r w:rsidRPr="00B2348E">
        <w:t>Zakres stosowania</w:t>
      </w:r>
    </w:p>
    <w:p w14:paraId="1E8E405F" w14:textId="12D6816E" w:rsidR="006C67EE" w:rsidRPr="00B2348E" w:rsidRDefault="006C67EE">
      <w:pPr>
        <w:pStyle w:val="PMFSutanindrag"/>
      </w:pPr>
      <w:r w:rsidRPr="00B2348E">
        <w:rPr>
          <w:b/>
        </w:rPr>
        <w:t>§ 1</w:t>
      </w:r>
      <w:r w:rsidR="00115CD2">
        <w:rPr>
          <w:b/>
        </w:rPr>
        <w:tab/>
      </w:r>
      <w:r w:rsidRPr="00B2348E">
        <w:t>Niniejsze przepisy i zalecenia ogólne mają zastosowanie do atrakcji mechanicznych w parkach rozrywki, o których mowa w rozdziale 2 § 13 ustawy (1993:1617) o porządku publicznym.</w:t>
      </w:r>
    </w:p>
    <w:p w14:paraId="524833F5" w14:textId="77777777" w:rsidR="006C67EE" w:rsidRPr="00B2348E" w:rsidRDefault="006C67EE" w:rsidP="006C67EE">
      <w:pPr>
        <w:pStyle w:val="Allmnnardrubrik1"/>
        <w:rPr>
          <w:noProof w:val="0"/>
        </w:rPr>
      </w:pPr>
      <w:r w:rsidRPr="00B2348E">
        <w:t>Zalecenia ogólne</w:t>
      </w:r>
    </w:p>
    <w:p w14:paraId="36FE27BB" w14:textId="299419BD" w:rsidR="006C67EE" w:rsidRPr="00B2348E" w:rsidRDefault="006C67EE" w:rsidP="006C67EE">
      <w:pPr>
        <w:pStyle w:val="Allmnnardutanindrag"/>
      </w:pPr>
      <w:r w:rsidRPr="00B2348E">
        <w:t>Pojęcie urządzeń służących do przewożenia lub przenoszenia osób w celach rozrywkowych, zawarte w rozdziale 2 § 13 ustawy o porządku publicznym, powinno obejmować urządzenia tradycyjnie spotykane w parkach rozrywki, ale także inne urządzenia, które są podobne – pod względem ryzyka i cech charakterystycznych – do tradycyjnych atrakcji mechanicznych w parkach rozrywki. Oprócz przykładów wymienionych w rozdziale 2 § 13 ustawy o porządku publicznym pojęcie to obejmuje między innymi skoki na bungee, letnie tory saneczkowe, mechaniczne byki i inne rodzaje torów przygodowych. Zjeżdżalnie wodne o wysokości spadku poniżej dwóch metrów nie są uwzględniane.</w:t>
      </w:r>
    </w:p>
    <w:p w14:paraId="4F46EFB9" w14:textId="77777777" w:rsidR="006C67EE" w:rsidRPr="00B2348E" w:rsidRDefault="006C67EE" w:rsidP="006C67EE">
      <w:pPr>
        <w:pStyle w:val="PMFSrubrik2"/>
      </w:pPr>
      <w:r w:rsidRPr="00B2348E">
        <w:t>Terminy i definicje</w:t>
      </w:r>
    </w:p>
    <w:p w14:paraId="6F676E49" w14:textId="2F5FE19D" w:rsidR="006C67EE" w:rsidRPr="00B2348E" w:rsidRDefault="006C67EE" w:rsidP="006C67EE">
      <w:pPr>
        <w:pStyle w:val="PMFSutanindrag"/>
      </w:pPr>
      <w:r w:rsidRPr="00B2348E">
        <w:rPr>
          <w:b/>
        </w:rPr>
        <w:t>§ 2</w:t>
      </w:r>
      <w:r w:rsidR="00115CD2">
        <w:rPr>
          <w:b/>
        </w:rPr>
        <w:tab/>
      </w:r>
      <w:r w:rsidRPr="00B2348E">
        <w:t>Słowa i wyrażenia użyte w niniejszych przepisach i zaleceniach ogólnych mają takie samo znaczenie jak w ustawie (1993:1617) o porządku publicznym i rozporządzeniu (1993:1634) w sprawie kontroli atrakcji mechanicznych w parkach rozrywki. Ponadto następujące terminy są zdefiniowane w następujący sposób:</w:t>
      </w:r>
    </w:p>
    <w:p w14:paraId="6DFEDDCE" w14:textId="77777777" w:rsidR="006C67EE" w:rsidRPr="00B2348E" w:rsidRDefault="006C67EE">
      <w:pPr>
        <w:pStyle w:val="PMFSutanindrag"/>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191"/>
      </w:tblGrid>
      <w:tr w:rsidR="006C67EE" w:rsidRPr="00B2348E" w14:paraId="6E6CDCF4" w14:textId="77777777" w:rsidTr="00A457AF">
        <w:tc>
          <w:tcPr>
            <w:tcW w:w="2830" w:type="dxa"/>
          </w:tcPr>
          <w:p w14:paraId="65900844" w14:textId="77777777" w:rsidR="006C67EE" w:rsidRPr="00B2348E" w:rsidRDefault="006C67EE" w:rsidP="006C67EE">
            <w:pPr>
              <w:tabs>
                <w:tab w:val="left" w:pos="168"/>
                <w:tab w:val="left" w:pos="595"/>
                <w:tab w:val="left" w:pos="3060"/>
              </w:tabs>
              <w:spacing w:after="240" w:line="292" w:lineRule="atLeast"/>
              <w:jc w:val="both"/>
            </w:pPr>
            <w:r w:rsidRPr="00B2348E">
              <w:t>Operator</w:t>
            </w:r>
          </w:p>
        </w:tc>
        <w:tc>
          <w:tcPr>
            <w:tcW w:w="4191" w:type="dxa"/>
          </w:tcPr>
          <w:p w14:paraId="619A1036" w14:textId="77777777" w:rsidR="006C67EE" w:rsidRPr="00B2348E" w:rsidRDefault="006C67EE" w:rsidP="00946409">
            <w:pPr>
              <w:tabs>
                <w:tab w:val="left" w:pos="168"/>
                <w:tab w:val="left" w:pos="595"/>
                <w:tab w:val="left" w:pos="3060"/>
              </w:tabs>
              <w:spacing w:after="240" w:line="292" w:lineRule="atLeast"/>
              <w:jc w:val="both"/>
            </w:pPr>
            <w:r w:rsidRPr="00B2348E">
              <w:t>Każdy, kto zapewnia atrakcję mechaniczną w parku rozrywki zgodnie z rozdziałem 2 § 13 ustawy (1993:1617) o porządku publicznym.</w:t>
            </w:r>
          </w:p>
        </w:tc>
      </w:tr>
      <w:tr w:rsidR="006C67EE" w:rsidRPr="00B2348E" w14:paraId="1F49452C" w14:textId="77777777" w:rsidTr="00A457AF">
        <w:tc>
          <w:tcPr>
            <w:tcW w:w="2830" w:type="dxa"/>
          </w:tcPr>
          <w:p w14:paraId="616567B6" w14:textId="77777777" w:rsidR="006C67EE" w:rsidRPr="00B2348E" w:rsidRDefault="006C67EE" w:rsidP="006C67EE">
            <w:pPr>
              <w:tabs>
                <w:tab w:val="left" w:pos="168"/>
                <w:tab w:val="left" w:pos="595"/>
                <w:tab w:val="left" w:pos="3060"/>
              </w:tabs>
              <w:spacing w:after="240" w:line="292" w:lineRule="atLeast"/>
              <w:jc w:val="both"/>
            </w:pPr>
            <w:r w:rsidRPr="00B2348E">
              <w:t>Norma szwedzka</w:t>
            </w:r>
          </w:p>
        </w:tc>
        <w:tc>
          <w:tcPr>
            <w:tcW w:w="4191" w:type="dxa"/>
          </w:tcPr>
          <w:p w14:paraId="0A48A0B0" w14:textId="77777777" w:rsidR="006C67EE" w:rsidRPr="00B2348E" w:rsidRDefault="006C67EE" w:rsidP="00946409">
            <w:pPr>
              <w:tabs>
                <w:tab w:val="left" w:pos="168"/>
                <w:tab w:val="left" w:pos="595"/>
                <w:tab w:val="left" w:pos="3060"/>
              </w:tabs>
              <w:spacing w:after="240" w:line="292" w:lineRule="atLeast"/>
              <w:jc w:val="both"/>
            </w:pPr>
            <w:r w:rsidRPr="00B2348E">
              <w:t>Norma przyjęta przez jedną z trzech szwedzkich krajowych organizacji normalizacyjnych, tj. Szwedzki Instytut Normalizacyjny (SIS), Szwedzki Instytut Normalizacyjny Energii Elektrycznej (SEK) lub Szwedzki Instytut Normalizacyjny Informacji i Telekomunikacji (ITS).</w:t>
            </w:r>
          </w:p>
        </w:tc>
      </w:tr>
      <w:tr w:rsidR="006C67EE" w:rsidRPr="00B2348E" w14:paraId="08CA4CBB" w14:textId="77777777" w:rsidTr="00A457AF">
        <w:tc>
          <w:tcPr>
            <w:tcW w:w="2830" w:type="dxa"/>
          </w:tcPr>
          <w:p w14:paraId="58EF7C87" w14:textId="77777777" w:rsidR="006C67EE" w:rsidRPr="00B2348E" w:rsidRDefault="006C67EE" w:rsidP="006C67EE">
            <w:pPr>
              <w:tabs>
                <w:tab w:val="left" w:pos="168"/>
                <w:tab w:val="left" w:pos="595"/>
                <w:tab w:val="left" w:pos="3060"/>
              </w:tabs>
              <w:spacing w:after="240" w:line="292" w:lineRule="atLeast"/>
              <w:jc w:val="both"/>
            </w:pPr>
            <w:r w:rsidRPr="00B2348E">
              <w:t>Norma europejska</w:t>
            </w:r>
          </w:p>
        </w:tc>
        <w:tc>
          <w:tcPr>
            <w:tcW w:w="4191" w:type="dxa"/>
          </w:tcPr>
          <w:p w14:paraId="7689352F" w14:textId="77777777" w:rsidR="006C67EE" w:rsidRPr="00B2348E" w:rsidRDefault="006C67EE" w:rsidP="006C67EE">
            <w:pPr>
              <w:tabs>
                <w:tab w:val="left" w:pos="168"/>
                <w:tab w:val="left" w:pos="595"/>
                <w:tab w:val="left" w:pos="3060"/>
              </w:tabs>
              <w:spacing w:after="240" w:line="292" w:lineRule="atLeast"/>
              <w:jc w:val="both"/>
            </w:pPr>
            <w:r w:rsidRPr="00B2348E">
              <w:t>Norma przyjęta przez jedną z europejskich organizacji normalizacyjnych, a mianowicie Europejski Komitet Normalizacyjny (CEN), Europejski Komitet Normalizacyjny Elektrotechniki (CENELEC) lub Europejski Instytut Norm Telekomunikacyjnych (ETSI).</w:t>
            </w:r>
          </w:p>
        </w:tc>
      </w:tr>
      <w:tr w:rsidR="006C67EE" w:rsidRPr="00B2348E" w14:paraId="424D7C18" w14:textId="77777777" w:rsidTr="00A457AF">
        <w:tc>
          <w:tcPr>
            <w:tcW w:w="2830" w:type="dxa"/>
          </w:tcPr>
          <w:p w14:paraId="53EE50C3" w14:textId="77777777" w:rsidR="006C67EE" w:rsidRPr="00B2348E" w:rsidRDefault="006C67EE" w:rsidP="006C67EE">
            <w:pPr>
              <w:tabs>
                <w:tab w:val="left" w:pos="168"/>
                <w:tab w:val="left" w:pos="595"/>
                <w:tab w:val="left" w:pos="3060"/>
              </w:tabs>
              <w:spacing w:after="240" w:line="292" w:lineRule="atLeast"/>
              <w:jc w:val="both"/>
            </w:pPr>
            <w:r w:rsidRPr="00B2348E">
              <w:t>Bieżący nadzór</w:t>
            </w:r>
          </w:p>
        </w:tc>
        <w:tc>
          <w:tcPr>
            <w:tcW w:w="4191" w:type="dxa"/>
          </w:tcPr>
          <w:p w14:paraId="789D36D5" w14:textId="77777777" w:rsidR="006C67EE" w:rsidRPr="00B2348E" w:rsidRDefault="006C67EE" w:rsidP="006C67EE">
            <w:pPr>
              <w:tabs>
                <w:tab w:val="left" w:pos="168"/>
                <w:tab w:val="left" w:pos="595"/>
                <w:tab w:val="left" w:pos="3060"/>
              </w:tabs>
              <w:spacing w:after="240" w:line="292" w:lineRule="atLeast"/>
              <w:jc w:val="both"/>
            </w:pPr>
            <w:r w:rsidRPr="00B2348E">
              <w:t xml:space="preserve">Nadzór sprawowany z częstotliwością i w zakresie uznanym za niezbędny przez operatora, z uwzględnieniem ryzyka, jakie może wiązać się z korzystaniem z atrakcji mechanicznych w parku rozrywki.  </w:t>
            </w:r>
          </w:p>
        </w:tc>
      </w:tr>
    </w:tbl>
    <w:p w14:paraId="319E8228" w14:textId="77777777" w:rsidR="00232D95" w:rsidRPr="00B2348E" w:rsidRDefault="00232D95" w:rsidP="00232D95">
      <w:pPr>
        <w:pStyle w:val="PMFSrubrik2"/>
      </w:pPr>
      <w:r w:rsidRPr="00B2348E">
        <w:t>Odpowiednie zabezpieczenia</w:t>
      </w:r>
    </w:p>
    <w:p w14:paraId="28F3FF6A" w14:textId="3435B826" w:rsidR="006C67EE" w:rsidRPr="00B2348E" w:rsidRDefault="00232D95" w:rsidP="00232D95">
      <w:pPr>
        <w:pStyle w:val="PMFSutanindrag"/>
      </w:pPr>
      <w:r w:rsidRPr="00B2348E">
        <w:rPr>
          <w:b/>
        </w:rPr>
        <w:t>§ 3</w:t>
      </w:r>
      <w:r w:rsidR="00115CD2">
        <w:rPr>
          <w:b/>
        </w:rPr>
        <w:tab/>
      </w:r>
      <w:r w:rsidRPr="00B2348E">
        <w:t>Zgodnie z rozdziałem 2 § 13 ustawy (1993:1617) o porządku publicznym atrakcje mechaniczne w parkach rozrywki mogą być udostępniane użytkownikom wyłącznie pod warunkiem zapewnienia odpowiednich zabezpieczeń.</w:t>
      </w:r>
    </w:p>
    <w:p w14:paraId="339A58E7" w14:textId="77777777" w:rsidR="00232D95" w:rsidRPr="00B2348E" w:rsidRDefault="00232D95" w:rsidP="00232D95">
      <w:pPr>
        <w:pStyle w:val="Allmnnardrubrik1"/>
        <w:rPr>
          <w:noProof w:val="0"/>
        </w:rPr>
      </w:pPr>
      <w:r w:rsidRPr="00B2348E">
        <w:t xml:space="preserve">Zalecenia ogólne </w:t>
      </w:r>
    </w:p>
    <w:p w14:paraId="43517620" w14:textId="77777777" w:rsidR="00232D95" w:rsidRPr="00B2348E" w:rsidRDefault="00232D95" w:rsidP="00232D95">
      <w:pPr>
        <w:pStyle w:val="Allmnnardutanindrag"/>
      </w:pPr>
      <w:r w:rsidRPr="00B2348E">
        <w:t xml:space="preserve">Należy uznać, że odpowiedzialność operatora wynikająca z rozdziału 2 § 13 ustawy o porządku publicznym obejmuje wszystkie środki niezbędne do zapewnienia odpowiednich zabezpieczeń atrakcji mechanicznej w parku rozrywki. Chodzi przy tym między innymi o następujące kwestie: </w:t>
      </w:r>
    </w:p>
    <w:p w14:paraId="272D8C28" w14:textId="77777777" w:rsidR="00232D95" w:rsidRPr="00B2348E" w:rsidRDefault="00232D95" w:rsidP="00232D95">
      <w:pPr>
        <w:pStyle w:val="Allmnnardplistastreck"/>
      </w:pPr>
      <w:r w:rsidRPr="00B2348E">
        <w:t xml:space="preserve">zadbanie o to, aby personel zajmujący się konserwacją lub obsługą atrakcji mechanicznej parku rozrywki posiadał </w:t>
      </w:r>
      <w:r w:rsidRPr="00B2348E">
        <w:lastRenderedPageBreak/>
        <w:t xml:space="preserve">niezbędne przeszkolenie i doświadczenie w celu zapewnienia odpowiednich zabezpieczeń atrakcji mechanicznej;  </w:t>
      </w:r>
    </w:p>
    <w:p w14:paraId="1966AEE7" w14:textId="77777777" w:rsidR="006C67EE" w:rsidRPr="00B2348E" w:rsidRDefault="00232D95" w:rsidP="00232D95">
      <w:pPr>
        <w:pStyle w:val="Allmnnardplistastreck"/>
      </w:pPr>
      <w:r w:rsidRPr="00B2348E">
        <w:t>posiadanie systemu monitorowania własnej działalności wraz z powiązaną dokumentacją, aby zapewnić, że atrakcja mechaniczna w parku rozrywki posiada odpowiednie zabezpieczenia. Monitorowanie własnej działalności powinno obejmować bieżący nadzór. Monitorowanie własnej działalności powinno również obejmować kontrolę montażu przed ponownym udostępnieniem atrakcji mechanicznej w parku rozrywki użytkownikom po jej demontażu i ponownym montażu lub przeniesieniu w nowe miejsce. Kontrola montażu obejmuje sprawdzenie, czy atrakcja mechaniczna jest ustawiona zgodnie z ustaleniami zawartymi w kontroli wstępnej lub kontroli audytowej.</w:t>
      </w:r>
    </w:p>
    <w:p w14:paraId="166F1C73" w14:textId="77777777" w:rsidR="00E67E3D" w:rsidRPr="00B2348E" w:rsidRDefault="00E67E3D" w:rsidP="00E67E3D">
      <w:pPr>
        <w:pStyle w:val="PMFSrubrik2"/>
      </w:pPr>
      <w:r w:rsidRPr="00B2348E">
        <w:t>Wymagania dotyczące atrakcji mechanicznych w parkach rozrywki</w:t>
      </w:r>
    </w:p>
    <w:p w14:paraId="3FA31AA7" w14:textId="78583223" w:rsidR="00E67E3D" w:rsidRPr="00B2348E" w:rsidRDefault="00E67E3D" w:rsidP="00E67E3D">
      <w:pPr>
        <w:pStyle w:val="PMFSutanindrag"/>
      </w:pPr>
      <w:r w:rsidRPr="00B2348E">
        <w:rPr>
          <w:b/>
        </w:rPr>
        <w:t>§ 4</w:t>
      </w:r>
      <w:r w:rsidR="00115CD2">
        <w:rPr>
          <w:b/>
        </w:rPr>
        <w:tab/>
      </w:r>
      <w:r w:rsidRPr="00B2348E">
        <w:t xml:space="preserve">Tylko te atrakcje mechaniczne w parkach rozrywki, które spełniają przynajmniej wymagania poniższych norm, uznaje się za posiadające odpowiednie zabezpieczenia:  </w:t>
      </w:r>
    </w:p>
    <w:p w14:paraId="6F425F51" w14:textId="77777777" w:rsidR="00E67E3D" w:rsidRPr="00B2348E" w:rsidRDefault="00E67E3D" w:rsidP="00E67E3D">
      <w:pPr>
        <w:pStyle w:val="PMFSplistasiffra"/>
      </w:pPr>
      <w:r w:rsidRPr="00B2348E">
        <w:t>Bezpieczeństwo atrakcji mechanicznych i urządzeń rozrywkowych – Część 1: Projektowanie i produkcja (SS-EN 13814-1: 2019 + A1: 2024);</w:t>
      </w:r>
    </w:p>
    <w:p w14:paraId="604FA0C8" w14:textId="77777777" w:rsidR="00E67E3D" w:rsidRPr="00B2348E" w:rsidRDefault="00E67E3D" w:rsidP="00E67E3D">
      <w:pPr>
        <w:pStyle w:val="PMFSplistasiffra"/>
      </w:pPr>
      <w:r w:rsidRPr="00B2348E">
        <w:t xml:space="preserve">Bezpieczeństwo atrakcji mechanicznych i urządzeń rozrywkowych – Część 2: Obsługa, konserwacja i użytkowanie (SS-EN 13814-2:2019 +A1:2024); </w:t>
      </w:r>
    </w:p>
    <w:p w14:paraId="69D80A52" w14:textId="77777777" w:rsidR="00E67E3D" w:rsidRPr="00B2348E" w:rsidRDefault="00E67E3D" w:rsidP="00E67E3D">
      <w:pPr>
        <w:pStyle w:val="PMFSplistasiffra"/>
      </w:pPr>
      <w:r w:rsidRPr="00B2348E">
        <w:t xml:space="preserve">Bezpieczeństwo atrakcji mechanicznych i urządzeń rozrywkowych – Część 3: Wymagania dotyczące kontroli podczas projektowania, produkcji, obsługi i użytkowania (SS-EN 13814-3:2019 A1:2024); </w:t>
      </w:r>
    </w:p>
    <w:p w14:paraId="2010DAAF" w14:textId="77777777" w:rsidR="00E67E3D" w:rsidRPr="00B2348E" w:rsidRDefault="00E67E3D" w:rsidP="00E67E3D">
      <w:pPr>
        <w:pStyle w:val="PMFSplistasiffra"/>
      </w:pPr>
      <w:r w:rsidRPr="00B2348E">
        <w:t>Bezpieczeństwo maszyn – Wyposażenie elektryczne maszyn – Część 1: Wymagania ogólne (SS-EN 60204-1: 2018 + A1: 2025);</w:t>
      </w:r>
    </w:p>
    <w:p w14:paraId="41A23ED2" w14:textId="77777777" w:rsidR="00E67E3D" w:rsidRPr="00B2348E" w:rsidRDefault="00E67E3D" w:rsidP="00E67E3D">
      <w:pPr>
        <w:pStyle w:val="PMFSplistasiffra"/>
      </w:pPr>
      <w:r w:rsidRPr="00B2348E">
        <w:t>Bezpieczeństwo maszyn – Wyposażenie elektryczne maszyn – Część 11: Wymagania dla urządzeń o napięciu powyżej 1000 V AC lub 1500 V DC i nieprzekraczającym 36 kV (EN 11-60204: 2019);</w:t>
      </w:r>
    </w:p>
    <w:p w14:paraId="0850D090" w14:textId="77777777" w:rsidR="00E67E3D" w:rsidRPr="00B2348E" w:rsidRDefault="00E67E3D" w:rsidP="00E67E3D">
      <w:pPr>
        <w:pStyle w:val="PMFSplistasiffra"/>
      </w:pPr>
      <w:r w:rsidRPr="00B2348E">
        <w:t xml:space="preserve">Zjeżdżalnie wodne – Część 1: Wymagania bezpieczeństwa i metody badań (SS-EN 1069-1:2017+A1:2019); oraz </w:t>
      </w:r>
    </w:p>
    <w:p w14:paraId="1F5DE8B9" w14:textId="77777777" w:rsidR="00E67E3D" w:rsidRPr="00B2348E" w:rsidRDefault="00E67E3D" w:rsidP="00E67E3D">
      <w:pPr>
        <w:pStyle w:val="PMFSplistasiffra"/>
      </w:pPr>
      <w:r w:rsidRPr="00B2348E">
        <w:t xml:space="preserve">Zjeżdżalnie wodne – Część 2: Instrukcje (SS-EN 1069-2:2017). </w:t>
      </w:r>
    </w:p>
    <w:p w14:paraId="70B5D4D3" w14:textId="2AE1D554" w:rsidR="00E67E3D" w:rsidRPr="00B2348E" w:rsidRDefault="00E67E3D" w:rsidP="00E67E3D">
      <w:pPr>
        <w:pStyle w:val="PMFSmedindrag"/>
      </w:pPr>
      <w:r w:rsidRPr="00B2348E">
        <w:t xml:space="preserve">Ponadto operator musi podjąć na atrakcji mechanicznej parku rozrywki środki zalecane przez producenta atrakcji (biuletyny).  </w:t>
      </w:r>
    </w:p>
    <w:p w14:paraId="0AB297C5" w14:textId="0F22260E" w:rsidR="00E67E3D" w:rsidRPr="00B2348E" w:rsidRDefault="00E67E3D" w:rsidP="00E67E3D">
      <w:pPr>
        <w:pStyle w:val="PMFSutanindrag"/>
      </w:pPr>
      <w:r w:rsidRPr="00B2348E">
        <w:rPr>
          <w:b/>
        </w:rPr>
        <w:t>§ 5</w:t>
      </w:r>
      <w:r w:rsidR="00115CD2">
        <w:rPr>
          <w:b/>
        </w:rPr>
        <w:tab/>
      </w:r>
      <w:r w:rsidRPr="00B2348E">
        <w:t xml:space="preserve">Atrakcję mechaniczną w parku rozrywki można również uznać za posiadającą odpowiednie zabezpieczenia, jeżeli zamiast środków określonych w § 4 akapit pierwszy pkt 1 i 6 oraz w § 4 akapit pierwszy </w:t>
      </w:r>
      <w:r w:rsidRPr="00B2348E">
        <w:lastRenderedPageBreak/>
        <w:t xml:space="preserve">pkt 3, dotyczących kontroli podczas projektowania i produkcji, spełnia ona następujące wymagania: </w:t>
      </w:r>
    </w:p>
    <w:p w14:paraId="00751073" w14:textId="77777777" w:rsidR="00E67E3D" w:rsidRPr="00B2348E" w:rsidRDefault="00E67E3D" w:rsidP="00E67E3D">
      <w:pPr>
        <w:pStyle w:val="PMFSplistasiffra"/>
        <w:numPr>
          <w:ilvl w:val="0"/>
          <w:numId w:val="28"/>
        </w:numPr>
      </w:pPr>
      <w:r w:rsidRPr="00B2348E">
        <w:t xml:space="preserve">Atrakcja mechaniczna w parku rozrywki spełnia przynajmniej wymagania normy szwedzkiej lub europejskiej dotyczącej atrakcji mechanicznych w parkach rozrywki, która obowiązywała w dniu kontroli wstępnej atrakcji mechanicznej. Jeżeli atrakcja mechaniczna została poddana kontroli audytowej, powinna spełniać przynajmniej wymagania normy obowiązującej w momencie zatwierdzenia atrakcji podczas ostatniej kontroli audytowej. Jednak normy starsze niż SS-EN 1069-1:2010 dotyczące zjeżdżalni wodnych i SS 767 70 01 dotyczące innych atrakcji mechanicznych w parkach rozrywki nie są już ważne. </w:t>
      </w:r>
    </w:p>
    <w:p w14:paraId="2604C1E1" w14:textId="77777777" w:rsidR="00E67E3D" w:rsidRPr="00B2348E" w:rsidRDefault="00E67E3D" w:rsidP="00E67E3D">
      <w:pPr>
        <w:pStyle w:val="PMFSplistasiffra"/>
      </w:pPr>
      <w:r w:rsidRPr="00B2348E">
        <w:t>Jeżeli atrakcja mechaniczna w parku rozrywki została zmodyfikowana bez przeprowadzenia kontroli audytowej, wymagania normy szwedzkiej lub europejskiej dotyczącej atrakcji mechanicznych w parkach rozrywki, obowiązującej w momencie modyfikacji, muszą być spełnione w odniesieniu do modyfikacji, jeśli oznacza to, że atrakcja będzie równie bezpieczna lub bezpieczniejsza.</w:t>
      </w:r>
    </w:p>
    <w:p w14:paraId="1F8E8DC3" w14:textId="77777777" w:rsidR="00E67E3D" w:rsidRPr="00B2348E" w:rsidRDefault="00E67E3D" w:rsidP="00E67E3D">
      <w:pPr>
        <w:pStyle w:val="PMFSplistasiffra"/>
      </w:pPr>
      <w:r w:rsidRPr="00B2348E">
        <w:t>Operator podjął środki, które mogą być racjonalnie wymagane w celu zapewnienia, aby atrakcja mechaniczna w parku rozrywki spełniała wymagania określone w § 4 akapit pierwszy pkt 1 i 6.</w:t>
      </w:r>
    </w:p>
    <w:p w14:paraId="3AE13996" w14:textId="77777777" w:rsidR="00717CB3" w:rsidRPr="00B2348E" w:rsidRDefault="008F6E4A" w:rsidP="00360227">
      <w:pPr>
        <w:pStyle w:val="PMFSmedindrag"/>
      </w:pPr>
      <w:r w:rsidRPr="00B2348E">
        <w:t xml:space="preserve">Ponadto należy spełnić wymagania określone w § 4 akapit pierwszy pkt 2, 4–5 i 7, wymagania określone w § 4 akapit pierwszy pkt 3, dotyczące kontroli podczas konserwacji i użytkowania oraz wymagania określone w § 4 akapit drugi. </w:t>
      </w:r>
    </w:p>
    <w:p w14:paraId="6D6AF31D" w14:textId="77777777" w:rsidR="00717CB3" w:rsidRPr="00B2348E" w:rsidRDefault="00717CB3" w:rsidP="00717CB3">
      <w:pPr>
        <w:pStyle w:val="Allmnnardrubrik1"/>
        <w:rPr>
          <w:noProof w:val="0"/>
        </w:rPr>
      </w:pPr>
      <w:r w:rsidRPr="00B2348E">
        <w:t xml:space="preserve">Zalecenia ogólne </w:t>
      </w:r>
    </w:p>
    <w:p w14:paraId="3AFD89EF" w14:textId="77777777" w:rsidR="00E67E3D" w:rsidRPr="00B2348E" w:rsidRDefault="00717CB3" w:rsidP="00717CB3">
      <w:pPr>
        <w:pStyle w:val="Allmnnardutanindrag"/>
      </w:pPr>
      <w:r w:rsidRPr="00B2348E">
        <w:t>Środki, które mogą być racjonalnie wymagane na podstawie § 5 akapit pierwszy pkt 3, powinny na przykład obejmować środki mające na celu zapewnienie integralności struktury i inne środki ograniczające ryzyko.</w:t>
      </w:r>
    </w:p>
    <w:p w14:paraId="2BA16CF8" w14:textId="1E58FBD6" w:rsidR="00E67E3D" w:rsidRPr="00B2348E" w:rsidRDefault="00717CB3" w:rsidP="00717CB3">
      <w:pPr>
        <w:pStyle w:val="PMFSutanindrag"/>
      </w:pPr>
      <w:r w:rsidRPr="00B2348E">
        <w:rPr>
          <w:b/>
        </w:rPr>
        <w:t>§ 6</w:t>
      </w:r>
      <w:r w:rsidR="00115CD2">
        <w:rPr>
          <w:b/>
        </w:rPr>
        <w:tab/>
      </w:r>
      <w:r w:rsidRPr="00B2348E">
        <w:t>Do celów niniejszych przepisów i zaleceń ogólnych atrakcja mechaniczna w parku rozrywki, która spełnia wymagania normy szwedzkiej lub europejskiej, jest uważana za równoważną atrakcji, którą organ kontrolny uznaje za zapewniającą przynajmniej taki sam poziom bezpieczeństwa.</w:t>
      </w:r>
    </w:p>
    <w:p w14:paraId="66F4D749" w14:textId="6963FE48" w:rsidR="00717CB3" w:rsidRPr="00B2348E" w:rsidRDefault="00717CB3" w:rsidP="00717CB3">
      <w:pPr>
        <w:pStyle w:val="PMFSutanindrag"/>
      </w:pPr>
      <w:r w:rsidRPr="00B2348E">
        <w:rPr>
          <w:b/>
        </w:rPr>
        <w:t>§ 7</w:t>
      </w:r>
      <w:r w:rsidR="00115CD2">
        <w:rPr>
          <w:b/>
        </w:rPr>
        <w:tab/>
      </w:r>
      <w:r w:rsidRPr="00B2348E">
        <w:t xml:space="preserve">Operator prowadzi dziennik dla każdej atrakcji mechanicznej w parku rozrywki, którą oferuje. Dziennik dołącza się do atrakcji mechanicznych. Dziennik zawiera: </w:t>
      </w:r>
    </w:p>
    <w:p w14:paraId="59F3F2B2" w14:textId="77777777" w:rsidR="00717CB3" w:rsidRPr="00B2348E" w:rsidRDefault="00717CB3" w:rsidP="00717CB3">
      <w:pPr>
        <w:pStyle w:val="PMFSplistasiffra"/>
        <w:numPr>
          <w:ilvl w:val="0"/>
          <w:numId w:val="29"/>
        </w:numPr>
      </w:pPr>
      <w:r w:rsidRPr="00B2348E">
        <w:t xml:space="preserve">informacje o wszystkich numerach rejestracyjnych przypisanych do atrakcji mechanicznej w parku rozrywki, zarówno przez organ kontrolny przeprowadzający obecnie kontrolę, jak i przez wszelkie poprzednie organy kontrolne;  </w:t>
      </w:r>
    </w:p>
    <w:p w14:paraId="7EB27512" w14:textId="77777777" w:rsidR="00717CB3" w:rsidRPr="00B2348E" w:rsidRDefault="00717CB3" w:rsidP="00717CB3">
      <w:pPr>
        <w:pStyle w:val="PMFSplistasiffra"/>
      </w:pPr>
      <w:r w:rsidRPr="00B2348E">
        <w:lastRenderedPageBreak/>
        <w:t xml:space="preserve">zdjęcie atrakcji mechanicznej w parku rozrywki w stanie, w jakim znajdowała się w momencie przeprowadzenia wstępnej lub ostatniej kontroli audytowej; </w:t>
      </w:r>
    </w:p>
    <w:p w14:paraId="1F422EA6" w14:textId="77777777" w:rsidR="00717CB3" w:rsidRPr="00B2348E" w:rsidRDefault="00717CB3" w:rsidP="00717CB3">
      <w:pPr>
        <w:pStyle w:val="PMFSplistasiffra"/>
      </w:pPr>
      <w:r w:rsidRPr="00B2348E">
        <w:t xml:space="preserve">informacje o wszelkich modyfikacjach, przebudowach i innych środkach podjętych w atrakcji mechanicznej;  </w:t>
      </w:r>
    </w:p>
    <w:p w14:paraId="49045A90" w14:textId="77777777" w:rsidR="00717CB3" w:rsidRPr="00B2348E" w:rsidRDefault="00717CB3" w:rsidP="00717CB3">
      <w:pPr>
        <w:pStyle w:val="PMFSplistasiffra"/>
      </w:pPr>
      <w:r w:rsidRPr="00B2348E">
        <w:t xml:space="preserve">informacje o zdarzeniach, które mogły mieć wpływ na bezpieczeństwo atrakcji mechanicznej w parku rozrywki w zakresie działania z użytkownikami; </w:t>
      </w:r>
    </w:p>
    <w:p w14:paraId="4713325C" w14:textId="77777777" w:rsidR="00717CB3" w:rsidRPr="00B2348E" w:rsidRDefault="00717CB3" w:rsidP="00717CB3">
      <w:pPr>
        <w:pStyle w:val="PMFSplistasiffra"/>
      </w:pPr>
      <w:r w:rsidRPr="00B2348E">
        <w:t xml:space="preserve">świadectwo dopuszczenia wydane w wyniku kontroli wstępnej; </w:t>
      </w:r>
    </w:p>
    <w:p w14:paraId="467FCA6A" w14:textId="77777777" w:rsidR="00717CB3" w:rsidRPr="00B2348E" w:rsidRDefault="00717CB3" w:rsidP="00717CB3">
      <w:pPr>
        <w:pStyle w:val="PMFSplistasiffra"/>
      </w:pPr>
      <w:r w:rsidRPr="00B2348E">
        <w:t xml:space="preserve">ostatnie świadectwo dopuszczenia; </w:t>
      </w:r>
    </w:p>
    <w:p w14:paraId="2F8519ED" w14:textId="3C1EFE74" w:rsidR="00717CB3" w:rsidRPr="00B2348E" w:rsidRDefault="00717CB3" w:rsidP="00717CB3">
      <w:pPr>
        <w:pStyle w:val="PMFSplistasiffra"/>
      </w:pPr>
      <w:r w:rsidRPr="00B2348E">
        <w:t xml:space="preserve">informacje o tym, czy dokonano powiadomienia zgodnie z § 23 niniejszych przepisów; </w:t>
      </w:r>
    </w:p>
    <w:p w14:paraId="204075A3" w14:textId="77777777" w:rsidR="00717CB3" w:rsidRPr="00B2348E" w:rsidRDefault="00717CB3" w:rsidP="00717CB3">
      <w:pPr>
        <w:pStyle w:val="PMFSplistasiffra"/>
      </w:pPr>
      <w:r w:rsidRPr="00B2348E">
        <w:t xml:space="preserve">instrukcje dotyczące sposobu montażu, monitorowania własnej działalności, obsługi, serwisowania i konserwacji, a także listę kontrolną w tym zakresie; </w:t>
      </w:r>
    </w:p>
    <w:p w14:paraId="63EDAE34" w14:textId="77777777" w:rsidR="00717CB3" w:rsidRPr="00B2348E" w:rsidRDefault="00717CB3" w:rsidP="00717CB3">
      <w:pPr>
        <w:pStyle w:val="PMFSplistasiffra"/>
      </w:pPr>
      <w:r w:rsidRPr="00B2348E">
        <w:t>informacje o tym, którzy pracownicy są uprawnieni do montażu, monitorowania własnej działalności, obsługi, serwisowania i konserwacji atrakcji mechanicznej, oraz dokumentację potwierdzającą wiedzę tych pracowników w tym zakresie, a także</w:t>
      </w:r>
    </w:p>
    <w:p w14:paraId="3040DF60" w14:textId="77777777" w:rsidR="00E67E3D" w:rsidRPr="00B2348E" w:rsidRDefault="00717CB3" w:rsidP="00717CB3">
      <w:pPr>
        <w:pStyle w:val="PMFSplistasiffra"/>
      </w:pPr>
      <w:r w:rsidRPr="00B2348E">
        <w:t xml:space="preserve">informacje na temat harmonogramu i wyników monitorowania własnej działalności.  </w:t>
      </w:r>
    </w:p>
    <w:p w14:paraId="43C64196" w14:textId="77777777" w:rsidR="00717CB3" w:rsidRPr="00B2348E" w:rsidRDefault="00717CB3" w:rsidP="00717CB3">
      <w:pPr>
        <w:pStyle w:val="PMFSmedindrag"/>
      </w:pPr>
      <w:r w:rsidRPr="00B2348E">
        <w:t>W przypadku braku wpisów w dzienniku operator przedstawia dokumentację zastępczą opisującą konstrukcję, montaż, zabezpieczenia i system konserwacji atrakcji mechanicznej. Dokumentacja musi być wystarczająca do oceny bezpieczeństwa atrakcji mechanicznej i przeprowadzenia kontroli.</w:t>
      </w:r>
    </w:p>
    <w:p w14:paraId="27CEFDEC" w14:textId="77777777" w:rsidR="00717CB3" w:rsidRPr="00B2348E" w:rsidRDefault="00717CB3" w:rsidP="00717CB3">
      <w:pPr>
        <w:pStyle w:val="PMFSrubrik2"/>
      </w:pPr>
      <w:r w:rsidRPr="00B2348E">
        <w:t xml:space="preserve">Kontrola </w:t>
      </w:r>
    </w:p>
    <w:p w14:paraId="4AF005D3" w14:textId="0633753E" w:rsidR="00717CB3" w:rsidRPr="00B2348E" w:rsidRDefault="00717CB3" w:rsidP="00717CB3">
      <w:pPr>
        <w:pStyle w:val="PMFSutanindrag"/>
      </w:pPr>
      <w:r w:rsidRPr="00B2348E">
        <w:rPr>
          <w:b/>
        </w:rPr>
        <w:t>§ 8</w:t>
      </w:r>
      <w:r w:rsidR="00115CD2">
        <w:rPr>
          <w:b/>
        </w:rPr>
        <w:tab/>
      </w:r>
      <w:r w:rsidRPr="00B2348E">
        <w:t>Zgodnie z rozdziałem 2 § 13 ustawy (1993:1617) o porządku publicznym atrakcje mechaniczne w parku rozrywki mogą być udostępniane użytkownikom wyłącznie po przejściu kontroli.</w:t>
      </w:r>
    </w:p>
    <w:p w14:paraId="751C473E" w14:textId="77777777" w:rsidR="00717CB3" w:rsidRPr="00B2348E" w:rsidRDefault="00717CB3" w:rsidP="00717CB3">
      <w:pPr>
        <w:pStyle w:val="PMFSmedindrag"/>
      </w:pPr>
      <w:r w:rsidRPr="00B2348E">
        <w:t>Operator jest odpowiedzialny za zapewnienie, aby kontrole były przeprowadzane zgodnie z przepisami rozporządzenia (1993:1634) w sprawie kontroli atrakcji mechanicznych w parkach rozrywki oraz niniejszymi rozporządzeniami i zaleceniami ogólnymi.</w:t>
      </w:r>
    </w:p>
    <w:p w14:paraId="58E5FC53" w14:textId="77777777" w:rsidR="00717CB3" w:rsidRPr="00B2348E" w:rsidRDefault="00717CB3" w:rsidP="00717CB3">
      <w:pPr>
        <w:pStyle w:val="PMFSutanindrag"/>
      </w:pPr>
    </w:p>
    <w:p w14:paraId="0A0DDE16" w14:textId="5E9C9C9E" w:rsidR="00717CB3" w:rsidRPr="00B2348E" w:rsidRDefault="00717CB3" w:rsidP="00717CB3">
      <w:pPr>
        <w:pStyle w:val="PMFSutanindrag"/>
      </w:pPr>
      <w:r w:rsidRPr="00B2348E">
        <w:rPr>
          <w:b/>
        </w:rPr>
        <w:t>§ 9</w:t>
      </w:r>
      <w:r w:rsidR="00115CD2">
        <w:rPr>
          <w:b/>
        </w:rPr>
        <w:tab/>
      </w:r>
      <w:r w:rsidRPr="00B2348E">
        <w:t xml:space="preserve">§ 4 rozporządzenia (1993:1634) w sprawie kontroli atrakcji mechanicznych w parkach rozrywki stanowi, że organ kontrolny sprawdza, czy atrakcja mechaniczna w parku rozrywki została skonstruowana zgodnie z obowiązującymi przepisami i czy pod innymi względami jest zadowalająca z punktu widzenia bezpieczeństwa. </w:t>
      </w:r>
    </w:p>
    <w:p w14:paraId="510DB4FA" w14:textId="77777777" w:rsidR="00717CB3" w:rsidRPr="00B2348E" w:rsidRDefault="00717CB3" w:rsidP="00717CB3">
      <w:pPr>
        <w:pStyle w:val="PMFSmedindrag"/>
      </w:pPr>
      <w:r w:rsidRPr="00B2348E">
        <w:t>Celem kontroli jest sprawdzenie, czy atrakcja mechaniczna w parku rozrywki jest skonstruowana, poddawana bieżącemu nadzorowi i konserwowana w sposób zapewniający odpowiednie zabezpieczenia.</w:t>
      </w:r>
    </w:p>
    <w:p w14:paraId="15E4C37F" w14:textId="2F92FC51" w:rsidR="00717CB3" w:rsidRPr="00B2348E" w:rsidRDefault="00717CB3" w:rsidP="00717CB3">
      <w:pPr>
        <w:pStyle w:val="PMFSutanindrag"/>
      </w:pPr>
      <w:r w:rsidRPr="00B2348E">
        <w:rPr>
          <w:b/>
        </w:rPr>
        <w:lastRenderedPageBreak/>
        <w:t>§ 10</w:t>
      </w:r>
      <w:r w:rsidR="00115CD2">
        <w:rPr>
          <w:b/>
        </w:rPr>
        <w:tab/>
      </w:r>
      <w:r w:rsidRPr="00B2348E">
        <w:t xml:space="preserve">Kontrolę przeprowadza organ kontrolny akredytowany jako organ kontrolny typu A zgodnie z normą SS-EN ISO/IEC 17020:2012 w obszarze akredytacji atrakcji mechanicznych w parkach rozrywki lub organ kontrolny w innym państwie Europejskiego Obszaru Gospodarczego, który spełnia odpowiednie wymagania. </w:t>
      </w:r>
    </w:p>
    <w:p w14:paraId="042CAF77" w14:textId="08A3249B" w:rsidR="00717CB3" w:rsidRPr="00B2348E" w:rsidRDefault="00717CB3" w:rsidP="00717CB3">
      <w:pPr>
        <w:pStyle w:val="PMFSutanindrag"/>
      </w:pPr>
      <w:r w:rsidRPr="00B2348E">
        <w:rPr>
          <w:b/>
        </w:rPr>
        <w:t>§ 11</w:t>
      </w:r>
      <w:r w:rsidR="00115CD2">
        <w:rPr>
          <w:b/>
        </w:rPr>
        <w:tab/>
      </w:r>
      <w:r w:rsidRPr="00B2348E">
        <w:t>Przeprowadzając kontrolę, organ kontrolny sprawdza, czy operator zlecił właściwy rodzaj kontroli, i informuje operatora, czy należało zlecić inny rodzaj kontroli. Kontrole opierają się na informacjach zawartych w dzienniku atrakcji mechanicznej w parku rozrywki.</w:t>
      </w:r>
    </w:p>
    <w:p w14:paraId="415410EB" w14:textId="63983C1A" w:rsidR="00717CB3" w:rsidRPr="00B2348E" w:rsidRDefault="00717CB3" w:rsidP="00717CB3">
      <w:pPr>
        <w:pStyle w:val="PMFSutanindrag"/>
      </w:pPr>
      <w:r w:rsidRPr="00B2348E">
        <w:rPr>
          <w:b/>
        </w:rPr>
        <w:t>§ 12</w:t>
      </w:r>
      <w:r w:rsidR="00115CD2">
        <w:rPr>
          <w:b/>
        </w:rPr>
        <w:tab/>
      </w:r>
      <w:r w:rsidRPr="00B2348E">
        <w:t>Jeśli atrakcja mechaniczna w parku rozrywki składa się z różnych połączonych ze sobą części, na przykład gdy dźwig mobilny jest połączony z platformą lub robot przemysłowy jest połączony z siedzeniem użytkownika, całą atrakcję poddaje się kontroli jako jedną całość.</w:t>
      </w:r>
    </w:p>
    <w:p w14:paraId="5119D30C" w14:textId="498DA7D8" w:rsidR="00717CB3" w:rsidRPr="00B2348E" w:rsidRDefault="00717CB3" w:rsidP="00717CB3">
      <w:pPr>
        <w:pStyle w:val="PMFSutanindrag"/>
      </w:pPr>
      <w:r w:rsidRPr="00B2348E">
        <w:rPr>
          <w:b/>
        </w:rPr>
        <w:t>§ 13</w:t>
      </w:r>
      <w:r w:rsidR="00115CD2">
        <w:rPr>
          <w:b/>
        </w:rPr>
        <w:tab/>
      </w:r>
      <w:r w:rsidRPr="00B2348E">
        <w:t>Podczas kontroli operator przedstawia organowi kontrolnemu dziennik atrakcji mechanicznej w parku rozrywki.</w:t>
      </w:r>
    </w:p>
    <w:p w14:paraId="66C25EBB" w14:textId="77777777" w:rsidR="00AF4D48" w:rsidRPr="00B2348E" w:rsidRDefault="00AF4D48" w:rsidP="00AF4D48">
      <w:pPr>
        <w:pStyle w:val="PMFSrubrik3b"/>
      </w:pPr>
      <w:r w:rsidRPr="00B2348E">
        <w:t>Kontrola wstępna</w:t>
      </w:r>
    </w:p>
    <w:p w14:paraId="49B910F0" w14:textId="1DF763C5" w:rsidR="00AF4D48" w:rsidRPr="00B2348E" w:rsidRDefault="00AF4D48" w:rsidP="00AF4D48">
      <w:pPr>
        <w:pStyle w:val="PMFSutanindrag"/>
      </w:pPr>
      <w:r w:rsidRPr="00B2348E">
        <w:rPr>
          <w:b/>
        </w:rPr>
        <w:t>§ 14</w:t>
      </w:r>
      <w:r w:rsidR="00115CD2">
        <w:rPr>
          <w:b/>
        </w:rPr>
        <w:tab/>
      </w:r>
      <w:r w:rsidRPr="00B2348E">
        <w:t>Kontrola wstępna zgodnie z § 3 akapit pierwszy rozporządzenia (1993:1634) w sprawie kontroli atrakcji mechanicznych w parkach rozrywki obejmuje</w:t>
      </w:r>
    </w:p>
    <w:p w14:paraId="5BCB9B55" w14:textId="77777777" w:rsidR="00AF4D48" w:rsidRPr="00B2348E" w:rsidRDefault="00AF4D48" w:rsidP="00AF4D48">
      <w:pPr>
        <w:pStyle w:val="PMFSplistasiffra"/>
        <w:numPr>
          <w:ilvl w:val="0"/>
          <w:numId w:val="30"/>
        </w:numPr>
      </w:pPr>
      <w:r w:rsidRPr="00B2348E">
        <w:t>sprawdzenie, czy atrakcja mechaniczna nadaje się do przewidzianego zastosowania;</w:t>
      </w:r>
    </w:p>
    <w:p w14:paraId="2D12E50C" w14:textId="77777777" w:rsidR="00AF4D48" w:rsidRPr="00B2348E" w:rsidRDefault="00AF4D48" w:rsidP="00AF4D48">
      <w:pPr>
        <w:pStyle w:val="PMFSplistasiffra"/>
      </w:pPr>
      <w:r w:rsidRPr="00B2348E">
        <w:t>analizę rysunków, schematów okablowania, wykazu komponentów (sprzęt elektryczny), szczegółów obciążeń, materiałów i obróbki powierzchniowej;</w:t>
      </w:r>
    </w:p>
    <w:p w14:paraId="48E9B6AE" w14:textId="77777777" w:rsidR="00AF4D48" w:rsidRPr="00B2348E" w:rsidRDefault="00AF4D48" w:rsidP="00AF4D48">
      <w:pPr>
        <w:pStyle w:val="PMFSplistasiffra"/>
      </w:pPr>
      <w:r w:rsidRPr="00B2348E">
        <w:t>sprawdzenie, czy konserwacja, bieżący nadzór i kontrole mogą być przeprowadzane w bezpieczny sposób;</w:t>
      </w:r>
    </w:p>
    <w:p w14:paraId="49120954" w14:textId="77777777" w:rsidR="00AF4D48" w:rsidRPr="00B2348E" w:rsidRDefault="00AF4D48" w:rsidP="00AF4D48">
      <w:pPr>
        <w:pStyle w:val="PMFSplistasiffra"/>
      </w:pPr>
      <w:r w:rsidRPr="00B2348E">
        <w:t>sprawdzenie obliczeń, aby móc w inny sposób ocenić wytrzymałość, stabilność i bezpieczeństwo;</w:t>
      </w:r>
    </w:p>
    <w:p w14:paraId="53FCA65E" w14:textId="77777777" w:rsidR="00AF4D48" w:rsidRPr="00B2348E" w:rsidRDefault="00AF4D48" w:rsidP="00AF4D48">
      <w:pPr>
        <w:pStyle w:val="PMFSplistasiffra"/>
      </w:pPr>
      <w:r w:rsidRPr="00B2348E">
        <w:t>sprawdzenie dostępności instrukcji dotyczących użytkowania, obsługi, ratownictwa, bieżącego nadzoru i konserwacji;</w:t>
      </w:r>
    </w:p>
    <w:p w14:paraId="1E874F99" w14:textId="77777777" w:rsidR="00AF4D48" w:rsidRPr="00B2348E" w:rsidRDefault="00AF4D48" w:rsidP="00AF4D48">
      <w:pPr>
        <w:pStyle w:val="PMFSplistasiffra"/>
      </w:pPr>
      <w:r w:rsidRPr="00B2348E">
        <w:t>sprawdzenie, czy atrakcja mechaniczna jest zgodna ze zweryfikowaną dokumentacją;</w:t>
      </w:r>
    </w:p>
    <w:p w14:paraId="48056631" w14:textId="77777777" w:rsidR="00AF4D48" w:rsidRPr="00B2348E" w:rsidRDefault="00AF4D48" w:rsidP="00AF4D48">
      <w:pPr>
        <w:pStyle w:val="PMFSplistasiffra"/>
      </w:pPr>
      <w:r w:rsidRPr="00B2348E">
        <w:t>sprawdzenie, czy zabezpieczenia główne i pomocnicze atrakcji mechanicznej oraz urządzenia ochronne zostały zamontowane w zamierzony sposób;</w:t>
      </w:r>
    </w:p>
    <w:p w14:paraId="122E35D4" w14:textId="77777777" w:rsidR="00AF4D48" w:rsidRPr="00B2348E" w:rsidRDefault="00AF4D48" w:rsidP="00AF4D48">
      <w:pPr>
        <w:pStyle w:val="PMFSplistasiffra"/>
      </w:pPr>
      <w:r w:rsidRPr="00B2348E">
        <w:t>kontrolę funkcjonalną urządzeń ochronnych; oraz</w:t>
      </w:r>
    </w:p>
    <w:p w14:paraId="11D3B932" w14:textId="77777777" w:rsidR="00717CB3" w:rsidRPr="00B2348E" w:rsidRDefault="00AF4D48" w:rsidP="00AF4D48">
      <w:pPr>
        <w:pStyle w:val="PMFSplistasiffra"/>
      </w:pPr>
      <w:r w:rsidRPr="00B2348E">
        <w:t>badania funkcjonalne przy obciążeniu testowym, które organ kontrolny uzna za niezbędne w celu zapewnienia działania urządzeń zabezpieczających związanych z danym obciążeniem.</w:t>
      </w:r>
    </w:p>
    <w:p w14:paraId="027468F7" w14:textId="77777777" w:rsidR="00AF4D48" w:rsidRPr="00B2348E" w:rsidRDefault="00AF4D48" w:rsidP="00AF4D48">
      <w:pPr>
        <w:pStyle w:val="PMFSrubrik3b"/>
      </w:pPr>
      <w:r w:rsidRPr="00B2348E">
        <w:lastRenderedPageBreak/>
        <w:t>Kontrola okresowa</w:t>
      </w:r>
    </w:p>
    <w:p w14:paraId="46EB8F3E" w14:textId="49DDBD40" w:rsidR="00AF4D48" w:rsidRPr="00B2348E" w:rsidRDefault="00AF4D48" w:rsidP="00AF4D48">
      <w:pPr>
        <w:pStyle w:val="PMFSutanindrag"/>
      </w:pPr>
      <w:r w:rsidRPr="00B2348E">
        <w:rPr>
          <w:b/>
        </w:rPr>
        <w:t>§ 15</w:t>
      </w:r>
      <w:r w:rsidR="00115CD2">
        <w:rPr>
          <w:b/>
        </w:rPr>
        <w:tab/>
      </w:r>
      <w:r w:rsidRPr="00B2348E">
        <w:t>Kontrola zgodnie z § 8 akapit pierwszy rozporządzenia (1993:1634) w sprawie kontroli atrakcji mechanicznych w parkach rozrywki (kontrola okresowa) obejmuje</w:t>
      </w:r>
    </w:p>
    <w:p w14:paraId="55E30A40" w14:textId="77777777" w:rsidR="00AF4D48" w:rsidRPr="00B2348E" w:rsidRDefault="00AF4D48" w:rsidP="00AF4D48">
      <w:pPr>
        <w:pStyle w:val="PMFSplistasiffra"/>
        <w:numPr>
          <w:ilvl w:val="0"/>
          <w:numId w:val="31"/>
        </w:numPr>
      </w:pPr>
      <w:r w:rsidRPr="00B2348E">
        <w:t>sprawdzenie tych części atrakcji mechanicznej, które są istotne z punktu widzenia bezpieczeństwa w odniesieniu do zużycia, pęknięć, uszkodzeń, korozji itp.;</w:t>
      </w:r>
    </w:p>
    <w:p w14:paraId="020D2A19" w14:textId="77777777" w:rsidR="00AF4D48" w:rsidRPr="00B2348E" w:rsidRDefault="00AF4D48" w:rsidP="00AF4D48">
      <w:pPr>
        <w:pStyle w:val="PMFSplistasiffra"/>
      </w:pPr>
      <w:r w:rsidRPr="00B2348E">
        <w:t>sprawdzenie, czy atrakcja mechaniczna została poddana modyfikacjom lub procedurom, które mogą mieć wpływ na jej bezpieczeństwo i które w związku z tym powinny również spowodować przeprowadzenie innego rodzaju kontroli;</w:t>
      </w:r>
    </w:p>
    <w:p w14:paraId="4E14A353" w14:textId="77777777" w:rsidR="00AF4D48" w:rsidRPr="00B2348E" w:rsidRDefault="00AF4D48" w:rsidP="00AF4D48">
      <w:pPr>
        <w:pStyle w:val="PMFSplistasiffra"/>
      </w:pPr>
      <w:r w:rsidRPr="00B2348E">
        <w:t>sprawdzenie zabezpieczeń i urządzeń ochronnych;</w:t>
      </w:r>
    </w:p>
    <w:p w14:paraId="08CA815F" w14:textId="77777777" w:rsidR="00AF4D48" w:rsidRPr="00B2348E" w:rsidRDefault="00AF4D48" w:rsidP="00AF4D48">
      <w:pPr>
        <w:pStyle w:val="PMFSplistasiffra"/>
      </w:pPr>
      <w:r w:rsidRPr="00B2348E">
        <w:t>sprawdzenie, czy dostępne są niezbędne instrukcje dotyczące użytkowania, obsługi, ratownictwa, bieżącego nadzoru i konserwacji;</w:t>
      </w:r>
    </w:p>
    <w:p w14:paraId="5BD1D84D" w14:textId="77777777" w:rsidR="00AF4D48" w:rsidRPr="00B2348E" w:rsidRDefault="00AF4D48" w:rsidP="00AF4D48">
      <w:pPr>
        <w:pStyle w:val="PMFSplistasiffra"/>
      </w:pPr>
      <w:r w:rsidRPr="00B2348E">
        <w:t>sprawdzenie, czy zabezpieczenia główne i pomocnicze atrakcji mechanicznej oraz urządzenia ochronne zostały zamontowane w zamierzony sposób;</w:t>
      </w:r>
    </w:p>
    <w:p w14:paraId="1C63E40E" w14:textId="77777777" w:rsidR="00AF4D48" w:rsidRPr="00B2348E" w:rsidRDefault="00AF4D48" w:rsidP="00AF4D48">
      <w:pPr>
        <w:pStyle w:val="PMFSplistasiffra"/>
      </w:pPr>
      <w:r w:rsidRPr="00B2348E">
        <w:t>sprawdzenie, czy atrakcja mechaniczna jest konserwowana zgodnie z instrukcjami producenta;</w:t>
      </w:r>
    </w:p>
    <w:p w14:paraId="3F30BE02" w14:textId="77777777" w:rsidR="00AF4D48" w:rsidRPr="00B2348E" w:rsidRDefault="00AF4D48" w:rsidP="00AF4D48">
      <w:pPr>
        <w:pStyle w:val="PMFSplistasiffra"/>
      </w:pPr>
      <w:r w:rsidRPr="00B2348E">
        <w:t>badania funkcjonalne przy obciążeniu testowym uznanym za odpowiednie przez organ kontrolny; oraz</w:t>
      </w:r>
    </w:p>
    <w:p w14:paraId="4BF63329" w14:textId="77777777" w:rsidR="00AF4D48" w:rsidRPr="00B2348E" w:rsidRDefault="00AF4D48" w:rsidP="008F5666">
      <w:pPr>
        <w:pStyle w:val="PMFSplistasiffra"/>
        <w:spacing w:after="120"/>
      </w:pPr>
      <w:r w:rsidRPr="00B2348E">
        <w:t>sprawdzenie dziennika i innych dokumentów, które mogą mieć znaczenie.</w:t>
      </w:r>
    </w:p>
    <w:p w14:paraId="3667FE1A" w14:textId="7C358652" w:rsidR="00AF4D48" w:rsidRPr="00B2348E" w:rsidRDefault="00AF4D48" w:rsidP="00AF4D48">
      <w:pPr>
        <w:pStyle w:val="PMFSutanindrag"/>
      </w:pPr>
      <w:r w:rsidRPr="00B2348E">
        <w:rPr>
          <w:b/>
        </w:rPr>
        <w:t>§ 16</w:t>
      </w:r>
      <w:r w:rsidR="00115CD2">
        <w:rPr>
          <w:b/>
        </w:rPr>
        <w:tab/>
      </w:r>
      <w:r w:rsidRPr="00B2348E">
        <w:t xml:space="preserve">Atrakcja mechaniczna w parku rozrywki, która została zdemontowana i ponownie zmontowana lub przeniesiona w nowe miejsce, podlega niezapowiedzianej kontroli w ciągu jednego roku od ostatniej zatwierdzonej kontroli (kontrola montażu). </w:t>
      </w:r>
    </w:p>
    <w:p w14:paraId="4E8BF446" w14:textId="77777777" w:rsidR="00AF4D48" w:rsidRPr="00B2348E" w:rsidRDefault="00AF4D48" w:rsidP="00AF4D48">
      <w:pPr>
        <w:pStyle w:val="PMFSmedindrag"/>
      </w:pPr>
      <w:r w:rsidRPr="00B2348E">
        <w:t>Operator jest odpowiedzialny za zapewnienie, aby organ kontrolny odpowiedzialny za przeprowadzenie kontroli montażu otrzymał dokumentację niezbędną do tego celu.</w:t>
      </w:r>
    </w:p>
    <w:p w14:paraId="6A27108C" w14:textId="77777777" w:rsidR="00AF4D48" w:rsidRPr="00B2348E" w:rsidRDefault="00AF4D48" w:rsidP="00AF4D48">
      <w:pPr>
        <w:pStyle w:val="PMFSmedindrag"/>
      </w:pPr>
      <w:r w:rsidRPr="00B2348E">
        <w:t>Kontrola montażu obejmuje kontrole zgodnie z § 15 pkt 2, 3, 5, 6 i 8. Kontrola montażu nie musi być jednak przeprowadzana, jeżeli atrakcja mechaniczna w parku rozrywki ma zostać poddana kontroli audytowej ze względu na podjęte środki.</w:t>
      </w:r>
    </w:p>
    <w:p w14:paraId="77B2B302" w14:textId="77777777" w:rsidR="00050FCA" w:rsidRPr="00B2348E" w:rsidRDefault="00050FCA" w:rsidP="00050FCA">
      <w:pPr>
        <w:pStyle w:val="PMFSrubrik3b"/>
      </w:pPr>
      <w:r w:rsidRPr="00B2348E">
        <w:t>Szczegółowa kontrola okresowa</w:t>
      </w:r>
    </w:p>
    <w:p w14:paraId="1D8A4000" w14:textId="356F3C94" w:rsidR="00050FCA" w:rsidRPr="00B2348E" w:rsidRDefault="00050FCA" w:rsidP="00050FCA">
      <w:pPr>
        <w:pStyle w:val="PMFSutanindrag"/>
      </w:pPr>
      <w:r w:rsidRPr="00B2348E">
        <w:rPr>
          <w:b/>
        </w:rPr>
        <w:t>§ 17</w:t>
      </w:r>
      <w:r w:rsidR="00115CD2">
        <w:rPr>
          <w:b/>
        </w:rPr>
        <w:tab/>
      </w:r>
      <w:r w:rsidRPr="00B2348E">
        <w:t>Szczegółową kontrolę okresową atrakcji mechanicznej w parku rozrywki przeprowadza się nie później niż pięć lat po kontroli wstępnej, a następnie co najmniej raz na pięć lat. Szczegółowa kontrola okresowa obejmuje kontrole, o których mowa w § 14, z wyjątkiem pkt 2 i 4, oraz sprawdzenie wszystkich elementów konstrukcyjnych, ze szczególnym uwzględnieniem:</w:t>
      </w:r>
    </w:p>
    <w:p w14:paraId="5BC6059B" w14:textId="77777777" w:rsidR="00050FCA" w:rsidRPr="00B2348E" w:rsidRDefault="00050FCA" w:rsidP="00050FCA">
      <w:pPr>
        <w:pStyle w:val="PMFSplistasiffra"/>
        <w:numPr>
          <w:ilvl w:val="0"/>
          <w:numId w:val="32"/>
        </w:numPr>
      </w:pPr>
      <w:r w:rsidRPr="00B2348E">
        <w:t>tworzenia się pęknięć i uszkodzeń zmęczeniowych;</w:t>
      </w:r>
    </w:p>
    <w:p w14:paraId="56D201B2" w14:textId="77777777" w:rsidR="00050FCA" w:rsidRPr="00B2348E" w:rsidRDefault="00050FCA" w:rsidP="00050FCA">
      <w:pPr>
        <w:pStyle w:val="PMFSplistasiffra"/>
      </w:pPr>
      <w:r w:rsidRPr="00B2348E">
        <w:t>trwałych odkształceń;</w:t>
      </w:r>
    </w:p>
    <w:p w14:paraId="5197E334" w14:textId="77777777" w:rsidR="00050FCA" w:rsidRPr="00B2348E" w:rsidRDefault="00050FCA" w:rsidP="00050FCA">
      <w:pPr>
        <w:pStyle w:val="PMFSplistasiffra"/>
      </w:pPr>
      <w:r w:rsidRPr="00B2348E">
        <w:lastRenderedPageBreak/>
        <w:t>odkształceń w początkowej fazie;</w:t>
      </w:r>
    </w:p>
    <w:p w14:paraId="4AF41E0D" w14:textId="77777777" w:rsidR="00050FCA" w:rsidRPr="00B2348E" w:rsidRDefault="00050FCA" w:rsidP="00050FCA">
      <w:pPr>
        <w:pStyle w:val="PMFSplistasiffra"/>
      </w:pPr>
      <w:r w:rsidRPr="00B2348E">
        <w:t>poluzowanych lub uszkodzonych elementów konstrukcyjnych; oraz</w:t>
      </w:r>
    </w:p>
    <w:p w14:paraId="1231C299" w14:textId="77777777" w:rsidR="00050FCA" w:rsidRPr="00B2348E" w:rsidRDefault="00050FCA" w:rsidP="00050FCA">
      <w:pPr>
        <w:pStyle w:val="PMFSplistasiffra"/>
      </w:pPr>
      <w:r w:rsidRPr="00B2348E">
        <w:t>sprzętu elektrycznego, takiego jak okablowanie, sprzęgi, uziemienie ochronne i urządzenia.</w:t>
      </w:r>
    </w:p>
    <w:p w14:paraId="1A033450" w14:textId="77777777" w:rsidR="00050FCA" w:rsidRPr="00B2348E" w:rsidRDefault="00050FCA" w:rsidP="00050FCA">
      <w:pPr>
        <w:pStyle w:val="PMFSmedindrag"/>
      </w:pPr>
      <w:r w:rsidRPr="00B2348E">
        <w:t>W razie potrzeby, aby organ kontrolny mógł ocenić, czy atrakcja mechaniczna spełnia wymagania, należy zdemontować części lub komponenty. Jeżeli jest to konieczne do oceny stanu elementów konstrukcyjnych atrakcji mechanicznej, przeprowadza się niezbędne badania nieniszczące. Badania nieniszczące powinny być przeprowadzane przez personel posiadający ważny certyfikat zgodnie z normą SS-EN 9712:2022 dla danego produktu lub sektora przemysłowego.</w:t>
      </w:r>
    </w:p>
    <w:p w14:paraId="07FA948B" w14:textId="77777777" w:rsidR="00050FCA" w:rsidRPr="00B2348E" w:rsidRDefault="00050FCA" w:rsidP="00050FCA">
      <w:pPr>
        <w:pStyle w:val="PMFSmedindrag"/>
      </w:pPr>
      <w:r w:rsidRPr="00B2348E">
        <w:t>Podczas szczegółowej kontroli okresowej sprawdza się również dziennik i inne dokumenty, które mogą mieć znaczenie.</w:t>
      </w:r>
    </w:p>
    <w:p w14:paraId="332143CE" w14:textId="77777777" w:rsidR="00050FCA" w:rsidRPr="00B2348E" w:rsidRDefault="00050FCA" w:rsidP="00050FCA">
      <w:pPr>
        <w:pStyle w:val="PMFSrubrik3b"/>
      </w:pPr>
      <w:r w:rsidRPr="00B2348E">
        <w:t>Kontrola audytowa</w:t>
      </w:r>
    </w:p>
    <w:p w14:paraId="1E330F3A" w14:textId="7DFA7BF9" w:rsidR="00050FCA" w:rsidRPr="00B2348E" w:rsidRDefault="00050FCA" w:rsidP="00050FCA">
      <w:pPr>
        <w:pStyle w:val="PMFSutanindrag"/>
      </w:pPr>
      <w:r w:rsidRPr="00B2348E">
        <w:rPr>
          <w:b/>
        </w:rPr>
        <w:t>§ 18</w:t>
      </w:r>
      <w:r w:rsidR="00115CD2">
        <w:rPr>
          <w:b/>
        </w:rPr>
        <w:tab/>
      </w:r>
      <w:r w:rsidRPr="00B2348E">
        <w:t>Jeżeli atrakcja mechaniczna w parku rozrywki została zmieniona w jakikolwiek sposób, który ma znaczenie dla bezpieczeństwa, podlega ona ponownej kontroli (kontroli audytowej) zgodnie z § 3 akapit pierwszy rozporządzenia (1993:1634) w sprawie kontroli atrakcji mechanicznych w parkach rozrywki. Kontrola audytowa obejmuje kontrole określone w § 14. Kontrola obejmuje całość lub część atrakcji mechanicznej w parku rozrywki w zależności od tego, co zostanie uznane za konieczne ze względu na charakter zmiany i jej znaczenie dla bezpieczeństwa.</w:t>
      </w:r>
    </w:p>
    <w:p w14:paraId="27DBF24C" w14:textId="77777777" w:rsidR="00050FCA" w:rsidRPr="00B2348E" w:rsidRDefault="00050FCA" w:rsidP="00050FCA">
      <w:pPr>
        <w:pStyle w:val="Allmnnardrubrik1"/>
        <w:rPr>
          <w:noProof w:val="0"/>
        </w:rPr>
      </w:pPr>
      <w:r w:rsidRPr="00B2348E">
        <w:t xml:space="preserve">Zalecenia ogólne </w:t>
      </w:r>
    </w:p>
    <w:p w14:paraId="3BEB195D" w14:textId="77777777" w:rsidR="00050FCA" w:rsidRPr="00B2348E" w:rsidRDefault="00050FCA" w:rsidP="00050FCA">
      <w:pPr>
        <w:pStyle w:val="Allmnnardutanindrag"/>
      </w:pPr>
      <w:r w:rsidRPr="00B2348E">
        <w:t>„Zmiana” w rozumieniu § 3 akapit pierwszy rozporządzenia w sprawie kontroli atrakcji mechanicznych w parkach rozrywki oznacza każdą naprawę, przebudowę lub rozbudowę, usunięcie stałej atrakcji mechanicznej w parku rozrywki, możliwe uszkodzenie lub inną zmianę mającą znaczenie dla bezpieczeństwa. Przykłady takich zmian to:</w:t>
      </w:r>
    </w:p>
    <w:p w14:paraId="4538D0C3" w14:textId="77777777" w:rsidR="00050FCA" w:rsidRPr="00B2348E" w:rsidRDefault="00050FCA" w:rsidP="00050FCA">
      <w:pPr>
        <w:pStyle w:val="Allmnnardplistasiffra"/>
      </w:pPr>
      <w:r w:rsidRPr="00B2348E">
        <w:t xml:space="preserve">naprawa lub modyfikacja elementów nośnych atrakcji mechanicznej w parku rozrywki; </w:t>
      </w:r>
    </w:p>
    <w:p w14:paraId="2FADA9B9" w14:textId="77777777" w:rsidR="00050FCA" w:rsidRPr="00B2348E" w:rsidRDefault="00050FCA" w:rsidP="00050FCA">
      <w:pPr>
        <w:pStyle w:val="Allmnnardplistasiffra"/>
      </w:pPr>
      <w:r w:rsidRPr="00B2348E">
        <w:t xml:space="preserve">naprawa, modyfikacja lub wymiana komponentów lub oprogramowania, które są częścią wyposażenia bezpieczeństwa atrakcji mechanicznej w parku rozrywki; </w:t>
      </w:r>
    </w:p>
    <w:p w14:paraId="3454F2BA" w14:textId="77777777" w:rsidR="00050FCA" w:rsidRPr="00B2348E" w:rsidRDefault="00050FCA" w:rsidP="00050FCA">
      <w:pPr>
        <w:pStyle w:val="Allmnnardplistasiffra"/>
      </w:pPr>
      <w:r w:rsidRPr="00B2348E">
        <w:t>zmiana parametrów atrakcji mechanicznej w parku rozrywki, takich jak prędkość i liczba użytkowników; oraz</w:t>
      </w:r>
    </w:p>
    <w:p w14:paraId="39F09F37" w14:textId="77777777" w:rsidR="00050FCA" w:rsidRPr="00B2348E" w:rsidRDefault="00050FCA" w:rsidP="00050FCA">
      <w:pPr>
        <w:pStyle w:val="Allmnnardplistasiffra"/>
      </w:pPr>
      <w:r w:rsidRPr="00B2348E">
        <w:t>zmiany w wykonaniu konstrukcyjnym atrakcji mechanicznej w parku rozrywki, co oznacza, że pierwotne badanie projektu nie obejmuje już całej atrakcji oraz jej części i komponentów.</w:t>
      </w:r>
    </w:p>
    <w:p w14:paraId="5F18CC0F" w14:textId="77777777" w:rsidR="005B4C44" w:rsidRPr="00B2348E" w:rsidRDefault="00050FCA" w:rsidP="00050FCA">
      <w:pPr>
        <w:pStyle w:val="Allmnnardmedindrag"/>
      </w:pPr>
      <w:r w:rsidRPr="00B2348E">
        <w:t>Aby organ kontrolny mógł ocenić podczas kontroli audytowej, czy atrakcja mechaniczna w parku rozrywki jest odpowiednio bezpieczna po naprawie, modyfikacji lub przebudowie, może być konieczne, aby organ kontrolny był w stanie zbadać atrakcję jeszcze przed przeprowadzeniem naprawy, modyfikacji lub przebudowy.</w:t>
      </w:r>
    </w:p>
    <w:p w14:paraId="55593570" w14:textId="77777777" w:rsidR="008E59E9" w:rsidRPr="00B2348E" w:rsidRDefault="008E59E9" w:rsidP="008E59E9">
      <w:pPr>
        <w:pStyle w:val="PMFSrubrik2"/>
      </w:pPr>
      <w:r w:rsidRPr="00B2348E">
        <w:t>Świadectwo dopuszczenia i tabliczka kontrolna</w:t>
      </w:r>
    </w:p>
    <w:p w14:paraId="5A63E94B" w14:textId="1003255B" w:rsidR="008E59E9" w:rsidRPr="00B2348E" w:rsidRDefault="00A37366" w:rsidP="008E59E9">
      <w:pPr>
        <w:pStyle w:val="PMFSutanindrag"/>
      </w:pPr>
      <w:r w:rsidRPr="00B2348E">
        <w:rPr>
          <w:b/>
        </w:rPr>
        <w:t>§ 19</w:t>
      </w:r>
      <w:r w:rsidR="00115CD2">
        <w:rPr>
          <w:b/>
        </w:rPr>
        <w:tab/>
      </w:r>
      <w:r w:rsidRPr="00B2348E">
        <w:t>W przypadku pozytywnego wyniku kontroli operatorowi lub właścicielowi, jeżeli ten ostatni ma w swoim posiadaniu atrakcję mechaniczną w parku rozrywki, wydaje się świadectwo dopuszczenia i tabliczkę kontrolną.</w:t>
      </w:r>
    </w:p>
    <w:p w14:paraId="45F9D9C2" w14:textId="77777777" w:rsidR="008E59E9" w:rsidRPr="00B2348E" w:rsidRDefault="008E59E9" w:rsidP="008E59E9">
      <w:pPr>
        <w:pStyle w:val="PMFSmedindrag"/>
      </w:pPr>
      <w:r w:rsidRPr="00B2348E">
        <w:t>Do atrakcji mechanicznej w parku rozrywki dołącza się świadectwo dopuszczenia zawierające następujące informacje:</w:t>
      </w:r>
    </w:p>
    <w:p w14:paraId="1D23B674" w14:textId="77777777" w:rsidR="008E59E9" w:rsidRPr="00B2348E" w:rsidRDefault="008E59E9" w:rsidP="008E59E9">
      <w:pPr>
        <w:pStyle w:val="PMFSplistasiffra"/>
        <w:numPr>
          <w:ilvl w:val="0"/>
          <w:numId w:val="33"/>
        </w:numPr>
      </w:pPr>
      <w:r w:rsidRPr="00B2348E">
        <w:t>dane identyfikacyjne atrakcji mechanicznej wraz z numerem rejestracyjnym w dokumentacji organu kontrolnego;</w:t>
      </w:r>
    </w:p>
    <w:p w14:paraId="7E1B44D9" w14:textId="77777777" w:rsidR="008E59E9" w:rsidRPr="00B2348E" w:rsidRDefault="008E59E9" w:rsidP="008E59E9">
      <w:pPr>
        <w:pStyle w:val="PMFSplistasiffra"/>
      </w:pPr>
      <w:r w:rsidRPr="00B2348E">
        <w:t>jeśli to możliwe, data kontroli wstępnej;</w:t>
      </w:r>
    </w:p>
    <w:p w14:paraId="772D2853" w14:textId="77777777" w:rsidR="008E59E9" w:rsidRPr="00B2348E" w:rsidRDefault="008E59E9" w:rsidP="008E59E9">
      <w:pPr>
        <w:pStyle w:val="PMFSplistasiffra"/>
      </w:pPr>
      <w:r w:rsidRPr="00B2348E">
        <w:t>maksymalna liczba osób, które mogą jednocześnie korzystać z atrakcji mechanicznej, oraz, w stosownych przypadkach, maksymalne obciążenie i prędkość;</w:t>
      </w:r>
    </w:p>
    <w:p w14:paraId="1A70DCC9" w14:textId="77777777" w:rsidR="008E59E9" w:rsidRPr="00B2348E" w:rsidRDefault="008E59E9" w:rsidP="008E59E9">
      <w:pPr>
        <w:pStyle w:val="PMFSplistasiffra"/>
      </w:pPr>
      <w:r w:rsidRPr="00B2348E">
        <w:t>nazwa organu kontrolnego;</w:t>
      </w:r>
    </w:p>
    <w:p w14:paraId="76D2BC65" w14:textId="63BCBD44" w:rsidR="008E59E9" w:rsidRPr="00B2348E" w:rsidRDefault="008E59E9" w:rsidP="008E59E9">
      <w:pPr>
        <w:pStyle w:val="PMFSplistasiffra"/>
      </w:pPr>
      <w:r w:rsidRPr="00B2348E">
        <w:t>numer akredytacji;</w:t>
      </w:r>
    </w:p>
    <w:p w14:paraId="0D92636F" w14:textId="5AB5D628" w:rsidR="008E59E9" w:rsidRPr="00B2348E" w:rsidRDefault="008E59E9" w:rsidP="008E59E9">
      <w:pPr>
        <w:pStyle w:val="PMFSplistasiffra"/>
      </w:pPr>
      <w:r w:rsidRPr="00B2348E">
        <w:t>znak akredytacji;</w:t>
      </w:r>
    </w:p>
    <w:p w14:paraId="43FD4CCD" w14:textId="0CE5B16C" w:rsidR="008E59E9" w:rsidRPr="00B2348E" w:rsidRDefault="008E59E9" w:rsidP="008E59E9">
      <w:pPr>
        <w:pStyle w:val="PMFSplistasiffra"/>
      </w:pPr>
      <w:r w:rsidRPr="00B2348E">
        <w:t>data kontroli;</w:t>
      </w:r>
    </w:p>
    <w:p w14:paraId="67782624" w14:textId="62D43D7F" w:rsidR="008E59E9" w:rsidRPr="00B2348E" w:rsidRDefault="008E59E9" w:rsidP="008E59E9">
      <w:pPr>
        <w:pStyle w:val="PMFSplistasiffra"/>
      </w:pPr>
      <w:r w:rsidRPr="00B2348E">
        <w:t>okres ważności świadectwa dopuszczenia;</w:t>
      </w:r>
    </w:p>
    <w:p w14:paraId="075C32D6" w14:textId="034812FF" w:rsidR="008E59E9" w:rsidRPr="00B2348E" w:rsidRDefault="008E59E9" w:rsidP="008E59E9">
      <w:pPr>
        <w:pStyle w:val="PMFSplistasiffra"/>
      </w:pPr>
      <w:r w:rsidRPr="00B2348E">
        <w:t>imię i nazwisko kontrolera lub wszelkie inne informacje, na podstawie których można ustalić tożsamość danego kontrolera;</w:t>
      </w:r>
    </w:p>
    <w:p w14:paraId="7716E39A" w14:textId="77777777" w:rsidR="008E59E9" w:rsidRPr="00B2348E" w:rsidRDefault="008E59E9" w:rsidP="008E59E9">
      <w:pPr>
        <w:pStyle w:val="PMFSplistasiffra"/>
      </w:pPr>
      <w:r w:rsidRPr="00B2348E">
        <w:t xml:space="preserve"> informacja o tym, że kontrola została przeprowadzona zgodnie z niniejszymi przepisami i zaleceniami ogólnymi; oraz</w:t>
      </w:r>
    </w:p>
    <w:p w14:paraId="44267D10" w14:textId="77777777" w:rsidR="008E59E9" w:rsidRPr="00B2348E" w:rsidRDefault="008E59E9" w:rsidP="008E59E9">
      <w:pPr>
        <w:pStyle w:val="PMFSplistasiffra"/>
      </w:pPr>
      <w:r w:rsidRPr="00B2348E">
        <w:t xml:space="preserve"> data wydania świadectwa dopuszczenia.</w:t>
      </w:r>
    </w:p>
    <w:p w14:paraId="13989ADE" w14:textId="77777777" w:rsidR="008E59E9" w:rsidRPr="00B2348E" w:rsidRDefault="008E59E9" w:rsidP="00946409">
      <w:pPr>
        <w:pStyle w:val="PMFSmedindrag"/>
        <w:ind w:firstLine="170"/>
      </w:pPr>
      <w:r w:rsidRPr="00B2348E">
        <w:t>Tabliczka kontrolna zawiera następujące informacje:</w:t>
      </w:r>
    </w:p>
    <w:p w14:paraId="6079F822" w14:textId="7F0D7CA7" w:rsidR="008E59E9" w:rsidRPr="00B2348E" w:rsidRDefault="00C50464" w:rsidP="009728FC">
      <w:pPr>
        <w:pStyle w:val="PMFSplistasiffra"/>
        <w:numPr>
          <w:ilvl w:val="0"/>
          <w:numId w:val="35"/>
        </w:numPr>
        <w:tabs>
          <w:tab w:val="clear" w:pos="530"/>
        </w:tabs>
      </w:pPr>
      <w:r w:rsidRPr="00B2348E">
        <w:t>informacja o tym, że atrakcja mechaniczna została poddana kontroli z wynikiem pozytywnym;</w:t>
      </w:r>
    </w:p>
    <w:p w14:paraId="4231271D" w14:textId="4373FF77" w:rsidR="008E59E9" w:rsidRPr="00B2348E" w:rsidRDefault="00C50464" w:rsidP="00C50464">
      <w:pPr>
        <w:pStyle w:val="PMFSplistasiffra"/>
        <w:tabs>
          <w:tab w:val="clear" w:pos="530"/>
        </w:tabs>
      </w:pPr>
      <w:r w:rsidRPr="00B2348E">
        <w:t>miesiąc i rok, do kiedy przeprowadzona musi zostać następna kontrola;</w:t>
      </w:r>
    </w:p>
    <w:p w14:paraId="72B6598D" w14:textId="541C5F42" w:rsidR="008E59E9" w:rsidRPr="00B2348E" w:rsidRDefault="00C50464" w:rsidP="009728FC">
      <w:pPr>
        <w:pStyle w:val="PMFSplistasiffra"/>
        <w:tabs>
          <w:tab w:val="clear" w:pos="530"/>
        </w:tabs>
      </w:pPr>
      <w:r w:rsidRPr="00B2348E">
        <w:t>maksymalna liczba osób, które mogą jednocześnie korzystać z atrakcji mechanicznej, oraz, w stosownych przypadkach, maksymalne obciążenie i prędkość;</w:t>
      </w:r>
    </w:p>
    <w:p w14:paraId="58966424" w14:textId="77777777" w:rsidR="008E59E9" w:rsidRPr="00B2348E" w:rsidRDefault="008E59E9" w:rsidP="00C50464">
      <w:pPr>
        <w:pStyle w:val="PMFSplistasiffra"/>
        <w:tabs>
          <w:tab w:val="clear" w:pos="530"/>
        </w:tabs>
      </w:pPr>
      <w:r w:rsidRPr="00B2348E">
        <w:t>nazwa organu kontrolnego;</w:t>
      </w:r>
    </w:p>
    <w:p w14:paraId="1C8CA4E7" w14:textId="77777777" w:rsidR="008E59E9" w:rsidRPr="00B2348E" w:rsidRDefault="008E59E9" w:rsidP="00C50464">
      <w:pPr>
        <w:pStyle w:val="PMFSplistasiffra"/>
        <w:tabs>
          <w:tab w:val="clear" w:pos="530"/>
        </w:tabs>
      </w:pPr>
      <w:r w:rsidRPr="00B2348E">
        <w:t>numer akredytacji;</w:t>
      </w:r>
    </w:p>
    <w:p w14:paraId="5A9EF401" w14:textId="77777777" w:rsidR="008E59E9" w:rsidRPr="00B2348E" w:rsidRDefault="008E59E9" w:rsidP="00C50464">
      <w:pPr>
        <w:pStyle w:val="PMFSplistasiffra"/>
        <w:tabs>
          <w:tab w:val="clear" w:pos="530"/>
        </w:tabs>
      </w:pPr>
      <w:r w:rsidRPr="00B2348E">
        <w:t>znak akredytacji; oraz</w:t>
      </w:r>
    </w:p>
    <w:p w14:paraId="1F03AC26" w14:textId="77777777" w:rsidR="008E59E9" w:rsidRPr="00B2348E" w:rsidRDefault="008E59E9" w:rsidP="00C50464">
      <w:pPr>
        <w:pStyle w:val="PMFSplistasiffra"/>
        <w:tabs>
          <w:tab w:val="clear" w:pos="530"/>
        </w:tabs>
      </w:pPr>
      <w:r w:rsidRPr="00B2348E">
        <w:t>numer rejestracyjny w dokumentacji organu kontrolnego.</w:t>
      </w:r>
    </w:p>
    <w:p w14:paraId="6AEFE2DA" w14:textId="3A4C9E56" w:rsidR="008E59E9" w:rsidRPr="00B2348E" w:rsidRDefault="008E59E9" w:rsidP="008E59E9">
      <w:pPr>
        <w:pStyle w:val="PMFSutanindrag"/>
      </w:pPr>
      <w:r w:rsidRPr="00B2348E">
        <w:rPr>
          <w:b/>
        </w:rPr>
        <w:t>§ 20</w:t>
      </w:r>
      <w:r w:rsidR="00115CD2">
        <w:rPr>
          <w:b/>
        </w:rPr>
        <w:tab/>
      </w:r>
      <w:r w:rsidRPr="00B2348E">
        <w:t>Tymczasowe dopuszczenie zgodnie z § 7 rozporządzenia (1993:1634) w sprawie kontroli atrakcji mechanicznych w parkach rozrywki może zostać wydane na okres maksymalnie trzech miesięcy.</w:t>
      </w:r>
    </w:p>
    <w:p w14:paraId="0FDEB61E" w14:textId="7EE3C72F" w:rsidR="008E59E9" w:rsidRPr="00B2348E" w:rsidRDefault="008E59E9" w:rsidP="008E59E9">
      <w:pPr>
        <w:pStyle w:val="PMFSutanindrag"/>
      </w:pPr>
      <w:r w:rsidRPr="00B2348E">
        <w:rPr>
          <w:b/>
        </w:rPr>
        <w:t>§ 21</w:t>
      </w:r>
      <w:r w:rsidR="00115CD2">
        <w:rPr>
          <w:b/>
        </w:rPr>
        <w:tab/>
      </w:r>
      <w:r w:rsidRPr="00B2348E">
        <w:t>Operator lub właściciel, jeżeli ma w swoim posiadaniu atrakcję mechaniczną w parku rozrywki, zapewnia, aby na niej lub w jej pobliżu umieszczona była najbardziej aktualna tabliczka kontrolna. Tabliczka musi być dobrze widoczna dla osób korzystających z atrakcji mechanicznej w parku rozrywki.</w:t>
      </w:r>
    </w:p>
    <w:p w14:paraId="6DFD462E" w14:textId="77777777" w:rsidR="00FF5C05" w:rsidRPr="00B2348E" w:rsidRDefault="00FF5C05" w:rsidP="00FF5C05">
      <w:pPr>
        <w:pStyle w:val="Allmnnardrubrik1"/>
        <w:rPr>
          <w:noProof w:val="0"/>
        </w:rPr>
      </w:pPr>
      <w:r w:rsidRPr="00B2348E">
        <w:t xml:space="preserve">Zalecenia ogólne </w:t>
      </w:r>
    </w:p>
    <w:p w14:paraId="287A5623" w14:textId="77777777" w:rsidR="00AF4D48" w:rsidRPr="00B2348E" w:rsidRDefault="00FF5C05" w:rsidP="00FF5C05">
      <w:pPr>
        <w:pStyle w:val="Allmnnardutanindrag"/>
      </w:pPr>
      <w:r w:rsidRPr="00B2348E">
        <w:t>Tabliczka kontrolna może być na przykład umieszczona w miejscu, gdzie odwiedzający ustawiają się w kolejce do atrakcji mechanicznej w parku rozrywki, przy bramach do atrakcji lub przy wejściu do atrakcji.</w:t>
      </w:r>
    </w:p>
    <w:p w14:paraId="78474744" w14:textId="77777777" w:rsidR="00FF5C05" w:rsidRPr="00B2348E" w:rsidRDefault="00FF5C05" w:rsidP="00FF5C05">
      <w:pPr>
        <w:pStyle w:val="PMFSrubrik2"/>
      </w:pPr>
      <w:r w:rsidRPr="00B2348E">
        <w:t>Sprawozdanie z kontroli</w:t>
      </w:r>
    </w:p>
    <w:p w14:paraId="6185F1A3" w14:textId="2E7F13C4" w:rsidR="00FF5C05" w:rsidRPr="00B2348E" w:rsidRDefault="00FF5C05" w:rsidP="00FF5C05">
      <w:pPr>
        <w:pStyle w:val="PMFSutanindrag"/>
      </w:pPr>
      <w:r w:rsidRPr="00B2348E">
        <w:rPr>
          <w:b/>
        </w:rPr>
        <w:t>§ 22</w:t>
      </w:r>
      <w:r w:rsidR="00115CD2">
        <w:rPr>
          <w:b/>
        </w:rPr>
        <w:tab/>
      </w:r>
      <w:r w:rsidRPr="00B2348E">
        <w:t>Jeżeli organ kontrolny nie zatwierdzi atrakcji mechanicznej w parku rozrywki, wydaje sprawozdanie z kontroli dotyczące jej wyników. Sprawozdanie z kontroli powinno określać, które usterki lub wady wymagają ponownej kontroli przed dopuszczeniem atrakcji mechanicznej do użytku. Sprawozdanie z kontroli zawiera również informacje, jakie wskazano w § 19 akapit drugi pkt 1-2, 4-7 i 9-10.</w:t>
      </w:r>
    </w:p>
    <w:p w14:paraId="6A93F6D1" w14:textId="77777777" w:rsidR="00FF5C05" w:rsidRPr="00B2348E" w:rsidRDefault="00FF5C05" w:rsidP="00FF5C05">
      <w:pPr>
        <w:pStyle w:val="PMFSmedindrag"/>
      </w:pPr>
      <w:r w:rsidRPr="00B2348E">
        <w:t>Kopię sprawozdania z kontroli przekazuje się operatorowi lub właścicielowi, jeżeli ten ostatni ma w swoim posiadaniu atrakcję mechaniczną w parku rozrywki.</w:t>
      </w:r>
    </w:p>
    <w:p w14:paraId="4970B2C0" w14:textId="77777777" w:rsidR="00FF5C05" w:rsidRPr="00B2348E" w:rsidRDefault="00FF5C05" w:rsidP="00FF5C05">
      <w:pPr>
        <w:pStyle w:val="PMFSrubrik2"/>
      </w:pPr>
      <w:r w:rsidRPr="00B2348E">
        <w:t>Powiadomienie</w:t>
      </w:r>
    </w:p>
    <w:p w14:paraId="03864F23" w14:textId="2F398E2A" w:rsidR="00FF5C05" w:rsidRPr="00B2348E" w:rsidRDefault="00FF5C05" w:rsidP="00FF5C05">
      <w:pPr>
        <w:pStyle w:val="PMFSutanindrag"/>
      </w:pPr>
      <w:r w:rsidRPr="00B2348E">
        <w:rPr>
          <w:b/>
        </w:rPr>
        <w:t>§ 23</w:t>
      </w:r>
      <w:r w:rsidR="00115CD2">
        <w:rPr>
          <w:b/>
        </w:rPr>
        <w:tab/>
      </w:r>
      <w:r w:rsidRPr="00B2348E">
        <w:t>Jeżeli organ kontrolny stwierdzi, że atrakcja mechaniczna w parku rozrywki nie posiada odpowiednich zabezpieczeń, powiadomi o tym na piśmie Szwedzki Urząd ds. Policji. Kopię powiadomienia przekazuje się operatorowi lub właścicielowi, jeżeli ten ostatni ma w swoim posiadaniu atrakcję mechaniczną w parku rozrywki.</w:t>
      </w:r>
    </w:p>
    <w:p w14:paraId="5296ADF5" w14:textId="4A253B4D" w:rsidR="00FF5C05" w:rsidRPr="00B2348E" w:rsidRDefault="00FF5C05" w:rsidP="00FF5C05">
      <w:pPr>
        <w:pStyle w:val="PMFSutanindrag"/>
      </w:pPr>
      <w:r w:rsidRPr="00B2348E">
        <w:rPr>
          <w:b/>
        </w:rPr>
        <w:t>§ 24</w:t>
      </w:r>
      <w:r w:rsidR="00115CD2">
        <w:rPr>
          <w:b/>
        </w:rPr>
        <w:tab/>
      </w:r>
      <w:r w:rsidRPr="00B2348E">
        <w:t>Operator lub właściciel, jeżeli ten ostatni ma w swoim posiadaniu atrakcję mechaniczną w parku rozrywki, powiadamia Szwedzki Urząd ds. Policji o usunięciu usterek lub wad i przeprowadzeniu z wynikiem pozytywnym kontroli audytowej zgodnie z §</w:t>
      </w:r>
      <w:r w:rsidRPr="00B2348E">
        <w:rPr>
          <w:b/>
        </w:rPr>
        <w:t xml:space="preserve"> </w:t>
      </w:r>
      <w:r w:rsidRPr="00B2348E">
        <w:t>18.</w:t>
      </w:r>
    </w:p>
    <w:p w14:paraId="799C6B57" w14:textId="77777777" w:rsidR="00FF5C05" w:rsidRPr="00B2348E" w:rsidRDefault="00FF5C05" w:rsidP="00FF5C05">
      <w:pPr>
        <w:pStyle w:val="PMFSmedindrag"/>
      </w:pPr>
      <w:r w:rsidRPr="00B2348E">
        <w:t>Powiadomienia dokonuje się przez przedłożenie kopii świadectwa dopuszczenia Szwedzkiemu Urzędowi ds. Policji.</w:t>
      </w:r>
    </w:p>
    <w:p w14:paraId="00CED28F" w14:textId="77777777" w:rsidR="00FF5C05" w:rsidRPr="00B2348E" w:rsidRDefault="00FF5C05" w:rsidP="00FF5C05">
      <w:pPr>
        <w:pStyle w:val="PMFSrubrik2"/>
      </w:pPr>
      <w:r w:rsidRPr="00B2348E">
        <w:t>Kontrola wzrokowa</w:t>
      </w:r>
    </w:p>
    <w:p w14:paraId="1970656F" w14:textId="77777777" w:rsidR="00FF5C05" w:rsidRPr="00B2348E" w:rsidRDefault="00FF5C05" w:rsidP="00FF5C05">
      <w:pPr>
        <w:pStyle w:val="Allmnnardrubrik1"/>
        <w:rPr>
          <w:noProof w:val="0"/>
        </w:rPr>
      </w:pPr>
      <w:r w:rsidRPr="00B2348E">
        <w:t>Zalecenia ogólne</w:t>
      </w:r>
    </w:p>
    <w:p w14:paraId="07F0109F" w14:textId="77777777" w:rsidR="00FF5C05" w:rsidRPr="00B2348E" w:rsidRDefault="00FF5C05" w:rsidP="00FF5C05">
      <w:pPr>
        <w:pStyle w:val="Allmnnardutanindrag"/>
      </w:pPr>
      <w:r w:rsidRPr="00B2348E">
        <w:t>Szwedzki Urząd ds. Policji może, w związku z decyzją o wydaniu zezwolenia na zgromadzenie ogólne lub imprezę publiczną, dokonać kontroli wzrokowej atrakcji mechanicznej w parku rozrywki i nałożyć wszelkie dodatkowe warunki, które uzna za konieczne. Kontrola wzrokowa przeprowadzana przez Szwedzki Urząd ds. Policji powinna być krótka. Kontrola wzrokowa powinna ograniczać się przede wszystkim do sprawdzenia, czy istnieje świadectwo dopuszczenia, czy atrakcja mechaniczna w parku rozrywki jest zgodna z rysunkami, instrukcjami montażu itp. oraz czy zamontowane są wymagane urządzenia ochronne.</w:t>
      </w:r>
    </w:p>
    <w:p w14:paraId="1FBA52B5" w14:textId="77777777" w:rsidR="00D86736" w:rsidRPr="00B2348E" w:rsidRDefault="00211D2C" w:rsidP="00BB645F">
      <w:pPr>
        <w:pStyle w:val="PMFSrubrik2"/>
      </w:pPr>
      <w:r w:rsidRPr="00B2348E">
        <w:t xml:space="preserve">Klauzula o wzajemnym uznawaniu </w:t>
      </w:r>
    </w:p>
    <w:p w14:paraId="4A03A8A8" w14:textId="49C3AFE6" w:rsidR="00D86736" w:rsidRPr="00B2348E" w:rsidRDefault="00A37366" w:rsidP="0048078C">
      <w:pPr>
        <w:pStyle w:val="PMFSmedindrag"/>
        <w:spacing w:before="240"/>
        <w:ind w:firstLine="0"/>
      </w:pPr>
      <w:r w:rsidRPr="00B2348E">
        <w:rPr>
          <w:b/>
        </w:rPr>
        <w:t>§ 25</w:t>
      </w:r>
      <w:r w:rsidR="00115CD2">
        <w:rPr>
          <w:b/>
        </w:rPr>
        <w:tab/>
      </w:r>
      <w:r w:rsidRPr="00B2348E">
        <w:t xml:space="preserve">Towary wprowadzone zgodnie z prawem do obrotu w innym państwie członkowskim Unii Europejskiej lub w Turcji albo pochodzące z państwa EFTA będącego stroną Porozumienia EOG i wprowadzone w nim zgodnie z prawem do obrotu uznaje się za spełniające wymagania określone w §§ 4–6. Zakłada to, że towary zapewniają poziom bezpieczeństwa równoważny temu, który wynika z niniejszych przepisów.  </w:t>
      </w:r>
    </w:p>
    <w:p w14:paraId="096A0E63" w14:textId="77777777" w:rsidR="00D86736" w:rsidRPr="00B2348E" w:rsidRDefault="00D86736" w:rsidP="00D86736">
      <w:pPr>
        <w:pStyle w:val="PMFSmedindrag"/>
      </w:pPr>
      <w:r w:rsidRPr="00B2348E">
        <w:t xml:space="preserve">Stosowanie niniejszych przepisów podlega rozporządzeniu Parlamentu Europejskiego i Rady (UE) 2019/515 z dnia 19 marca 2019 r. w sprawie wzajemnego uznawania towarów zgodnie z prawem wprowadzonych do obrotu w innym państwie członkowskim oraz uchylającemu rozporządzenie (WE) nr 764/2008. </w:t>
      </w:r>
    </w:p>
    <w:p w14:paraId="44B6A390" w14:textId="77777777" w:rsidR="00FF5C05" w:rsidRPr="00B2348E" w:rsidRDefault="00FF5C05" w:rsidP="00FF5C05">
      <w:pPr>
        <w:pStyle w:val="PMFSrubrik2"/>
      </w:pPr>
      <w:r w:rsidRPr="00B2348E">
        <w:t>Wyłączenie</w:t>
      </w:r>
    </w:p>
    <w:p w14:paraId="2DAD9C9C" w14:textId="763ADC13" w:rsidR="00FF5C05" w:rsidRPr="00B2348E" w:rsidRDefault="00FF5C05" w:rsidP="00FF5C05">
      <w:pPr>
        <w:pStyle w:val="PMFSutanindrag"/>
      </w:pPr>
      <w:r w:rsidRPr="00B2348E">
        <w:rPr>
          <w:b/>
        </w:rPr>
        <w:t>§ 26</w:t>
      </w:r>
      <w:r w:rsidR="00115CD2">
        <w:rPr>
          <w:b/>
        </w:rPr>
        <w:tab/>
      </w:r>
      <w:r w:rsidRPr="00B2348E">
        <w:t>Jeżeli istnieją ku temu szczególne powody, Szwedzki Urząd ds. Policji może zezwolić na odstępstwa od niniejszych przepisów.</w:t>
      </w:r>
    </w:p>
    <w:p w14:paraId="785DE994" w14:textId="77777777" w:rsidR="00AF4D48" w:rsidRPr="00B2348E" w:rsidRDefault="00AF4D48" w:rsidP="00DF0413">
      <w:pPr>
        <w:pStyle w:val="Avslutandelinje"/>
      </w:pPr>
    </w:p>
    <w:p w14:paraId="45D6DBF6" w14:textId="356F3CC8" w:rsidR="00FF5C05" w:rsidRPr="00B2348E" w:rsidRDefault="00FF5C05" w:rsidP="00FF5C05">
      <w:pPr>
        <w:pStyle w:val="PMFSmedindrag"/>
      </w:pPr>
      <w:r w:rsidRPr="00B2348E">
        <w:t>1.</w:t>
      </w:r>
      <w:r w:rsidRPr="00B2348E">
        <w:tab/>
        <w:t>Niniejsze przepisy i zalecenia ogólne wchodzą w życie dnia 15</w:t>
      </w:r>
      <w:r w:rsidR="00115CD2">
        <w:t> </w:t>
      </w:r>
      <w:r w:rsidRPr="00B2348E">
        <w:t>maja 2026 r.</w:t>
      </w:r>
    </w:p>
    <w:p w14:paraId="5EC13652" w14:textId="1F8C8F40" w:rsidR="00FF5C05" w:rsidRPr="00B2348E" w:rsidRDefault="00FF5C05" w:rsidP="00FF5C05">
      <w:pPr>
        <w:pStyle w:val="PMFSmedindrag"/>
      </w:pPr>
      <w:r w:rsidRPr="00B2348E">
        <w:t>2.</w:t>
      </w:r>
      <w:r w:rsidRPr="00B2348E">
        <w:tab/>
        <w:t>Niniejsze przepisy uchylają przepisy i zalecenia ogólne szwedzkiego Krajowego Zarządu Policji (RPFRS 2012:15) dotyczące kontroli atrakcji mechanicznych w parkach rozrywki, FAP 513-1.</w:t>
      </w:r>
    </w:p>
    <w:p w14:paraId="354DCC58" w14:textId="77777777" w:rsidR="00FF5C05" w:rsidRPr="00B2348E" w:rsidRDefault="00FF5C05" w:rsidP="00FF5C05">
      <w:pPr>
        <w:pStyle w:val="PMFSmedindrag"/>
      </w:pPr>
      <w:r w:rsidRPr="00B2348E">
        <w:t>3.</w:t>
      </w:r>
      <w:r w:rsidRPr="00B2348E">
        <w:tab/>
        <w:t xml:space="preserve">W odniesieniu do atrakcji mechanicznych w parkach rozrywki dostarczonych przed wejściem w życie niniejszego aktu prawnego do końca 2027 r. zamiast § 7 można stosować zalecenia ogólne dotyczące prowadzenia dokumentacji zawarte w uchylonym akcie prawnym. </w:t>
      </w:r>
    </w:p>
    <w:p w14:paraId="04A51CAC" w14:textId="77777777" w:rsidR="00FF5C05" w:rsidRPr="00B2348E" w:rsidRDefault="00FF5C05" w:rsidP="00FF5C05">
      <w:pPr>
        <w:pStyle w:val="PMFSmedindrag"/>
      </w:pPr>
      <w:r w:rsidRPr="00B2348E">
        <w:t>4.</w:t>
      </w:r>
      <w:r w:rsidRPr="00B2348E">
        <w:tab/>
        <w:t>Świadectwo dopuszczenia wydane zgodnie z przepisami i zaleceniami ogólnymi Krajowego Zarządu Policji (RPSFS 2012:15) dotyczącymi kontroli atrakcji mechanicznych w parkach rozrywki, FAP 513-1, zachowuje ważność przez okres podany w świadectwie.</w:t>
      </w:r>
    </w:p>
    <w:p w14:paraId="4D4997A6" w14:textId="77777777" w:rsidR="00155324" w:rsidRPr="00B2348E" w:rsidRDefault="00155324">
      <w:pPr>
        <w:pStyle w:val="PPMsvgnar"/>
      </w:pPr>
      <w:r w:rsidRPr="00B2348E">
        <w:t>W imieniu Szwedzkiego Urzędu ds. Policji</w:t>
      </w:r>
    </w:p>
    <w:p w14:paraId="3E2F77E8" w14:textId="77777777" w:rsidR="00B66E48" w:rsidRPr="00B2348E" w:rsidRDefault="002032E7" w:rsidP="0082062F">
      <w:pPr>
        <w:pStyle w:val="Beslutande"/>
      </w:pPr>
      <w:r w:rsidRPr="00B2348E">
        <w:t>PETRA LUNDH</w:t>
      </w:r>
    </w:p>
    <w:p w14:paraId="3E17D2AD" w14:textId="77777777" w:rsidR="00155324" w:rsidRPr="00B2348E" w:rsidRDefault="00B66E48" w:rsidP="0082062F">
      <w:pPr>
        <w:pStyle w:val="Beslutande"/>
      </w:pPr>
      <w:r w:rsidRPr="00B2348E">
        <w:tab/>
      </w:r>
      <w:r w:rsidRPr="00B2348E">
        <w:tab/>
      </w:r>
      <w:r w:rsidRPr="00B2348E">
        <w:tab/>
      </w:r>
      <w:r w:rsidRPr="00B2348E">
        <w:tab/>
        <w:t>NN</w:t>
      </w:r>
    </w:p>
    <w:p w14:paraId="3F53569E" w14:textId="6E604C2F" w:rsidR="00A5601A" w:rsidRPr="00B2348E" w:rsidRDefault="00155324" w:rsidP="008F5666">
      <w:pPr>
        <w:pStyle w:val="Handlggarensenhet"/>
        <w:ind w:firstLine="283"/>
        <w:rPr>
          <w:noProof w:val="0"/>
        </w:rPr>
      </w:pPr>
      <w:r w:rsidRPr="00B2348E">
        <w:t>(Krajowy Wydział Operacyjny)</w:t>
      </w:r>
    </w:p>
    <w:sectPr w:rsidR="00A5601A" w:rsidRPr="00B2348E" w:rsidSect="00EA3D15">
      <w:headerReference w:type="even" r:id="rId10"/>
      <w:headerReference w:type="default" r:id="rId11"/>
      <w:footerReference w:type="even" r:id="rId12"/>
      <w:footerReference w:type="default" r:id="rId13"/>
      <w:footerReference w:type="first" r:id="rId14"/>
      <w:type w:val="continuous"/>
      <w:pgSz w:w="11907" w:h="16840" w:code="9"/>
      <w:pgMar w:top="680" w:right="3175" w:bottom="2211" w:left="1701" w:header="737" w:footer="16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A9683" w14:textId="77777777" w:rsidR="002032E7" w:rsidRPr="00B2348E" w:rsidRDefault="002032E7">
      <w:r w:rsidRPr="00B2348E">
        <w:separator/>
      </w:r>
    </w:p>
  </w:endnote>
  <w:endnote w:type="continuationSeparator" w:id="0">
    <w:p w14:paraId="281221EE" w14:textId="77777777" w:rsidR="002032E7" w:rsidRPr="00B2348E" w:rsidRDefault="002032E7">
      <w:r w:rsidRPr="00B23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8E3B" w14:textId="77777777" w:rsidR="002031F3" w:rsidRPr="00B2348E" w:rsidRDefault="002031F3" w:rsidP="00383816">
    <w:pPr>
      <w:pStyle w:val="Footer"/>
      <w:ind w:left="-2098"/>
    </w:pPr>
    <w:r w:rsidRPr="00B2348E">
      <w:rPr>
        <w:rStyle w:val="PageNumber"/>
      </w:rPr>
      <w:fldChar w:fldCharType="begin"/>
    </w:r>
    <w:r w:rsidRPr="00B2348E">
      <w:rPr>
        <w:rStyle w:val="PageNumber"/>
      </w:rPr>
      <w:instrText xml:space="preserve"> PAGE </w:instrText>
    </w:r>
    <w:r w:rsidRPr="00B2348E">
      <w:rPr>
        <w:rStyle w:val="PageNumber"/>
      </w:rPr>
      <w:fldChar w:fldCharType="separate"/>
    </w:r>
    <w:r w:rsidR="00884933" w:rsidRPr="00B2348E">
      <w:rPr>
        <w:rStyle w:val="PageNumber"/>
      </w:rPr>
      <w:t>2</w:t>
    </w:r>
    <w:r w:rsidRPr="00B2348E">
      <w:rPr>
        <w:rStyle w:val="PageNumber"/>
      </w:rPr>
      <w:fldChar w:fldCharType="end"/>
    </w:r>
  </w:p>
  <w:p w14:paraId="08CB2FAD" w14:textId="77777777" w:rsidR="002031F3" w:rsidRPr="00B2348E" w:rsidRDefault="002031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E547" w14:textId="77777777" w:rsidR="002031F3" w:rsidRPr="00B2348E" w:rsidRDefault="002031F3" w:rsidP="00383816">
    <w:pPr>
      <w:pStyle w:val="Footer"/>
      <w:ind w:right="-2155"/>
      <w:jc w:val="right"/>
    </w:pPr>
    <w:r w:rsidRPr="00B2348E">
      <w:rPr>
        <w:rStyle w:val="PageNumber"/>
      </w:rPr>
      <w:fldChar w:fldCharType="begin"/>
    </w:r>
    <w:r w:rsidRPr="00B2348E">
      <w:rPr>
        <w:rStyle w:val="PageNumber"/>
      </w:rPr>
      <w:instrText xml:space="preserve"> PAGE </w:instrText>
    </w:r>
    <w:r w:rsidRPr="00B2348E">
      <w:rPr>
        <w:rStyle w:val="PageNumber"/>
      </w:rPr>
      <w:fldChar w:fldCharType="separate"/>
    </w:r>
    <w:r w:rsidR="00D15B1E" w:rsidRPr="00B2348E">
      <w:rPr>
        <w:rStyle w:val="PageNumber"/>
      </w:rPr>
      <w:t>3</w:t>
    </w:r>
    <w:r w:rsidRPr="00B2348E">
      <w:rPr>
        <w:rStyle w:val="PageNumber"/>
      </w:rPr>
      <w:fldChar w:fldCharType="end"/>
    </w:r>
  </w:p>
  <w:p w14:paraId="499FA03F" w14:textId="77777777" w:rsidR="002031F3" w:rsidRPr="00B2348E" w:rsidRDefault="002031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D910" w14:textId="77777777" w:rsidR="002031F3" w:rsidRPr="00B2348E" w:rsidRDefault="002031F3" w:rsidP="00383816">
    <w:pPr>
      <w:pStyle w:val="Footer"/>
      <w:ind w:right="-2155"/>
      <w:jc w:val="right"/>
    </w:pPr>
    <w:r w:rsidRPr="00B2348E">
      <w:rPr>
        <w:rStyle w:val="PageNumber"/>
      </w:rPr>
      <w:fldChar w:fldCharType="begin"/>
    </w:r>
    <w:r w:rsidRPr="00B2348E">
      <w:rPr>
        <w:rStyle w:val="PageNumber"/>
      </w:rPr>
      <w:instrText xml:space="preserve"> PAGE </w:instrText>
    </w:r>
    <w:r w:rsidRPr="00B2348E">
      <w:rPr>
        <w:rStyle w:val="PageNumber"/>
      </w:rPr>
      <w:fldChar w:fldCharType="separate"/>
    </w:r>
    <w:r w:rsidR="00884933" w:rsidRPr="00B2348E">
      <w:rPr>
        <w:rStyle w:val="PageNumber"/>
      </w:rPr>
      <w:t>1</w:t>
    </w:r>
    <w:r w:rsidRPr="00B2348E">
      <w:rPr>
        <w:rStyle w:val="PageNumber"/>
      </w:rPr>
      <w:fldChar w:fldCharType="end"/>
    </w:r>
  </w:p>
  <w:p w14:paraId="15040DD6" w14:textId="77777777" w:rsidR="002031F3" w:rsidRPr="00B2348E" w:rsidRDefault="002031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FB046" w14:textId="77777777" w:rsidR="002032E7" w:rsidRPr="00B2348E" w:rsidRDefault="002032E7">
      <w:pPr>
        <w:pStyle w:val="Footer"/>
      </w:pPr>
    </w:p>
  </w:footnote>
  <w:footnote w:type="continuationSeparator" w:id="0">
    <w:p w14:paraId="44B5BEDC" w14:textId="77777777" w:rsidR="002032E7" w:rsidRPr="00B2348E" w:rsidRDefault="002032E7">
      <w:r w:rsidRPr="00B2348E">
        <w:continuationSeparator/>
      </w:r>
    </w:p>
  </w:footnote>
  <w:footnote w:id="1">
    <w:p w14:paraId="1CE8986A" w14:textId="77777777" w:rsidR="006C67EE" w:rsidRPr="00B2348E" w:rsidRDefault="006C67EE">
      <w:pPr>
        <w:pStyle w:val="FootnoteText"/>
      </w:pPr>
      <w:r w:rsidRPr="00B2348E">
        <w:rPr>
          <w:rStyle w:val="FootnoteReference"/>
        </w:rPr>
        <w:footnoteRef/>
      </w:r>
      <w:r w:rsidRPr="00B2348E">
        <w:t xml:space="preserve"> Powiadomienie zostało dokonane zgodnie z dyrektywą (UE) 2015/1535 Parlamentu Europejskiego i Rady z dnia 9 września 2015 r. ustanawiającą procedurę udzielania informacji w dziedzinie przepisów technicznych oraz zasad dotyczących usług społeczeństwa informacyjnego.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239AE" w14:textId="77777777" w:rsidR="002031F3" w:rsidRPr="00B2348E" w:rsidRDefault="002031F3" w:rsidP="00103A17">
    <w:pPr>
      <w:framePr w:w="1778" w:h="269" w:wrap="around" w:vAnchor="page" w:hAnchor="page" w:x="1381" w:y="961" w:anchorLock="1"/>
      <w:rPr>
        <w:b/>
        <w:sz w:val="21"/>
      </w:rPr>
    </w:pPr>
    <w:r w:rsidRPr="00B2348E">
      <w:rPr>
        <w:b/>
        <w:sz w:val="21"/>
      </w:rPr>
      <w:t xml:space="preserve">PMFS </w:t>
    </w:r>
    <w:r w:rsidRPr="00B2348E">
      <w:rPr>
        <w:b/>
        <w:sz w:val="21"/>
      </w:rPr>
      <w:fldChar w:fldCharType="begin"/>
    </w:r>
    <w:r w:rsidRPr="00B2348E">
      <w:rPr>
        <w:b/>
        <w:sz w:val="21"/>
      </w:rPr>
      <w:instrText xml:space="preserve"> DOCPROPERTY  SG_PMFSId  </w:instrText>
    </w:r>
    <w:r w:rsidRPr="00B2348E">
      <w:rPr>
        <w:b/>
        <w:sz w:val="21"/>
      </w:rPr>
      <w:fldChar w:fldCharType="separate"/>
    </w:r>
    <w:r w:rsidR="00C76197" w:rsidRPr="00B2348E">
      <w:rPr>
        <w:b/>
        <w:sz w:val="21"/>
      </w:rPr>
      <w:t>2026:XX</w:t>
    </w:r>
    <w:r w:rsidRPr="00B2348E">
      <w:rPr>
        <w:b/>
        <w:sz w:val="21"/>
      </w:rPr>
      <w:fldChar w:fldCharType="end"/>
    </w:r>
  </w:p>
  <w:p w14:paraId="69FB9C34" w14:textId="77777777" w:rsidR="002031F3" w:rsidRPr="00B2348E" w:rsidRDefault="002031F3">
    <w:pPr>
      <w:pStyle w:val="Header"/>
      <w:ind w:left="-249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1E9B" w14:textId="77777777" w:rsidR="002031F3" w:rsidRPr="00B2348E" w:rsidRDefault="002031F3" w:rsidP="00103A17">
    <w:pPr>
      <w:framePr w:w="1588" w:h="346" w:wrap="around" w:vAnchor="page" w:hAnchor="page" w:x="9046" w:y="1021" w:anchorLock="1"/>
      <w:rPr>
        <w:b/>
        <w:sz w:val="21"/>
      </w:rPr>
    </w:pPr>
    <w:r w:rsidRPr="00B2348E">
      <w:rPr>
        <w:b/>
        <w:sz w:val="21"/>
      </w:rPr>
      <w:t xml:space="preserve">PMFS </w:t>
    </w:r>
    <w:r w:rsidRPr="00B2348E">
      <w:rPr>
        <w:b/>
        <w:sz w:val="21"/>
      </w:rPr>
      <w:fldChar w:fldCharType="begin"/>
    </w:r>
    <w:r w:rsidRPr="00B2348E">
      <w:rPr>
        <w:b/>
        <w:sz w:val="21"/>
      </w:rPr>
      <w:instrText xml:space="preserve"> DOCPROPERTY  SG_PMFSId  </w:instrText>
    </w:r>
    <w:r w:rsidRPr="00B2348E">
      <w:rPr>
        <w:b/>
        <w:sz w:val="21"/>
      </w:rPr>
      <w:fldChar w:fldCharType="separate"/>
    </w:r>
    <w:r w:rsidR="00C76197" w:rsidRPr="00B2348E">
      <w:rPr>
        <w:b/>
        <w:sz w:val="21"/>
      </w:rPr>
      <w:t>2026:XX</w:t>
    </w:r>
    <w:r w:rsidRPr="00B2348E">
      <w:rPr>
        <w:b/>
        <w:sz w:val="21"/>
      </w:rPr>
      <w:fldChar w:fldCharType="end"/>
    </w:r>
  </w:p>
  <w:p w14:paraId="2A281E1D" w14:textId="77777777" w:rsidR="002031F3" w:rsidRPr="00B2348E" w:rsidRDefault="002031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1E2A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06D3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2E5C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C7C4F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EE6BE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A241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9ECF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42236E"/>
    <w:lvl w:ilvl="0">
      <w:start w:val="1"/>
      <w:numFmt w:val="decimal"/>
      <w:pStyle w:val="ListBullet2"/>
      <w:lvlText w:val="%1."/>
      <w:lvlJc w:val="left"/>
      <w:pPr>
        <w:tabs>
          <w:tab w:val="num" w:pos="1097"/>
        </w:tabs>
        <w:ind w:left="1021" w:hanging="284"/>
      </w:pPr>
      <w:rPr>
        <w:rFonts w:hint="default"/>
      </w:rPr>
    </w:lvl>
  </w:abstractNum>
  <w:abstractNum w:abstractNumId="8" w15:restartNumberingAfterBreak="0">
    <w:nsid w:val="FFFFFF88"/>
    <w:multiLevelType w:val="singleLevel"/>
    <w:tmpl w:val="804085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10E1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3B05C31"/>
    <w:multiLevelType w:val="singleLevel"/>
    <w:tmpl w:val="6242171E"/>
    <w:lvl w:ilvl="0">
      <w:start w:val="1"/>
      <w:numFmt w:val="decimal"/>
      <w:pStyle w:val="PMFSplistasiffra"/>
      <w:lvlText w:val="%1."/>
      <w:lvlJc w:val="left"/>
      <w:pPr>
        <w:tabs>
          <w:tab w:val="num" w:pos="530"/>
        </w:tabs>
        <w:ind w:left="482" w:hanging="312"/>
      </w:pPr>
      <w:rPr>
        <w:rFonts w:hint="default"/>
      </w:rPr>
    </w:lvl>
  </w:abstractNum>
  <w:abstractNum w:abstractNumId="11" w15:restartNumberingAfterBreak="0">
    <w:nsid w:val="24202738"/>
    <w:multiLevelType w:val="multilevel"/>
    <w:tmpl w:val="99D27DE4"/>
    <w:lvl w:ilvl="0">
      <w:start w:val="1"/>
      <w:numFmt w:val="decimal"/>
      <w:lvlRestart w:val="0"/>
      <w:pStyle w:val="Allmnnardplistasiffra"/>
      <w:lvlText w:val="%1."/>
      <w:lvlJc w:val="left"/>
      <w:pPr>
        <w:tabs>
          <w:tab w:val="num" w:pos="1162"/>
        </w:tabs>
        <w:ind w:left="1162" w:hanging="368"/>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15:restartNumberingAfterBreak="0">
    <w:nsid w:val="2C834AED"/>
    <w:multiLevelType w:val="multilevel"/>
    <w:tmpl w:val="4DC01232"/>
    <w:lvl w:ilvl="0">
      <w:start w:val="1"/>
      <w:numFmt w:val="decimal"/>
      <w:lvlText w:val="%1"/>
      <w:lvlJc w:val="left"/>
      <w:pPr>
        <w:tabs>
          <w:tab w:val="num" w:pos="624"/>
        </w:tabs>
        <w:ind w:left="624" w:hanging="624"/>
      </w:pPr>
    </w:lvl>
    <w:lvl w:ilvl="1">
      <w:start w:val="1"/>
      <w:numFmt w:val="decimal"/>
      <w:lvlText w:val="%1.%2"/>
      <w:lvlJc w:val="left"/>
      <w:pPr>
        <w:tabs>
          <w:tab w:val="num" w:pos="624"/>
        </w:tabs>
        <w:ind w:left="624" w:hanging="624"/>
      </w:pPr>
    </w:lvl>
    <w:lvl w:ilvl="2">
      <w:start w:val="1"/>
      <w:numFmt w:val="decimal"/>
      <w:lvlText w:val="%1.%2.%3"/>
      <w:lvlJc w:val="left"/>
      <w:pPr>
        <w:tabs>
          <w:tab w:val="num" w:pos="720"/>
        </w:tabs>
        <w:ind w:left="0" w:firstLine="0"/>
      </w:pPr>
    </w:lvl>
    <w:lvl w:ilvl="3">
      <w:start w:val="1"/>
      <w:numFmt w:val="decimal"/>
      <w:lvlText w:val="%1.%2.%3.%4"/>
      <w:lvlJc w:val="left"/>
      <w:pPr>
        <w:tabs>
          <w:tab w:val="num" w:pos="1304"/>
        </w:tabs>
        <w:ind w:left="1304" w:hanging="1304"/>
      </w:pPr>
    </w:lvl>
    <w:lvl w:ilvl="4">
      <w:start w:val="1"/>
      <w:numFmt w:val="decimal"/>
      <w:lvlText w:val="%1.%2.%3.%4.%5"/>
      <w:lvlJc w:val="left"/>
      <w:pPr>
        <w:tabs>
          <w:tab w:val="num" w:pos="1985"/>
        </w:tabs>
        <w:ind w:left="1985" w:hanging="1985"/>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3BA60003"/>
    <w:multiLevelType w:val="singleLevel"/>
    <w:tmpl w:val="E8B62F70"/>
    <w:lvl w:ilvl="0">
      <w:start w:val="1"/>
      <w:numFmt w:val="lowerLetter"/>
      <w:lvlRestart w:val="0"/>
      <w:pStyle w:val="Allmnnardplistabokstav"/>
      <w:lvlText w:val="%1)"/>
      <w:lvlJc w:val="left"/>
      <w:pPr>
        <w:tabs>
          <w:tab w:val="num" w:pos="1097"/>
        </w:tabs>
        <w:ind w:left="1021" w:hanging="284"/>
      </w:pPr>
    </w:lvl>
  </w:abstractNum>
  <w:abstractNum w:abstractNumId="14" w15:restartNumberingAfterBreak="0">
    <w:nsid w:val="5D110FBD"/>
    <w:multiLevelType w:val="singleLevel"/>
    <w:tmpl w:val="4628FDFC"/>
    <w:lvl w:ilvl="0">
      <w:start w:val="1"/>
      <w:numFmt w:val="bullet"/>
      <w:pStyle w:val="Allmnnardplistastreck"/>
      <w:lvlText w:val="-"/>
      <w:lvlJc w:val="left"/>
      <w:pPr>
        <w:tabs>
          <w:tab w:val="num" w:pos="1457"/>
        </w:tabs>
        <w:ind w:left="1021" w:hanging="284"/>
      </w:pPr>
      <w:rPr>
        <w:rFonts w:ascii="Times New Roman" w:hAnsi="Times New Roman" w:hint="default"/>
      </w:rPr>
    </w:lvl>
  </w:abstractNum>
  <w:abstractNum w:abstractNumId="15" w15:restartNumberingAfterBreak="0">
    <w:nsid w:val="6C7805ED"/>
    <w:multiLevelType w:val="singleLevel"/>
    <w:tmpl w:val="429EF318"/>
    <w:lvl w:ilvl="0">
      <w:start w:val="1"/>
      <w:numFmt w:val="bullet"/>
      <w:pStyle w:val="PMFSplistastreck"/>
      <w:lvlText w:val="-"/>
      <w:lvlJc w:val="left"/>
      <w:pPr>
        <w:tabs>
          <w:tab w:val="num" w:pos="530"/>
        </w:tabs>
        <w:ind w:left="482" w:hanging="312"/>
      </w:pPr>
      <w:rPr>
        <w:rFonts w:ascii="Times New Roman" w:hAnsi="Times New Roman" w:hint="default"/>
      </w:rPr>
    </w:lvl>
  </w:abstractNum>
  <w:abstractNum w:abstractNumId="16" w15:restartNumberingAfterBreak="0">
    <w:nsid w:val="73BC4EDE"/>
    <w:multiLevelType w:val="multilevel"/>
    <w:tmpl w:val="BDE0E960"/>
    <w:lvl w:ilvl="0">
      <w:start w:val="1"/>
      <w:numFmt w:val="decimal"/>
      <w:lvlRestart w:val="0"/>
      <w:pStyle w:val="Momentrubrik1"/>
      <w:lvlText w:val="%1"/>
      <w:lvlJc w:val="left"/>
      <w:pPr>
        <w:tabs>
          <w:tab w:val="num" w:pos="170"/>
        </w:tabs>
        <w:ind w:left="170" w:hanging="170"/>
      </w:pPr>
      <w:rPr>
        <w:rFonts w:hint="default"/>
      </w:rPr>
    </w:lvl>
    <w:lvl w:ilvl="1">
      <w:start w:val="1"/>
      <w:numFmt w:val="decimal"/>
      <w:pStyle w:val="Momentrubrik2"/>
      <w:lvlText w:val="%1.%2"/>
      <w:lvlJc w:val="left"/>
      <w:pPr>
        <w:tabs>
          <w:tab w:val="num" w:pos="624"/>
        </w:tabs>
        <w:ind w:left="624" w:hanging="624"/>
      </w:pPr>
      <w:rPr>
        <w:rFonts w:hint="default"/>
      </w:rPr>
    </w:lvl>
    <w:lvl w:ilvl="2">
      <w:start w:val="1"/>
      <w:numFmt w:val="decimal"/>
      <w:pStyle w:val="Momenttextnumrerad"/>
      <w:lvlText w:val="%1.%2.%3"/>
      <w:lvlJc w:val="left"/>
      <w:pPr>
        <w:tabs>
          <w:tab w:val="num" w:pos="624"/>
        </w:tabs>
        <w:ind w:left="624" w:hanging="62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984"/>
        </w:tabs>
        <w:ind w:left="1984" w:hanging="1984"/>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15:restartNumberingAfterBreak="0">
    <w:nsid w:val="7AF44728"/>
    <w:multiLevelType w:val="singleLevel"/>
    <w:tmpl w:val="099850A6"/>
    <w:lvl w:ilvl="0">
      <w:start w:val="1"/>
      <w:numFmt w:val="lowerLetter"/>
      <w:lvlRestart w:val="0"/>
      <w:pStyle w:val="PMFSplistabokstav"/>
      <w:lvlText w:val="%1)"/>
      <w:lvlJc w:val="left"/>
      <w:pPr>
        <w:tabs>
          <w:tab w:val="num" w:pos="530"/>
        </w:tabs>
        <w:ind w:left="482" w:hanging="312"/>
      </w:pPr>
    </w:lvl>
  </w:abstractNum>
  <w:num w:numId="1">
    <w:abstractNumId w:val="9"/>
  </w:num>
  <w:num w:numId="2">
    <w:abstractNumId w:val="7"/>
  </w:num>
  <w:num w:numId="3">
    <w:abstractNumId w:val="6"/>
  </w:num>
  <w:num w:numId="4">
    <w:abstractNumId w:val="7"/>
  </w:num>
  <w:num w:numId="5">
    <w:abstractNumId w:val="14"/>
  </w:num>
  <w:num w:numId="6">
    <w:abstractNumId w:val="13"/>
  </w:num>
  <w:num w:numId="7">
    <w:abstractNumId w:val="10"/>
  </w:num>
  <w:num w:numId="8">
    <w:abstractNumId w:val="17"/>
  </w:num>
  <w:num w:numId="9">
    <w:abstractNumId w:val="15"/>
  </w:num>
  <w:num w:numId="10">
    <w:abstractNumId w:val="12"/>
  </w:num>
  <w:num w:numId="11">
    <w:abstractNumId w:val="16"/>
  </w:num>
  <w:num w:numId="12">
    <w:abstractNumId w:val="8"/>
  </w:num>
  <w:num w:numId="13">
    <w:abstractNumId w:val="3"/>
  </w:num>
  <w:num w:numId="14">
    <w:abstractNumId w:val="2"/>
  </w:num>
  <w:num w:numId="15">
    <w:abstractNumId w:val="1"/>
  </w:num>
  <w:num w:numId="16">
    <w:abstractNumId w:val="0"/>
  </w:num>
  <w:num w:numId="17">
    <w:abstractNumId w:val="5"/>
  </w:num>
  <w:num w:numId="18">
    <w:abstractNumId w:val="4"/>
  </w:num>
  <w:num w:numId="19">
    <w:abstractNumId w:val="17"/>
  </w:num>
  <w:num w:numId="20">
    <w:abstractNumId w:val="10"/>
  </w:num>
  <w:num w:numId="21">
    <w:abstractNumId w:val="15"/>
  </w:num>
  <w:num w:numId="22">
    <w:abstractNumId w:val="13"/>
  </w:num>
  <w:num w:numId="23">
    <w:abstractNumId w:val="11"/>
  </w:num>
  <w:num w:numId="24">
    <w:abstractNumId w:val="14"/>
  </w:num>
  <w:num w:numId="25">
    <w:abstractNumId w:val="13"/>
  </w:num>
  <w:num w:numId="26">
    <w:abstractNumId w:val="11"/>
  </w:num>
  <w:num w:numId="27">
    <w:abstractNumId w:val="14"/>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0"/>
    <w:lvlOverride w:ilvl="0">
      <w:startOverride w:val="1"/>
    </w:lvlOverride>
  </w:num>
  <w:num w:numId="34">
    <w:abstractNumId w:val="10"/>
  </w:num>
  <w:num w:numId="35">
    <w:abstractNumId w:val="10"/>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consecutiveHyphenLimit w:val="6"/>
  <w:hyphenationZone w:val="320"/>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E7"/>
    <w:rsid w:val="00001CEB"/>
    <w:rsid w:val="00006F87"/>
    <w:rsid w:val="00012D98"/>
    <w:rsid w:val="000139A6"/>
    <w:rsid w:val="000145EC"/>
    <w:rsid w:val="00015D20"/>
    <w:rsid w:val="00021D8B"/>
    <w:rsid w:val="0002239E"/>
    <w:rsid w:val="000224A7"/>
    <w:rsid w:val="00026CF1"/>
    <w:rsid w:val="00035CDD"/>
    <w:rsid w:val="00040F76"/>
    <w:rsid w:val="00046088"/>
    <w:rsid w:val="00050FCA"/>
    <w:rsid w:val="000533C8"/>
    <w:rsid w:val="00053622"/>
    <w:rsid w:val="00055400"/>
    <w:rsid w:val="00056CFE"/>
    <w:rsid w:val="00056EB2"/>
    <w:rsid w:val="000721A2"/>
    <w:rsid w:val="00072DDC"/>
    <w:rsid w:val="00073EB3"/>
    <w:rsid w:val="00085828"/>
    <w:rsid w:val="000860C3"/>
    <w:rsid w:val="00086B30"/>
    <w:rsid w:val="00090503"/>
    <w:rsid w:val="000965EF"/>
    <w:rsid w:val="00096E82"/>
    <w:rsid w:val="000B0C0D"/>
    <w:rsid w:val="000B538B"/>
    <w:rsid w:val="000D0915"/>
    <w:rsid w:val="000D1FE4"/>
    <w:rsid w:val="000E1EB2"/>
    <w:rsid w:val="000E4195"/>
    <w:rsid w:val="000E5037"/>
    <w:rsid w:val="000E531C"/>
    <w:rsid w:val="000E65C7"/>
    <w:rsid w:val="000F69B4"/>
    <w:rsid w:val="0010197C"/>
    <w:rsid w:val="00103A17"/>
    <w:rsid w:val="00114813"/>
    <w:rsid w:val="00115CD2"/>
    <w:rsid w:val="00121573"/>
    <w:rsid w:val="0012441A"/>
    <w:rsid w:val="00127D5F"/>
    <w:rsid w:val="00131CA2"/>
    <w:rsid w:val="00132BB2"/>
    <w:rsid w:val="00133FAB"/>
    <w:rsid w:val="001409A3"/>
    <w:rsid w:val="001418DA"/>
    <w:rsid w:val="00145F69"/>
    <w:rsid w:val="00153668"/>
    <w:rsid w:val="00154C05"/>
    <w:rsid w:val="00155324"/>
    <w:rsid w:val="00155B9F"/>
    <w:rsid w:val="00167575"/>
    <w:rsid w:val="001716E0"/>
    <w:rsid w:val="00175DD0"/>
    <w:rsid w:val="00180EF8"/>
    <w:rsid w:val="00185FEC"/>
    <w:rsid w:val="00190838"/>
    <w:rsid w:val="001A1AB4"/>
    <w:rsid w:val="001A1AC3"/>
    <w:rsid w:val="001A5B8B"/>
    <w:rsid w:val="001B0624"/>
    <w:rsid w:val="001D327F"/>
    <w:rsid w:val="001D53BE"/>
    <w:rsid w:val="001D708E"/>
    <w:rsid w:val="001E23E2"/>
    <w:rsid w:val="001E3ED1"/>
    <w:rsid w:val="001E5DD9"/>
    <w:rsid w:val="001E6A47"/>
    <w:rsid w:val="001E70D6"/>
    <w:rsid w:val="001F5FD8"/>
    <w:rsid w:val="00201F67"/>
    <w:rsid w:val="002031F3"/>
    <w:rsid w:val="002032E7"/>
    <w:rsid w:val="00205590"/>
    <w:rsid w:val="00206191"/>
    <w:rsid w:val="00206787"/>
    <w:rsid w:val="00211D2C"/>
    <w:rsid w:val="002152C0"/>
    <w:rsid w:val="002231BA"/>
    <w:rsid w:val="00232D95"/>
    <w:rsid w:val="002374E8"/>
    <w:rsid w:val="00237D68"/>
    <w:rsid w:val="00240114"/>
    <w:rsid w:val="0024144F"/>
    <w:rsid w:val="00250531"/>
    <w:rsid w:val="00252E3F"/>
    <w:rsid w:val="002534BD"/>
    <w:rsid w:val="002610CF"/>
    <w:rsid w:val="00263EF1"/>
    <w:rsid w:val="00266E7D"/>
    <w:rsid w:val="00267ADB"/>
    <w:rsid w:val="00283D1E"/>
    <w:rsid w:val="0029506B"/>
    <w:rsid w:val="002A58FC"/>
    <w:rsid w:val="002A6E00"/>
    <w:rsid w:val="002B760F"/>
    <w:rsid w:val="002C03D9"/>
    <w:rsid w:val="002C131C"/>
    <w:rsid w:val="002C39B7"/>
    <w:rsid w:val="002D2695"/>
    <w:rsid w:val="002D688B"/>
    <w:rsid w:val="002E30AA"/>
    <w:rsid w:val="002E529B"/>
    <w:rsid w:val="002E761A"/>
    <w:rsid w:val="002F5204"/>
    <w:rsid w:val="002F67D4"/>
    <w:rsid w:val="003001C1"/>
    <w:rsid w:val="00314C4B"/>
    <w:rsid w:val="003154B0"/>
    <w:rsid w:val="00317A68"/>
    <w:rsid w:val="0032174C"/>
    <w:rsid w:val="00322199"/>
    <w:rsid w:val="00324F47"/>
    <w:rsid w:val="003262F2"/>
    <w:rsid w:val="00326B26"/>
    <w:rsid w:val="00327078"/>
    <w:rsid w:val="003359FA"/>
    <w:rsid w:val="00343C31"/>
    <w:rsid w:val="00344340"/>
    <w:rsid w:val="00355968"/>
    <w:rsid w:val="00355F37"/>
    <w:rsid w:val="00360227"/>
    <w:rsid w:val="003622C1"/>
    <w:rsid w:val="00374845"/>
    <w:rsid w:val="00374F47"/>
    <w:rsid w:val="003768FC"/>
    <w:rsid w:val="00377995"/>
    <w:rsid w:val="00380CAD"/>
    <w:rsid w:val="00382666"/>
    <w:rsid w:val="00383816"/>
    <w:rsid w:val="003838B1"/>
    <w:rsid w:val="003856AE"/>
    <w:rsid w:val="003874FB"/>
    <w:rsid w:val="00390449"/>
    <w:rsid w:val="00394898"/>
    <w:rsid w:val="003964A2"/>
    <w:rsid w:val="003A2ACB"/>
    <w:rsid w:val="003A2F24"/>
    <w:rsid w:val="003A3700"/>
    <w:rsid w:val="003A5C80"/>
    <w:rsid w:val="003B04A4"/>
    <w:rsid w:val="003B06A3"/>
    <w:rsid w:val="003B133B"/>
    <w:rsid w:val="003B283D"/>
    <w:rsid w:val="003B480C"/>
    <w:rsid w:val="003C3BC5"/>
    <w:rsid w:val="003C57BB"/>
    <w:rsid w:val="003D03F2"/>
    <w:rsid w:val="003D1375"/>
    <w:rsid w:val="003D51C9"/>
    <w:rsid w:val="003D5921"/>
    <w:rsid w:val="003D6418"/>
    <w:rsid w:val="003E0B57"/>
    <w:rsid w:val="003E3A7B"/>
    <w:rsid w:val="003E3AB7"/>
    <w:rsid w:val="003E41B1"/>
    <w:rsid w:val="003F4899"/>
    <w:rsid w:val="00406CDF"/>
    <w:rsid w:val="004147F4"/>
    <w:rsid w:val="004206B0"/>
    <w:rsid w:val="00424B7D"/>
    <w:rsid w:val="00433C80"/>
    <w:rsid w:val="0043628F"/>
    <w:rsid w:val="00452C1B"/>
    <w:rsid w:val="00462510"/>
    <w:rsid w:val="004627B8"/>
    <w:rsid w:val="00471E10"/>
    <w:rsid w:val="004756BD"/>
    <w:rsid w:val="0048078C"/>
    <w:rsid w:val="00491C0A"/>
    <w:rsid w:val="00492CDD"/>
    <w:rsid w:val="004976A5"/>
    <w:rsid w:val="004A135D"/>
    <w:rsid w:val="004A16E5"/>
    <w:rsid w:val="004A1B1A"/>
    <w:rsid w:val="004A7550"/>
    <w:rsid w:val="004B0FAF"/>
    <w:rsid w:val="004B554D"/>
    <w:rsid w:val="004C2F63"/>
    <w:rsid w:val="004C489A"/>
    <w:rsid w:val="004D1114"/>
    <w:rsid w:val="004D23E2"/>
    <w:rsid w:val="004D2F52"/>
    <w:rsid w:val="004D3112"/>
    <w:rsid w:val="004D3CC1"/>
    <w:rsid w:val="004D7A2D"/>
    <w:rsid w:val="004E135D"/>
    <w:rsid w:val="004F14DA"/>
    <w:rsid w:val="004F2AE5"/>
    <w:rsid w:val="00506FD7"/>
    <w:rsid w:val="00507C2A"/>
    <w:rsid w:val="0051770A"/>
    <w:rsid w:val="00517E16"/>
    <w:rsid w:val="005216D3"/>
    <w:rsid w:val="005257F9"/>
    <w:rsid w:val="005260DE"/>
    <w:rsid w:val="00536D51"/>
    <w:rsid w:val="00546421"/>
    <w:rsid w:val="00551080"/>
    <w:rsid w:val="00556D9B"/>
    <w:rsid w:val="00557720"/>
    <w:rsid w:val="00560DAB"/>
    <w:rsid w:val="00562AE0"/>
    <w:rsid w:val="005646A2"/>
    <w:rsid w:val="00574690"/>
    <w:rsid w:val="005756F2"/>
    <w:rsid w:val="00575794"/>
    <w:rsid w:val="005800D8"/>
    <w:rsid w:val="005841A6"/>
    <w:rsid w:val="0058560B"/>
    <w:rsid w:val="005857D8"/>
    <w:rsid w:val="00593D89"/>
    <w:rsid w:val="005959B1"/>
    <w:rsid w:val="00595A92"/>
    <w:rsid w:val="00597910"/>
    <w:rsid w:val="00597A8E"/>
    <w:rsid w:val="005A4CEC"/>
    <w:rsid w:val="005B2620"/>
    <w:rsid w:val="005B4C44"/>
    <w:rsid w:val="005C116F"/>
    <w:rsid w:val="005D6897"/>
    <w:rsid w:val="005E244E"/>
    <w:rsid w:val="005E3B88"/>
    <w:rsid w:val="005E6038"/>
    <w:rsid w:val="005F033C"/>
    <w:rsid w:val="005F17BF"/>
    <w:rsid w:val="005F3A80"/>
    <w:rsid w:val="005F79FA"/>
    <w:rsid w:val="00600E80"/>
    <w:rsid w:val="00612CBC"/>
    <w:rsid w:val="006211B4"/>
    <w:rsid w:val="0062710B"/>
    <w:rsid w:val="00632903"/>
    <w:rsid w:val="00632E55"/>
    <w:rsid w:val="006340DB"/>
    <w:rsid w:val="006345FA"/>
    <w:rsid w:val="00641ECD"/>
    <w:rsid w:val="00647C15"/>
    <w:rsid w:val="00651F0B"/>
    <w:rsid w:val="0065320B"/>
    <w:rsid w:val="00653C51"/>
    <w:rsid w:val="006548FE"/>
    <w:rsid w:val="006578DA"/>
    <w:rsid w:val="0066088C"/>
    <w:rsid w:val="0066642D"/>
    <w:rsid w:val="00674D35"/>
    <w:rsid w:val="0067647A"/>
    <w:rsid w:val="00682495"/>
    <w:rsid w:val="006839EC"/>
    <w:rsid w:val="00687BC2"/>
    <w:rsid w:val="006925C9"/>
    <w:rsid w:val="00692BAE"/>
    <w:rsid w:val="00694419"/>
    <w:rsid w:val="006A3DC0"/>
    <w:rsid w:val="006A54A2"/>
    <w:rsid w:val="006B2240"/>
    <w:rsid w:val="006B306C"/>
    <w:rsid w:val="006C2057"/>
    <w:rsid w:val="006C67EE"/>
    <w:rsid w:val="006D32B6"/>
    <w:rsid w:val="006E2E3B"/>
    <w:rsid w:val="006F4527"/>
    <w:rsid w:val="00705931"/>
    <w:rsid w:val="00710A5D"/>
    <w:rsid w:val="00717CB3"/>
    <w:rsid w:val="00730F5A"/>
    <w:rsid w:val="00731E06"/>
    <w:rsid w:val="00731E48"/>
    <w:rsid w:val="0074683E"/>
    <w:rsid w:val="00750348"/>
    <w:rsid w:val="00751402"/>
    <w:rsid w:val="00752F66"/>
    <w:rsid w:val="00755FFF"/>
    <w:rsid w:val="00762998"/>
    <w:rsid w:val="00763405"/>
    <w:rsid w:val="00764384"/>
    <w:rsid w:val="00764B6E"/>
    <w:rsid w:val="00764F59"/>
    <w:rsid w:val="00766F16"/>
    <w:rsid w:val="0076713A"/>
    <w:rsid w:val="0077133B"/>
    <w:rsid w:val="00777DA5"/>
    <w:rsid w:val="007808A0"/>
    <w:rsid w:val="0078420F"/>
    <w:rsid w:val="007864A5"/>
    <w:rsid w:val="00790F21"/>
    <w:rsid w:val="0079467D"/>
    <w:rsid w:val="007978DC"/>
    <w:rsid w:val="007B055B"/>
    <w:rsid w:val="007B369D"/>
    <w:rsid w:val="007C4DA1"/>
    <w:rsid w:val="007E15A8"/>
    <w:rsid w:val="007E3B4C"/>
    <w:rsid w:val="007E53B8"/>
    <w:rsid w:val="0080487F"/>
    <w:rsid w:val="00806EFF"/>
    <w:rsid w:val="008110EB"/>
    <w:rsid w:val="00813872"/>
    <w:rsid w:val="0082062F"/>
    <w:rsid w:val="0082568E"/>
    <w:rsid w:val="0083379D"/>
    <w:rsid w:val="0083431A"/>
    <w:rsid w:val="00834D28"/>
    <w:rsid w:val="00844574"/>
    <w:rsid w:val="00847FEF"/>
    <w:rsid w:val="00852BC7"/>
    <w:rsid w:val="0085435B"/>
    <w:rsid w:val="00856F7F"/>
    <w:rsid w:val="008573E7"/>
    <w:rsid w:val="008573F4"/>
    <w:rsid w:val="00863E95"/>
    <w:rsid w:val="0087329E"/>
    <w:rsid w:val="00873AD7"/>
    <w:rsid w:val="008740D1"/>
    <w:rsid w:val="00876B61"/>
    <w:rsid w:val="00880497"/>
    <w:rsid w:val="008824E0"/>
    <w:rsid w:val="0088251B"/>
    <w:rsid w:val="00884933"/>
    <w:rsid w:val="008902BA"/>
    <w:rsid w:val="00895C1F"/>
    <w:rsid w:val="008B11DB"/>
    <w:rsid w:val="008D1702"/>
    <w:rsid w:val="008D4B27"/>
    <w:rsid w:val="008E1A7F"/>
    <w:rsid w:val="008E5596"/>
    <w:rsid w:val="008E59E9"/>
    <w:rsid w:val="008E69D8"/>
    <w:rsid w:val="008F5666"/>
    <w:rsid w:val="008F6E4A"/>
    <w:rsid w:val="009003A4"/>
    <w:rsid w:val="00901FBD"/>
    <w:rsid w:val="00903195"/>
    <w:rsid w:val="00906CBE"/>
    <w:rsid w:val="00910EAD"/>
    <w:rsid w:val="009150E5"/>
    <w:rsid w:val="00916669"/>
    <w:rsid w:val="009234CB"/>
    <w:rsid w:val="00932E50"/>
    <w:rsid w:val="009402CB"/>
    <w:rsid w:val="0094035C"/>
    <w:rsid w:val="0094200F"/>
    <w:rsid w:val="00946409"/>
    <w:rsid w:val="00947083"/>
    <w:rsid w:val="00956392"/>
    <w:rsid w:val="009728FC"/>
    <w:rsid w:val="00982FAD"/>
    <w:rsid w:val="009A092D"/>
    <w:rsid w:val="009A3D37"/>
    <w:rsid w:val="009A6027"/>
    <w:rsid w:val="009B2338"/>
    <w:rsid w:val="009B404E"/>
    <w:rsid w:val="009C57B2"/>
    <w:rsid w:val="009C5AC7"/>
    <w:rsid w:val="009C6874"/>
    <w:rsid w:val="009D42F0"/>
    <w:rsid w:val="009E31C4"/>
    <w:rsid w:val="009F4B7C"/>
    <w:rsid w:val="009F76AB"/>
    <w:rsid w:val="00A01A5C"/>
    <w:rsid w:val="00A16740"/>
    <w:rsid w:val="00A2263D"/>
    <w:rsid w:val="00A26A65"/>
    <w:rsid w:val="00A3685B"/>
    <w:rsid w:val="00A37366"/>
    <w:rsid w:val="00A41716"/>
    <w:rsid w:val="00A538CD"/>
    <w:rsid w:val="00A5539E"/>
    <w:rsid w:val="00A557D8"/>
    <w:rsid w:val="00A5601A"/>
    <w:rsid w:val="00A603B9"/>
    <w:rsid w:val="00A71C67"/>
    <w:rsid w:val="00A72201"/>
    <w:rsid w:val="00A725FD"/>
    <w:rsid w:val="00A83603"/>
    <w:rsid w:val="00A83FE1"/>
    <w:rsid w:val="00AA1D14"/>
    <w:rsid w:val="00AA1F31"/>
    <w:rsid w:val="00AA1FAF"/>
    <w:rsid w:val="00AA68F4"/>
    <w:rsid w:val="00AB1866"/>
    <w:rsid w:val="00AC366B"/>
    <w:rsid w:val="00AC60D8"/>
    <w:rsid w:val="00AD24DF"/>
    <w:rsid w:val="00AD5011"/>
    <w:rsid w:val="00AE45D9"/>
    <w:rsid w:val="00AE505B"/>
    <w:rsid w:val="00AF0ECB"/>
    <w:rsid w:val="00AF25D2"/>
    <w:rsid w:val="00AF309C"/>
    <w:rsid w:val="00AF4D48"/>
    <w:rsid w:val="00AF5B10"/>
    <w:rsid w:val="00AF78DA"/>
    <w:rsid w:val="00B00430"/>
    <w:rsid w:val="00B0386E"/>
    <w:rsid w:val="00B05667"/>
    <w:rsid w:val="00B17DF5"/>
    <w:rsid w:val="00B2348E"/>
    <w:rsid w:val="00B255CC"/>
    <w:rsid w:val="00B3464D"/>
    <w:rsid w:val="00B40927"/>
    <w:rsid w:val="00B433A7"/>
    <w:rsid w:val="00B438F0"/>
    <w:rsid w:val="00B46C0B"/>
    <w:rsid w:val="00B47AED"/>
    <w:rsid w:val="00B63721"/>
    <w:rsid w:val="00B66E48"/>
    <w:rsid w:val="00B7700E"/>
    <w:rsid w:val="00B90425"/>
    <w:rsid w:val="00B915CD"/>
    <w:rsid w:val="00B9456D"/>
    <w:rsid w:val="00B954AE"/>
    <w:rsid w:val="00B96897"/>
    <w:rsid w:val="00B976A1"/>
    <w:rsid w:val="00BA178B"/>
    <w:rsid w:val="00BA36E7"/>
    <w:rsid w:val="00BB0319"/>
    <w:rsid w:val="00BB645F"/>
    <w:rsid w:val="00BB6FE6"/>
    <w:rsid w:val="00BC11E3"/>
    <w:rsid w:val="00BD0AAD"/>
    <w:rsid w:val="00BD3D22"/>
    <w:rsid w:val="00BD52FC"/>
    <w:rsid w:val="00BE01B6"/>
    <w:rsid w:val="00BE4E63"/>
    <w:rsid w:val="00BE6111"/>
    <w:rsid w:val="00BF7F56"/>
    <w:rsid w:val="00C0492A"/>
    <w:rsid w:val="00C07722"/>
    <w:rsid w:val="00C2147C"/>
    <w:rsid w:val="00C278EB"/>
    <w:rsid w:val="00C35A99"/>
    <w:rsid w:val="00C42972"/>
    <w:rsid w:val="00C50464"/>
    <w:rsid w:val="00C51C19"/>
    <w:rsid w:val="00C6622B"/>
    <w:rsid w:val="00C67B33"/>
    <w:rsid w:val="00C76197"/>
    <w:rsid w:val="00C849BA"/>
    <w:rsid w:val="00C90BB2"/>
    <w:rsid w:val="00CA018D"/>
    <w:rsid w:val="00CA7277"/>
    <w:rsid w:val="00CB2624"/>
    <w:rsid w:val="00CB7D68"/>
    <w:rsid w:val="00CC15FD"/>
    <w:rsid w:val="00CC3878"/>
    <w:rsid w:val="00CD7B38"/>
    <w:rsid w:val="00CF159E"/>
    <w:rsid w:val="00CF69E9"/>
    <w:rsid w:val="00D028B7"/>
    <w:rsid w:val="00D0596E"/>
    <w:rsid w:val="00D15B1E"/>
    <w:rsid w:val="00D21F11"/>
    <w:rsid w:val="00D31C5C"/>
    <w:rsid w:val="00D4043B"/>
    <w:rsid w:val="00D40EF5"/>
    <w:rsid w:val="00D433F2"/>
    <w:rsid w:val="00D50094"/>
    <w:rsid w:val="00D50D16"/>
    <w:rsid w:val="00D51338"/>
    <w:rsid w:val="00D55F89"/>
    <w:rsid w:val="00D60FB9"/>
    <w:rsid w:val="00D6146B"/>
    <w:rsid w:val="00D667DF"/>
    <w:rsid w:val="00D71C72"/>
    <w:rsid w:val="00D76F7B"/>
    <w:rsid w:val="00D8002D"/>
    <w:rsid w:val="00D86736"/>
    <w:rsid w:val="00D923AF"/>
    <w:rsid w:val="00D93A15"/>
    <w:rsid w:val="00D94180"/>
    <w:rsid w:val="00DB15EF"/>
    <w:rsid w:val="00DC3044"/>
    <w:rsid w:val="00DC7BD3"/>
    <w:rsid w:val="00DD4682"/>
    <w:rsid w:val="00DD4A2D"/>
    <w:rsid w:val="00DD5147"/>
    <w:rsid w:val="00DD53B9"/>
    <w:rsid w:val="00DE4CEF"/>
    <w:rsid w:val="00DE5D40"/>
    <w:rsid w:val="00DE7661"/>
    <w:rsid w:val="00DF012D"/>
    <w:rsid w:val="00DF0413"/>
    <w:rsid w:val="00DF2BE5"/>
    <w:rsid w:val="00DF5CAB"/>
    <w:rsid w:val="00DF7677"/>
    <w:rsid w:val="00E0217E"/>
    <w:rsid w:val="00E030FC"/>
    <w:rsid w:val="00E12CB5"/>
    <w:rsid w:val="00E138B8"/>
    <w:rsid w:val="00E327AC"/>
    <w:rsid w:val="00E35D9E"/>
    <w:rsid w:val="00E429EA"/>
    <w:rsid w:val="00E5459F"/>
    <w:rsid w:val="00E562C6"/>
    <w:rsid w:val="00E565F3"/>
    <w:rsid w:val="00E566F8"/>
    <w:rsid w:val="00E6038A"/>
    <w:rsid w:val="00E604FB"/>
    <w:rsid w:val="00E62A67"/>
    <w:rsid w:val="00E67E3D"/>
    <w:rsid w:val="00E75EE1"/>
    <w:rsid w:val="00E84CD2"/>
    <w:rsid w:val="00E94F37"/>
    <w:rsid w:val="00EA113A"/>
    <w:rsid w:val="00EA3D15"/>
    <w:rsid w:val="00EA59DD"/>
    <w:rsid w:val="00EA7C30"/>
    <w:rsid w:val="00EB101B"/>
    <w:rsid w:val="00EB189F"/>
    <w:rsid w:val="00EB2055"/>
    <w:rsid w:val="00EC0410"/>
    <w:rsid w:val="00EC601C"/>
    <w:rsid w:val="00EC66EC"/>
    <w:rsid w:val="00ED01EE"/>
    <w:rsid w:val="00ED20EF"/>
    <w:rsid w:val="00ED2C66"/>
    <w:rsid w:val="00ED455C"/>
    <w:rsid w:val="00EE703E"/>
    <w:rsid w:val="00EE7405"/>
    <w:rsid w:val="00F132F6"/>
    <w:rsid w:val="00F15021"/>
    <w:rsid w:val="00F158F4"/>
    <w:rsid w:val="00F206DB"/>
    <w:rsid w:val="00F24185"/>
    <w:rsid w:val="00F259BB"/>
    <w:rsid w:val="00F25BC9"/>
    <w:rsid w:val="00F2779C"/>
    <w:rsid w:val="00F32710"/>
    <w:rsid w:val="00F40D4D"/>
    <w:rsid w:val="00F4176B"/>
    <w:rsid w:val="00F46261"/>
    <w:rsid w:val="00F463F8"/>
    <w:rsid w:val="00F55432"/>
    <w:rsid w:val="00F56749"/>
    <w:rsid w:val="00F57916"/>
    <w:rsid w:val="00F63C5B"/>
    <w:rsid w:val="00F660C3"/>
    <w:rsid w:val="00F66B0E"/>
    <w:rsid w:val="00F70686"/>
    <w:rsid w:val="00F70E5B"/>
    <w:rsid w:val="00F73392"/>
    <w:rsid w:val="00F7577E"/>
    <w:rsid w:val="00F80183"/>
    <w:rsid w:val="00F86F72"/>
    <w:rsid w:val="00F9549A"/>
    <w:rsid w:val="00FB2D1B"/>
    <w:rsid w:val="00FB493E"/>
    <w:rsid w:val="00FB6DDF"/>
    <w:rsid w:val="00FC12FB"/>
    <w:rsid w:val="00FC143E"/>
    <w:rsid w:val="00FD2CBB"/>
    <w:rsid w:val="00FE2B5B"/>
    <w:rsid w:val="00FF2619"/>
    <w:rsid w:val="00FF5C0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636E80"/>
  <w15:docId w15:val="{CFED6A0F-0AC6-4A08-95E8-9B265C2E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2BB2"/>
    <w:rPr>
      <w:sz w:val="24"/>
    </w:rPr>
  </w:style>
  <w:style w:type="paragraph" w:styleId="Heading1">
    <w:name w:val="heading 1"/>
    <w:next w:val="PMFSutanindrag"/>
    <w:link w:val="Heading1Char"/>
    <w:qFormat/>
    <w:rsid w:val="00BF7F56"/>
    <w:pPr>
      <w:keepNext/>
      <w:tabs>
        <w:tab w:val="left" w:pos="170"/>
        <w:tab w:val="left" w:pos="397"/>
        <w:tab w:val="left" w:pos="510"/>
        <w:tab w:val="left" w:pos="3062"/>
      </w:tabs>
      <w:spacing w:before="400" w:line="292" w:lineRule="atLeast"/>
      <w:outlineLvl w:val="0"/>
    </w:pPr>
    <w:rPr>
      <w:b/>
      <w:sz w:val="27"/>
    </w:rPr>
  </w:style>
  <w:style w:type="paragraph" w:styleId="Heading2">
    <w:name w:val="heading 2"/>
    <w:basedOn w:val="Normal"/>
    <w:next w:val="Normal"/>
    <w:link w:val="Heading2Char"/>
    <w:qFormat/>
    <w:rsid w:val="00374F47"/>
    <w:pPr>
      <w:keepNext/>
      <w:tabs>
        <w:tab w:val="left" w:pos="170"/>
        <w:tab w:val="left" w:pos="397"/>
        <w:tab w:val="left" w:pos="3062"/>
      </w:tabs>
      <w:spacing w:before="120"/>
      <w:outlineLvl w:val="1"/>
    </w:pPr>
    <w:rPr>
      <w:rFonts w:eastAsiaTheme="majorEastAsia" w:cstheme="majorBidi"/>
      <w:b/>
      <w:bCs/>
      <w:szCs w:val="26"/>
    </w:rPr>
  </w:style>
  <w:style w:type="paragraph" w:styleId="Heading3">
    <w:name w:val="heading 3"/>
    <w:basedOn w:val="Normal"/>
    <w:next w:val="Normal"/>
    <w:link w:val="Heading3Char"/>
    <w:qFormat/>
    <w:rsid w:val="00CC3878"/>
    <w:pPr>
      <w:keepNext/>
      <w:keepLines/>
      <w:spacing w:before="200"/>
      <w:outlineLvl w:val="2"/>
    </w:pPr>
    <w:rPr>
      <w:rFonts w:asciiTheme="majorHAnsi" w:eastAsiaTheme="majorEastAsia" w:hAnsiTheme="majorHAnsi" w:cstheme="majorBidi"/>
      <w:b/>
      <w:bCs/>
      <w:color w:val="165A9B" w:themeColor="accent1"/>
    </w:rPr>
  </w:style>
  <w:style w:type="paragraph" w:styleId="Heading4">
    <w:name w:val="heading 4"/>
    <w:basedOn w:val="Normal"/>
    <w:next w:val="Normal"/>
    <w:link w:val="Heading4Char"/>
    <w:semiHidden/>
    <w:unhideWhenUsed/>
    <w:qFormat/>
    <w:rsid w:val="00CC3878"/>
    <w:pPr>
      <w:keepNext/>
      <w:keepLines/>
      <w:spacing w:before="200"/>
      <w:outlineLvl w:val="3"/>
    </w:pPr>
    <w:rPr>
      <w:rFonts w:asciiTheme="majorHAnsi" w:eastAsiaTheme="majorEastAsia" w:hAnsiTheme="majorHAnsi" w:cstheme="majorBidi"/>
      <w:b/>
      <w:bCs/>
      <w:i/>
      <w:iCs/>
      <w:color w:val="165A9B" w:themeColor="accent1"/>
    </w:rPr>
  </w:style>
  <w:style w:type="paragraph" w:styleId="Heading5">
    <w:name w:val="heading 5"/>
    <w:basedOn w:val="Normal"/>
    <w:next w:val="Normal"/>
    <w:link w:val="Heading5Char"/>
    <w:semiHidden/>
    <w:unhideWhenUsed/>
    <w:qFormat/>
    <w:rsid w:val="00CC3878"/>
    <w:pPr>
      <w:keepNext/>
      <w:keepLines/>
      <w:spacing w:before="200"/>
      <w:outlineLvl w:val="4"/>
    </w:pPr>
    <w:rPr>
      <w:rFonts w:asciiTheme="majorHAnsi" w:eastAsiaTheme="majorEastAsia" w:hAnsiTheme="majorHAnsi" w:cstheme="majorBidi"/>
      <w:color w:val="0B2C4D" w:themeColor="accent1" w:themeShade="7F"/>
    </w:rPr>
  </w:style>
  <w:style w:type="paragraph" w:styleId="Heading6">
    <w:name w:val="heading 6"/>
    <w:basedOn w:val="Normal"/>
    <w:next w:val="Normal"/>
    <w:link w:val="Heading6Char"/>
    <w:semiHidden/>
    <w:unhideWhenUsed/>
    <w:qFormat/>
    <w:rsid w:val="00CC3878"/>
    <w:pPr>
      <w:keepNext/>
      <w:keepLines/>
      <w:spacing w:before="200"/>
      <w:outlineLvl w:val="5"/>
    </w:pPr>
    <w:rPr>
      <w:rFonts w:asciiTheme="majorHAnsi" w:eastAsiaTheme="majorEastAsia" w:hAnsiTheme="majorHAnsi" w:cstheme="majorBidi"/>
      <w:i/>
      <w:iCs/>
      <w:color w:val="0B2C4D" w:themeColor="accent1" w:themeShade="7F"/>
    </w:rPr>
  </w:style>
  <w:style w:type="paragraph" w:styleId="Heading7">
    <w:name w:val="heading 7"/>
    <w:basedOn w:val="Normal"/>
    <w:next w:val="Normal"/>
    <w:link w:val="Heading7Char"/>
    <w:semiHidden/>
    <w:unhideWhenUsed/>
    <w:qFormat/>
    <w:rsid w:val="00CC3878"/>
    <w:pPr>
      <w:keepNext/>
      <w:keepLines/>
      <w:spacing w:before="200"/>
      <w:outlineLvl w:val="6"/>
    </w:pPr>
    <w:rPr>
      <w:rFonts w:asciiTheme="majorHAnsi" w:eastAsiaTheme="majorEastAsia" w:hAnsiTheme="majorHAnsi" w:cstheme="majorBidi"/>
      <w:i/>
      <w:iCs/>
      <w:color w:val="595959" w:themeColor="text1" w:themeTint="BF"/>
    </w:rPr>
  </w:style>
  <w:style w:type="paragraph" w:styleId="Heading8">
    <w:name w:val="heading 8"/>
    <w:basedOn w:val="Normal"/>
    <w:next w:val="Normal"/>
    <w:link w:val="Heading8Char"/>
    <w:semiHidden/>
    <w:unhideWhenUsed/>
    <w:qFormat/>
    <w:rsid w:val="00CC3878"/>
    <w:pPr>
      <w:keepNext/>
      <w:keepLines/>
      <w:spacing w:before="200"/>
      <w:outlineLvl w:val="7"/>
    </w:pPr>
    <w:rPr>
      <w:rFonts w:asciiTheme="majorHAnsi" w:eastAsiaTheme="majorEastAsia" w:hAnsiTheme="majorHAnsi" w:cstheme="majorBidi"/>
      <w:color w:val="595959" w:themeColor="text1" w:themeTint="BF"/>
      <w:sz w:val="20"/>
    </w:rPr>
  </w:style>
  <w:style w:type="paragraph" w:styleId="Heading9">
    <w:name w:val="heading 9"/>
    <w:basedOn w:val="Normal"/>
    <w:next w:val="Normal"/>
    <w:link w:val="Heading9Char"/>
    <w:semiHidden/>
    <w:unhideWhenUsed/>
    <w:qFormat/>
    <w:rsid w:val="00CC3878"/>
    <w:pPr>
      <w:keepNext/>
      <w:keepLines/>
      <w:spacing w:before="200"/>
      <w:outlineLvl w:val="8"/>
    </w:pPr>
    <w:rPr>
      <w:rFonts w:asciiTheme="majorHAnsi" w:eastAsiaTheme="majorEastAsia" w:hAnsiTheme="majorHAnsi" w:cstheme="majorBidi"/>
      <w:i/>
      <w:iCs/>
      <w:color w:val="595959"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rPr>
      <w:sz w:val="20"/>
    </w:rPr>
  </w:style>
  <w:style w:type="paragraph" w:customStyle="1" w:styleId="Streck">
    <w:name w:val="Streck"/>
    <w:basedOn w:val="Normal"/>
    <w:next w:val="Normal"/>
    <w:pPr>
      <w:tabs>
        <w:tab w:val="left" w:pos="2835"/>
      </w:tabs>
      <w:jc w:val="both"/>
    </w:pPr>
    <w:rPr>
      <w:sz w:val="25"/>
    </w:rPr>
  </w:style>
  <w:style w:type="paragraph" w:customStyle="1" w:styleId="PMFSmedindrag">
    <w:name w:val="PMFS med indrag"/>
    <w:basedOn w:val="Normal"/>
    <w:rsid w:val="00FB6DDF"/>
    <w:pPr>
      <w:tabs>
        <w:tab w:val="left" w:pos="168"/>
        <w:tab w:val="left" w:pos="595"/>
        <w:tab w:val="left" w:pos="3060"/>
      </w:tabs>
      <w:ind w:firstLine="227"/>
      <w:jc w:val="both"/>
    </w:pPr>
  </w:style>
  <w:style w:type="paragraph" w:customStyle="1" w:styleId="PMFSinledning">
    <w:name w:val="PMFS inledning"/>
    <w:basedOn w:val="Normal"/>
    <w:next w:val="PMFSmedindrag"/>
    <w:pPr>
      <w:tabs>
        <w:tab w:val="left" w:pos="168"/>
        <w:tab w:val="left" w:pos="396"/>
        <w:tab w:val="left" w:pos="3060"/>
      </w:tabs>
      <w:spacing w:before="220" w:after="250"/>
      <w:jc w:val="both"/>
    </w:pPr>
    <w:rPr>
      <w:kern w:val="1"/>
    </w:rPr>
  </w:style>
  <w:style w:type="paragraph" w:customStyle="1" w:styleId="PMFSutanindrag">
    <w:name w:val="PMFS utan indrag"/>
    <w:basedOn w:val="Normal"/>
    <w:next w:val="PMFSmedindrag"/>
    <w:rsid w:val="004B554D"/>
    <w:pPr>
      <w:tabs>
        <w:tab w:val="left" w:pos="482"/>
        <w:tab w:val="left" w:pos="595"/>
        <w:tab w:val="left" w:pos="3060"/>
      </w:tabs>
      <w:spacing w:before="120"/>
      <w:jc w:val="both"/>
    </w:pPr>
    <w:rPr>
      <w:kern w:val="1"/>
    </w:rPr>
  </w:style>
  <w:style w:type="paragraph" w:customStyle="1" w:styleId="PMFSrubrik2">
    <w:name w:val="PMFS rubrik 2"/>
    <w:basedOn w:val="Normal"/>
    <w:next w:val="PMFSutanindrag"/>
    <w:rsid w:val="0083431A"/>
    <w:pPr>
      <w:keepNext/>
      <w:tabs>
        <w:tab w:val="left" w:pos="168"/>
        <w:tab w:val="left" w:pos="396"/>
        <w:tab w:val="left" w:pos="3060"/>
      </w:tabs>
      <w:spacing w:before="400" w:after="20"/>
      <w:jc w:val="both"/>
    </w:pPr>
    <w:rPr>
      <w:b/>
      <w:sz w:val="27"/>
    </w:rPr>
  </w:style>
  <w:style w:type="paragraph" w:customStyle="1" w:styleId="PMFSplistastreck">
    <w:name w:val="PMFS plista streck"/>
    <w:next w:val="TomtStycke"/>
    <w:rsid w:val="00085828"/>
    <w:pPr>
      <w:numPr>
        <w:numId w:val="21"/>
      </w:numPr>
      <w:tabs>
        <w:tab w:val="clear" w:pos="530"/>
        <w:tab w:val="left" w:pos="227"/>
        <w:tab w:val="left" w:pos="595"/>
        <w:tab w:val="left" w:pos="680"/>
      </w:tabs>
      <w:spacing w:before="30" w:after="30" w:line="292" w:lineRule="atLeast"/>
    </w:pPr>
    <w:rPr>
      <w:kern w:val="16"/>
      <w:sz w:val="24"/>
    </w:rPr>
  </w:style>
  <w:style w:type="paragraph" w:customStyle="1" w:styleId="PMFSrubrik3">
    <w:name w:val="PMFS rubrik 3"/>
    <w:basedOn w:val="PMFSrubrik2"/>
    <w:next w:val="PMFSutanindrag"/>
    <w:rsid w:val="00C67B33"/>
    <w:pPr>
      <w:spacing w:before="120"/>
    </w:pPr>
    <w:rPr>
      <w:sz w:val="24"/>
    </w:rPr>
  </w:style>
  <w:style w:type="paragraph" w:customStyle="1" w:styleId="TomtStycke">
    <w:name w:val="TomtStycke"/>
    <w:basedOn w:val="PMFSmedindrag"/>
    <w:next w:val="PMFSutanindrag"/>
    <w:rsid w:val="008573F4"/>
    <w:pPr>
      <w:tabs>
        <w:tab w:val="clear" w:pos="168"/>
        <w:tab w:val="clear" w:pos="3060"/>
      </w:tabs>
      <w:ind w:left="227" w:firstLine="0"/>
    </w:pPr>
    <w:rPr>
      <w:sz w:val="11"/>
    </w:rPr>
  </w:style>
  <w:style w:type="paragraph" w:styleId="Caption">
    <w:name w:val="caption"/>
    <w:basedOn w:val="Normal"/>
    <w:next w:val="Normal"/>
    <w:qFormat/>
    <w:rsid w:val="000533C8"/>
    <w:pPr>
      <w:spacing w:before="200" w:line="350" w:lineRule="exact"/>
    </w:pPr>
    <w:rPr>
      <w:b/>
      <w:sz w:val="31"/>
    </w:rPr>
  </w:style>
  <w:style w:type="paragraph" w:styleId="Footer">
    <w:name w:val="footer"/>
    <w:basedOn w:val="Normal"/>
    <w:pPr>
      <w:tabs>
        <w:tab w:val="center" w:pos="4536"/>
        <w:tab w:val="right" w:pos="9072"/>
      </w:tabs>
    </w:pPr>
  </w:style>
  <w:style w:type="character" w:styleId="PageNumber">
    <w:name w:val="page number"/>
    <w:basedOn w:val="DefaultParagraphFont"/>
    <w:rPr>
      <w:lang w:val="pl-PL"/>
    </w:rPr>
  </w:style>
  <w:style w:type="paragraph" w:styleId="Signature">
    <w:name w:val="Signature"/>
    <w:basedOn w:val="Normal"/>
    <w:pPr>
      <w:ind w:left="4252"/>
    </w:pPr>
  </w:style>
  <w:style w:type="paragraph" w:customStyle="1" w:styleId="Titelrubrik">
    <w:name w:val="Titelrubrik"/>
    <w:next w:val="ISSNnr"/>
    <w:rsid w:val="00E6038A"/>
    <w:pPr>
      <w:spacing w:before="80" w:after="100"/>
    </w:pPr>
    <w:rPr>
      <w:b/>
      <w:kern w:val="36"/>
      <w:sz w:val="40"/>
    </w:rPr>
  </w:style>
  <w:style w:type="paragraph" w:customStyle="1" w:styleId="ISSNnr">
    <w:name w:val="ISSNnr"/>
    <w:next w:val="Utgivare"/>
    <w:rsid w:val="00BE4E63"/>
    <w:rPr>
      <w:noProof/>
      <w:sz w:val="24"/>
    </w:rPr>
  </w:style>
  <w:style w:type="paragraph" w:customStyle="1" w:styleId="Utgivare">
    <w:name w:val="Utgivare"/>
    <w:next w:val="Normal"/>
    <w:rsid w:val="000D0915"/>
    <w:pPr>
      <w:spacing w:after="20"/>
    </w:pPr>
    <w:rPr>
      <w:noProof/>
      <w:sz w:val="24"/>
    </w:rPr>
  </w:style>
  <w:style w:type="paragraph" w:customStyle="1" w:styleId="PMFSnr">
    <w:name w:val="PMFSnr"/>
    <w:rsid w:val="00932E50"/>
    <w:pPr>
      <w:framePr w:w="1996" w:h="1741" w:hRule="exact" w:wrap="around" w:vAnchor="page" w:hAnchor="page" w:x="7202" w:y="2331" w:anchorLock="1"/>
      <w:spacing w:after="30"/>
    </w:pPr>
    <w:rPr>
      <w:b/>
      <w:noProof/>
      <w:sz w:val="30"/>
    </w:rPr>
  </w:style>
  <w:style w:type="paragraph" w:customStyle="1" w:styleId="FAPnr">
    <w:name w:val="FAPnr"/>
    <w:rsid w:val="00932E50"/>
    <w:pPr>
      <w:framePr w:w="1996" w:h="1741" w:hRule="exact" w:wrap="around" w:vAnchor="page" w:hAnchor="page" w:x="7202" w:y="2331" w:anchorLock="1"/>
      <w:spacing w:after="50"/>
    </w:pPr>
    <w:rPr>
      <w:b/>
      <w:noProof/>
      <w:sz w:val="30"/>
    </w:rPr>
  </w:style>
  <w:style w:type="paragraph" w:customStyle="1" w:styleId="Utkomfrantrycket">
    <w:name w:val="Utkomfrantrycket"/>
    <w:rsid w:val="002A6E00"/>
    <w:pPr>
      <w:framePr w:w="1996" w:h="1741" w:hRule="exact" w:wrap="around" w:vAnchor="page" w:hAnchor="page" w:x="7202" w:y="2331" w:anchorLock="1"/>
      <w:spacing w:before="160"/>
    </w:pPr>
    <w:rPr>
      <w:noProof/>
      <w:sz w:val="21"/>
    </w:rPr>
  </w:style>
  <w:style w:type="paragraph" w:customStyle="1" w:styleId="PMFSrubrik4">
    <w:name w:val="PMFS rubrik 4"/>
    <w:basedOn w:val="PMFSrubrik3b"/>
    <w:next w:val="PMFSutanindrag"/>
    <w:rsid w:val="004F14DA"/>
  </w:style>
  <w:style w:type="paragraph" w:customStyle="1" w:styleId="Tabelltext">
    <w:name w:val="Tabelltext"/>
    <w:rsid w:val="00705931"/>
    <w:pPr>
      <w:spacing w:line="292" w:lineRule="atLeast"/>
    </w:pPr>
    <w:rPr>
      <w:noProof/>
      <w:sz w:val="24"/>
    </w:rPr>
  </w:style>
  <w:style w:type="paragraph" w:customStyle="1" w:styleId="Tabellrubrik">
    <w:name w:val="Tabellrubrik"/>
    <w:basedOn w:val="Tabelltext"/>
    <w:rsid w:val="0066088C"/>
    <w:pPr>
      <w:spacing w:before="20" w:after="40"/>
    </w:pPr>
    <w:rPr>
      <w:b/>
    </w:rPr>
  </w:style>
  <w:style w:type="paragraph" w:customStyle="1" w:styleId="Momenttextonumrerad">
    <w:name w:val="Momenttext onumrerad"/>
    <w:basedOn w:val="PMFSutanindrag"/>
    <w:pPr>
      <w:spacing w:before="60" w:after="60"/>
    </w:pPr>
  </w:style>
  <w:style w:type="paragraph" w:customStyle="1" w:styleId="Momentrubrik1">
    <w:name w:val="Momentrubrik 1"/>
    <w:basedOn w:val="PMFSrubrik2"/>
    <w:next w:val="Momenttextonumrerad"/>
    <w:rsid w:val="00055400"/>
    <w:pPr>
      <w:numPr>
        <w:numId w:val="11"/>
      </w:numPr>
      <w:tabs>
        <w:tab w:val="clear" w:pos="170"/>
        <w:tab w:val="clear" w:pos="396"/>
        <w:tab w:val="clear" w:pos="3060"/>
        <w:tab w:val="left" w:pos="227"/>
        <w:tab w:val="left" w:pos="369"/>
        <w:tab w:val="left" w:pos="482"/>
        <w:tab w:val="left" w:pos="3061"/>
      </w:tabs>
      <w:ind w:left="227" w:hanging="227"/>
    </w:pPr>
  </w:style>
  <w:style w:type="paragraph" w:customStyle="1" w:styleId="PMFSrubrik3b">
    <w:name w:val="PMFS rubrik 3b"/>
    <w:basedOn w:val="PMFSrubrik3"/>
    <w:next w:val="PMFSutanindrag"/>
    <w:pPr>
      <w:spacing w:before="360"/>
    </w:pPr>
  </w:style>
  <w:style w:type="paragraph" w:customStyle="1" w:styleId="Allmnnardmedindrag">
    <w:name w:val="Allmänna råd med indrag"/>
    <w:basedOn w:val="PMFSmedindrag"/>
    <w:rsid w:val="00C07722"/>
    <w:pPr>
      <w:tabs>
        <w:tab w:val="clear" w:pos="595"/>
        <w:tab w:val="left" w:pos="396"/>
        <w:tab w:val="left" w:pos="510"/>
      </w:tabs>
      <w:ind w:left="567"/>
    </w:pPr>
  </w:style>
  <w:style w:type="paragraph" w:customStyle="1" w:styleId="Allmnnardutanindrag">
    <w:name w:val="Allmänna råd utan indrag"/>
    <w:basedOn w:val="Allmnnardmedindrag"/>
    <w:next w:val="Allmnnardmedindrag"/>
    <w:rsid w:val="00C07722"/>
    <w:pPr>
      <w:spacing w:before="100"/>
      <w:ind w:firstLine="0"/>
    </w:pPr>
  </w:style>
  <w:style w:type="paragraph" w:customStyle="1" w:styleId="Allmnnardrubrik2">
    <w:name w:val="Allmänna råd rubrik 2"/>
    <w:next w:val="Allmnnardutanindrag"/>
    <w:rsid w:val="004F14DA"/>
    <w:pPr>
      <w:spacing w:before="120"/>
      <w:ind w:left="567"/>
    </w:pPr>
    <w:rPr>
      <w:b/>
      <w:noProof/>
      <w:sz w:val="24"/>
    </w:rPr>
  </w:style>
  <w:style w:type="paragraph" w:customStyle="1" w:styleId="Allmnnardrubrik1">
    <w:name w:val="Allmänna råd rubrik 1"/>
    <w:basedOn w:val="Allmnnardrubrik2"/>
    <w:next w:val="Allmnnardutanindrag"/>
    <w:rsid w:val="00E327AC"/>
    <w:pPr>
      <w:tabs>
        <w:tab w:val="left" w:pos="567"/>
        <w:tab w:val="left" w:pos="964"/>
        <w:tab w:val="left" w:pos="1134"/>
      </w:tabs>
      <w:spacing w:before="280"/>
    </w:pPr>
  </w:style>
  <w:style w:type="paragraph" w:customStyle="1" w:styleId="Beslutande">
    <w:name w:val="Beslutande"/>
    <w:basedOn w:val="Normal"/>
    <w:next w:val="Normal"/>
    <w:pPr>
      <w:tabs>
        <w:tab w:val="left" w:pos="168"/>
        <w:tab w:val="left" w:pos="396"/>
        <w:tab w:val="left" w:pos="3060"/>
      </w:tabs>
      <w:spacing w:before="240"/>
      <w:jc w:val="both"/>
    </w:pPr>
    <w:rPr>
      <w:kern w:val="1"/>
    </w:rPr>
  </w:style>
  <w:style w:type="paragraph" w:customStyle="1" w:styleId="Handlggare">
    <w:name w:val="Handläggare"/>
    <w:next w:val="Normal"/>
    <w:rsid w:val="004B0FAF"/>
    <w:pPr>
      <w:spacing w:before="120"/>
      <w:ind w:left="3629" w:right="-567"/>
    </w:pPr>
    <w:rPr>
      <w:noProof/>
      <w:sz w:val="24"/>
    </w:rPr>
  </w:style>
  <w:style w:type="paragraph" w:customStyle="1" w:styleId="Handlggarensenhet">
    <w:name w:val="Handläggarens enhet"/>
    <w:basedOn w:val="Handlggare"/>
    <w:pPr>
      <w:spacing w:before="0"/>
    </w:pPr>
  </w:style>
  <w:style w:type="paragraph" w:customStyle="1" w:styleId="PPMsvgnar">
    <w:name w:val="PåPMsvägnar"/>
    <w:basedOn w:val="PMFSutanindrag"/>
    <w:next w:val="Handlggare"/>
    <w:pPr>
      <w:tabs>
        <w:tab w:val="left" w:pos="425"/>
      </w:tabs>
      <w:spacing w:before="240"/>
    </w:pPr>
  </w:style>
  <w:style w:type="paragraph" w:customStyle="1" w:styleId="PMFSplistasiffra">
    <w:name w:val="PMFS plista siffra"/>
    <w:next w:val="TomtStycke"/>
    <w:rsid w:val="00085828"/>
    <w:pPr>
      <w:numPr>
        <w:numId w:val="20"/>
      </w:numPr>
      <w:tabs>
        <w:tab w:val="left" w:pos="227"/>
        <w:tab w:val="left" w:pos="595"/>
        <w:tab w:val="left" w:pos="680"/>
      </w:tabs>
      <w:spacing w:before="40" w:after="40" w:line="292" w:lineRule="atLeast"/>
    </w:pPr>
    <w:rPr>
      <w:kern w:val="16"/>
      <w:sz w:val="24"/>
    </w:rPr>
  </w:style>
  <w:style w:type="paragraph" w:customStyle="1" w:styleId="PMFSplistabokstav">
    <w:name w:val="PMFS plista bokstav"/>
    <w:next w:val="TomtStycke"/>
    <w:rsid w:val="00085828"/>
    <w:pPr>
      <w:numPr>
        <w:numId w:val="19"/>
      </w:numPr>
      <w:tabs>
        <w:tab w:val="clear" w:pos="530"/>
        <w:tab w:val="left" w:pos="227"/>
        <w:tab w:val="left" w:pos="595"/>
        <w:tab w:val="left" w:pos="680"/>
      </w:tabs>
      <w:spacing w:before="40" w:after="40" w:line="292" w:lineRule="atLeast"/>
    </w:pPr>
    <w:rPr>
      <w:kern w:val="16"/>
      <w:sz w:val="24"/>
    </w:rPr>
  </w:style>
  <w:style w:type="paragraph" w:customStyle="1" w:styleId="Allmnnardplistabokstav">
    <w:name w:val="Allmänna råd plista bokstav"/>
    <w:next w:val="TomtStycke"/>
    <w:rsid w:val="00F70E5B"/>
    <w:pPr>
      <w:numPr>
        <w:numId w:val="25"/>
      </w:numPr>
      <w:tabs>
        <w:tab w:val="clear" w:pos="1097"/>
        <w:tab w:val="left" w:pos="1162"/>
      </w:tabs>
      <w:spacing w:before="30" w:after="30" w:line="292" w:lineRule="atLeast"/>
    </w:pPr>
    <w:rPr>
      <w:kern w:val="16"/>
      <w:sz w:val="24"/>
    </w:rPr>
  </w:style>
  <w:style w:type="paragraph" w:customStyle="1" w:styleId="Allmnnardplistastreck">
    <w:name w:val="Allmänna råd plista streck"/>
    <w:next w:val="TomtStycke"/>
    <w:rsid w:val="00F70E5B"/>
    <w:pPr>
      <w:numPr>
        <w:numId w:val="27"/>
      </w:numPr>
      <w:tabs>
        <w:tab w:val="clear" w:pos="1457"/>
        <w:tab w:val="left" w:pos="1162"/>
      </w:tabs>
      <w:spacing w:before="30" w:after="30" w:line="292" w:lineRule="atLeast"/>
      <w:ind w:left="1162" w:hanging="369"/>
    </w:pPr>
    <w:rPr>
      <w:kern w:val="16"/>
      <w:sz w:val="24"/>
    </w:rPr>
  </w:style>
  <w:style w:type="paragraph" w:customStyle="1" w:styleId="Allmnnardplistasiffra">
    <w:name w:val="Allmänna råd plista siffra"/>
    <w:next w:val="TomtStycke"/>
    <w:rsid w:val="00050FCA"/>
    <w:pPr>
      <w:numPr>
        <w:numId w:val="23"/>
      </w:numPr>
      <w:spacing w:before="30" w:after="30" w:line="292" w:lineRule="atLeast"/>
    </w:pPr>
    <w:rPr>
      <w:kern w:val="16"/>
      <w:sz w:val="24"/>
    </w:rPr>
  </w:style>
  <w:style w:type="paragraph" w:customStyle="1" w:styleId="Momentrubrik2">
    <w:name w:val="Momentrubrik 2"/>
    <w:next w:val="Momenttextonumrerad"/>
    <w:rsid w:val="008E69D8"/>
    <w:pPr>
      <w:keepNext/>
      <w:numPr>
        <w:ilvl w:val="1"/>
        <w:numId w:val="11"/>
      </w:numPr>
      <w:tabs>
        <w:tab w:val="left" w:pos="737"/>
        <w:tab w:val="left" w:pos="851"/>
        <w:tab w:val="left" w:pos="964"/>
        <w:tab w:val="left" w:pos="3062"/>
      </w:tabs>
      <w:spacing w:before="120" w:after="20" w:line="292" w:lineRule="atLeast"/>
    </w:pPr>
    <w:rPr>
      <w:b/>
      <w:noProof/>
      <w:sz w:val="24"/>
    </w:rPr>
  </w:style>
  <w:style w:type="paragraph" w:customStyle="1" w:styleId="Momenttextnumrerad">
    <w:name w:val="Momenttext numrerad"/>
    <w:basedOn w:val="Momenttextonumrerad"/>
    <w:next w:val="Momenttextonumrerad"/>
    <w:rsid w:val="00E94F37"/>
    <w:pPr>
      <w:numPr>
        <w:ilvl w:val="2"/>
        <w:numId w:val="11"/>
      </w:numPr>
      <w:tabs>
        <w:tab w:val="clear" w:pos="482"/>
        <w:tab w:val="clear" w:pos="595"/>
        <w:tab w:val="left" w:pos="737"/>
        <w:tab w:val="left" w:pos="851"/>
        <w:tab w:val="left" w:pos="964"/>
      </w:tabs>
    </w:pPr>
  </w:style>
  <w:style w:type="paragraph" w:styleId="TOC1">
    <w:name w:val="toc 1"/>
    <w:basedOn w:val="Normal"/>
    <w:next w:val="Normal"/>
    <w:autoRedefine/>
    <w:semiHidden/>
    <w:pPr>
      <w:tabs>
        <w:tab w:val="left" w:pos="397"/>
        <w:tab w:val="right" w:leader="dot" w:pos="5868"/>
      </w:tabs>
      <w:spacing w:before="200" w:after="40"/>
      <w:ind w:left="397" w:right="340" w:hanging="397"/>
    </w:pPr>
    <w:rPr>
      <w:b/>
    </w:rPr>
  </w:style>
  <w:style w:type="paragraph" w:styleId="TOC2">
    <w:name w:val="toc 2"/>
    <w:basedOn w:val="Normal"/>
    <w:next w:val="Normal"/>
    <w:autoRedefine/>
    <w:semiHidden/>
    <w:pPr>
      <w:tabs>
        <w:tab w:val="left" w:pos="964"/>
        <w:tab w:val="right" w:leader="dot" w:pos="5868"/>
      </w:tabs>
      <w:ind w:left="964" w:right="340" w:hanging="567"/>
    </w:pPr>
  </w:style>
  <w:style w:type="paragraph" w:styleId="TOC3">
    <w:name w:val="toc 3"/>
    <w:basedOn w:val="Normal"/>
    <w:next w:val="Normal"/>
    <w:autoRedefine/>
    <w:semiHidden/>
    <w:rsid w:val="00EB101B"/>
    <w:pPr>
      <w:tabs>
        <w:tab w:val="left" w:pos="1701"/>
        <w:tab w:val="right" w:leader="dot" w:pos="5868"/>
      </w:tabs>
      <w:ind w:left="1701" w:right="340" w:hanging="737"/>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lang w:val="pl-PL"/>
    </w:rPr>
  </w:style>
  <w:style w:type="paragraph" w:styleId="EnvelopeAddress">
    <w:name w:val="envelope address"/>
    <w:basedOn w:val="Normal"/>
    <w:rsid w:val="00CC3878"/>
    <w:pPr>
      <w:framePr w:w="7938" w:h="1984" w:hRule="exact" w:hSpace="141" w:wrap="auto" w:hAnchor="page" w:xAlign="center" w:yAlign="bottom"/>
      <w:ind w:left="2880"/>
    </w:pPr>
    <w:rPr>
      <w:rFonts w:asciiTheme="majorHAnsi" w:eastAsiaTheme="majorEastAsia" w:hAnsiTheme="majorHAnsi" w:cstheme="majorBidi"/>
      <w:szCs w:val="24"/>
    </w:rPr>
  </w:style>
  <w:style w:type="paragraph" w:styleId="NoteHeading">
    <w:name w:val="Note Heading"/>
    <w:basedOn w:val="Normal"/>
    <w:next w:val="Normal"/>
    <w:link w:val="NoteHeadingChar"/>
    <w:rsid w:val="00CC3878"/>
  </w:style>
  <w:style w:type="character" w:customStyle="1" w:styleId="NoteHeadingChar">
    <w:name w:val="Note Heading Char"/>
    <w:basedOn w:val="DefaultParagraphFont"/>
    <w:link w:val="NoteHeading"/>
    <w:rsid w:val="00CC3878"/>
    <w:rPr>
      <w:sz w:val="19"/>
      <w:lang w:val="pl-PL"/>
    </w:rPr>
  </w:style>
  <w:style w:type="character" w:styleId="FollowedHyperlink">
    <w:name w:val="FollowedHyperlink"/>
    <w:basedOn w:val="DefaultParagraphFont"/>
    <w:rsid w:val="00CC3878"/>
    <w:rPr>
      <w:color w:val="954F72" w:themeColor="followedHyperlink"/>
      <w:u w:val="single"/>
      <w:lang w:val="pl-PL"/>
    </w:rPr>
  </w:style>
  <w:style w:type="paragraph" w:styleId="Closing">
    <w:name w:val="Closing"/>
    <w:basedOn w:val="Normal"/>
    <w:link w:val="ClosingChar"/>
    <w:rsid w:val="00CC3878"/>
    <w:pPr>
      <w:ind w:left="4252"/>
    </w:pPr>
  </w:style>
  <w:style w:type="character" w:customStyle="1" w:styleId="ClosingChar">
    <w:name w:val="Closing Char"/>
    <w:basedOn w:val="DefaultParagraphFont"/>
    <w:link w:val="Closing"/>
    <w:rsid w:val="00CC3878"/>
    <w:rPr>
      <w:sz w:val="19"/>
      <w:lang w:val="pl-PL"/>
    </w:rPr>
  </w:style>
  <w:style w:type="paragraph" w:styleId="EnvelopeReturn">
    <w:name w:val="envelope return"/>
    <w:basedOn w:val="Normal"/>
    <w:rsid w:val="00CC3878"/>
    <w:rPr>
      <w:rFonts w:asciiTheme="majorHAnsi" w:eastAsiaTheme="majorEastAsia" w:hAnsiTheme="majorHAnsi" w:cstheme="majorBidi"/>
      <w:sz w:val="20"/>
    </w:rPr>
  </w:style>
  <w:style w:type="paragraph" w:styleId="BalloonText">
    <w:name w:val="Balloon Text"/>
    <w:basedOn w:val="Normal"/>
    <w:link w:val="BalloonTextChar"/>
    <w:rsid w:val="00CC3878"/>
    <w:rPr>
      <w:rFonts w:ascii="Tahoma" w:hAnsi="Tahoma" w:cs="Tahoma"/>
      <w:sz w:val="16"/>
      <w:szCs w:val="16"/>
    </w:rPr>
  </w:style>
  <w:style w:type="character" w:customStyle="1" w:styleId="BalloonTextChar">
    <w:name w:val="Balloon Text Char"/>
    <w:basedOn w:val="DefaultParagraphFont"/>
    <w:link w:val="BalloonText"/>
    <w:rsid w:val="00CC3878"/>
    <w:rPr>
      <w:rFonts w:ascii="Tahoma" w:hAnsi="Tahoma" w:cs="Tahoma"/>
      <w:sz w:val="16"/>
      <w:szCs w:val="16"/>
      <w:lang w:val="pl-PL"/>
    </w:rPr>
  </w:style>
  <w:style w:type="character" w:styleId="Emphasis">
    <w:name w:val="Emphasis"/>
    <w:basedOn w:val="DefaultParagraphFont"/>
    <w:qFormat/>
    <w:rsid w:val="00CC3878"/>
    <w:rPr>
      <w:i/>
      <w:iCs/>
      <w:lang w:val="pl-PL"/>
    </w:rPr>
  </w:style>
  <w:style w:type="character" w:styleId="BookTitle">
    <w:name w:val="Book Title"/>
    <w:basedOn w:val="DefaultParagraphFont"/>
    <w:uiPriority w:val="33"/>
    <w:qFormat/>
    <w:rsid w:val="00CC3878"/>
    <w:rPr>
      <w:b/>
      <w:bCs/>
      <w:smallCaps/>
      <w:spacing w:val="5"/>
      <w:lang w:val="pl-PL"/>
    </w:rPr>
  </w:style>
  <w:style w:type="paragraph" w:styleId="BodyText">
    <w:name w:val="Body Text"/>
    <w:basedOn w:val="Normal"/>
    <w:link w:val="BodyTextChar"/>
    <w:rsid w:val="00CC3878"/>
    <w:pPr>
      <w:spacing w:after="120"/>
    </w:pPr>
  </w:style>
  <w:style w:type="character" w:customStyle="1" w:styleId="BodyTextChar">
    <w:name w:val="Body Text Char"/>
    <w:basedOn w:val="DefaultParagraphFont"/>
    <w:link w:val="BodyText"/>
    <w:rsid w:val="00CC3878"/>
    <w:rPr>
      <w:sz w:val="19"/>
      <w:lang w:val="pl-PL"/>
    </w:rPr>
  </w:style>
  <w:style w:type="paragraph" w:styleId="BodyText2">
    <w:name w:val="Body Text 2"/>
    <w:basedOn w:val="Normal"/>
    <w:link w:val="BodyText2Char"/>
    <w:rsid w:val="00CC3878"/>
    <w:pPr>
      <w:spacing w:after="120" w:line="480" w:lineRule="auto"/>
    </w:pPr>
  </w:style>
  <w:style w:type="character" w:customStyle="1" w:styleId="BodyText2Char">
    <w:name w:val="Body Text 2 Char"/>
    <w:basedOn w:val="DefaultParagraphFont"/>
    <w:link w:val="BodyText2"/>
    <w:rsid w:val="00CC3878"/>
    <w:rPr>
      <w:sz w:val="19"/>
      <w:lang w:val="pl-PL"/>
    </w:rPr>
  </w:style>
  <w:style w:type="paragraph" w:styleId="BodyText3">
    <w:name w:val="Body Text 3"/>
    <w:basedOn w:val="Normal"/>
    <w:link w:val="BodyText3Char"/>
    <w:rsid w:val="00CC3878"/>
    <w:pPr>
      <w:spacing w:after="120"/>
    </w:pPr>
    <w:rPr>
      <w:sz w:val="16"/>
      <w:szCs w:val="16"/>
    </w:rPr>
  </w:style>
  <w:style w:type="character" w:customStyle="1" w:styleId="BodyText3Char">
    <w:name w:val="Body Text 3 Char"/>
    <w:basedOn w:val="DefaultParagraphFont"/>
    <w:link w:val="BodyText3"/>
    <w:rsid w:val="00CC3878"/>
    <w:rPr>
      <w:sz w:val="16"/>
      <w:szCs w:val="16"/>
      <w:lang w:val="pl-PL"/>
    </w:rPr>
  </w:style>
  <w:style w:type="paragraph" w:styleId="BodyTextFirstIndent">
    <w:name w:val="Body Text First Indent"/>
    <w:basedOn w:val="BodyText"/>
    <w:link w:val="BodyTextFirstIndentChar"/>
    <w:rsid w:val="00CC3878"/>
    <w:pPr>
      <w:spacing w:after="0"/>
      <w:ind w:firstLine="360"/>
    </w:pPr>
  </w:style>
  <w:style w:type="character" w:customStyle="1" w:styleId="BodyTextFirstIndentChar">
    <w:name w:val="Body Text First Indent Char"/>
    <w:basedOn w:val="BodyTextChar"/>
    <w:link w:val="BodyTextFirstIndent"/>
    <w:rsid w:val="00CC3878"/>
    <w:rPr>
      <w:sz w:val="19"/>
      <w:lang w:val="pl-PL"/>
    </w:rPr>
  </w:style>
  <w:style w:type="paragraph" w:styleId="BodyTextIndent">
    <w:name w:val="Body Text Indent"/>
    <w:basedOn w:val="Normal"/>
    <w:link w:val="BodyTextIndentChar"/>
    <w:rsid w:val="00CC3878"/>
    <w:pPr>
      <w:spacing w:after="120"/>
      <w:ind w:left="283"/>
    </w:pPr>
  </w:style>
  <w:style w:type="character" w:customStyle="1" w:styleId="BodyTextIndentChar">
    <w:name w:val="Body Text Indent Char"/>
    <w:basedOn w:val="DefaultParagraphFont"/>
    <w:link w:val="BodyTextIndent"/>
    <w:rsid w:val="00CC3878"/>
    <w:rPr>
      <w:sz w:val="19"/>
      <w:lang w:val="pl-PL"/>
    </w:rPr>
  </w:style>
  <w:style w:type="paragraph" w:styleId="BodyTextFirstIndent2">
    <w:name w:val="Body Text First Indent 2"/>
    <w:basedOn w:val="BodyTextIndent"/>
    <w:link w:val="BodyTextFirstIndent2Char"/>
    <w:rsid w:val="00CC3878"/>
    <w:pPr>
      <w:spacing w:after="0"/>
      <w:ind w:left="360" w:firstLine="360"/>
    </w:pPr>
  </w:style>
  <w:style w:type="character" w:customStyle="1" w:styleId="BodyTextFirstIndent2Char">
    <w:name w:val="Body Text First Indent 2 Char"/>
    <w:basedOn w:val="BodyTextIndentChar"/>
    <w:link w:val="BodyTextFirstIndent2"/>
    <w:rsid w:val="00CC3878"/>
    <w:rPr>
      <w:sz w:val="19"/>
      <w:lang w:val="pl-PL"/>
    </w:rPr>
  </w:style>
  <w:style w:type="paragraph" w:styleId="BodyTextIndent2">
    <w:name w:val="Body Text Indent 2"/>
    <w:basedOn w:val="Normal"/>
    <w:link w:val="BodyTextIndent2Char"/>
    <w:rsid w:val="00CC3878"/>
    <w:pPr>
      <w:spacing w:after="120" w:line="480" w:lineRule="auto"/>
      <w:ind w:left="283"/>
    </w:pPr>
  </w:style>
  <w:style w:type="character" w:customStyle="1" w:styleId="BodyTextIndent2Char">
    <w:name w:val="Body Text Indent 2 Char"/>
    <w:basedOn w:val="DefaultParagraphFont"/>
    <w:link w:val="BodyTextIndent2"/>
    <w:rsid w:val="00CC3878"/>
    <w:rPr>
      <w:sz w:val="19"/>
      <w:lang w:val="pl-PL"/>
    </w:rPr>
  </w:style>
  <w:style w:type="paragraph" w:styleId="BodyTextIndent3">
    <w:name w:val="Body Text Indent 3"/>
    <w:basedOn w:val="Normal"/>
    <w:link w:val="BodyTextIndent3Char"/>
    <w:rsid w:val="00CC3878"/>
    <w:pPr>
      <w:spacing w:after="120"/>
      <w:ind w:left="283"/>
    </w:pPr>
    <w:rPr>
      <w:sz w:val="16"/>
      <w:szCs w:val="16"/>
    </w:rPr>
  </w:style>
  <w:style w:type="character" w:customStyle="1" w:styleId="BodyTextIndent3Char">
    <w:name w:val="Body Text Indent 3 Char"/>
    <w:basedOn w:val="DefaultParagraphFont"/>
    <w:link w:val="BodyTextIndent3"/>
    <w:rsid w:val="00CC3878"/>
    <w:rPr>
      <w:sz w:val="16"/>
      <w:szCs w:val="16"/>
      <w:lang w:val="pl-PL"/>
    </w:rPr>
  </w:style>
  <w:style w:type="paragraph" w:styleId="Quote">
    <w:name w:val="Quote"/>
    <w:basedOn w:val="Normal"/>
    <w:next w:val="Normal"/>
    <w:link w:val="QuoteChar"/>
    <w:uiPriority w:val="29"/>
    <w:qFormat/>
    <w:rsid w:val="00CC3878"/>
    <w:rPr>
      <w:i/>
      <w:iCs/>
      <w:color w:val="222222" w:themeColor="text1"/>
    </w:rPr>
  </w:style>
  <w:style w:type="character" w:customStyle="1" w:styleId="QuoteChar">
    <w:name w:val="Quote Char"/>
    <w:basedOn w:val="DefaultParagraphFont"/>
    <w:link w:val="Quote"/>
    <w:uiPriority w:val="29"/>
    <w:rsid w:val="00CC3878"/>
    <w:rPr>
      <w:i/>
      <w:iCs/>
      <w:color w:val="222222" w:themeColor="text1"/>
      <w:sz w:val="19"/>
      <w:lang w:val="pl-PL"/>
    </w:rPr>
  </w:style>
  <w:style w:type="paragraph" w:styleId="TableofAuthorities">
    <w:name w:val="table of authorities"/>
    <w:basedOn w:val="Normal"/>
    <w:next w:val="Normal"/>
    <w:rsid w:val="00CC3878"/>
    <w:pPr>
      <w:ind w:left="190" w:hanging="190"/>
    </w:pPr>
  </w:style>
  <w:style w:type="paragraph" w:styleId="TOAHeading">
    <w:name w:val="toa heading"/>
    <w:basedOn w:val="Normal"/>
    <w:next w:val="Normal"/>
    <w:rsid w:val="00CC3878"/>
    <w:pPr>
      <w:spacing w:before="120"/>
    </w:pPr>
    <w:rPr>
      <w:rFonts w:asciiTheme="majorHAnsi" w:eastAsiaTheme="majorEastAsia" w:hAnsiTheme="majorHAnsi" w:cstheme="majorBidi"/>
      <w:b/>
      <w:bCs/>
      <w:szCs w:val="24"/>
    </w:rPr>
  </w:style>
  <w:style w:type="paragraph" w:styleId="Date">
    <w:name w:val="Date"/>
    <w:basedOn w:val="Normal"/>
    <w:next w:val="Normal"/>
    <w:link w:val="DateChar"/>
    <w:rsid w:val="00CC3878"/>
  </w:style>
  <w:style w:type="character" w:customStyle="1" w:styleId="DateChar">
    <w:name w:val="Date Char"/>
    <w:basedOn w:val="DefaultParagraphFont"/>
    <w:link w:val="Date"/>
    <w:rsid w:val="00CC3878"/>
    <w:rPr>
      <w:sz w:val="19"/>
      <w:lang w:val="pl-PL"/>
    </w:rPr>
  </w:style>
  <w:style w:type="character" w:styleId="SubtleEmphasis">
    <w:name w:val="Subtle Emphasis"/>
    <w:basedOn w:val="DefaultParagraphFont"/>
    <w:uiPriority w:val="19"/>
    <w:qFormat/>
    <w:rsid w:val="00CC3878"/>
    <w:rPr>
      <w:i/>
      <w:iCs/>
      <w:color w:val="909090" w:themeColor="text1" w:themeTint="7F"/>
      <w:lang w:val="pl-PL"/>
    </w:rPr>
  </w:style>
  <w:style w:type="character" w:styleId="SubtleReference">
    <w:name w:val="Subtle Reference"/>
    <w:basedOn w:val="DefaultParagraphFont"/>
    <w:uiPriority w:val="31"/>
    <w:qFormat/>
    <w:rsid w:val="00CC3878"/>
    <w:rPr>
      <w:smallCaps/>
      <w:color w:val="FFCC33" w:themeColor="accent2"/>
      <w:u w:val="single"/>
      <w:lang w:val="pl-PL"/>
    </w:rPr>
  </w:style>
  <w:style w:type="table" w:styleId="TableSubtle1">
    <w:name w:val="Table Subtle 1"/>
    <w:basedOn w:val="TableNormal"/>
    <w:rsid w:val="00CC3878"/>
    <w:pPr>
      <w:spacing w:line="232"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C3878"/>
    <w:pPr>
      <w:spacing w:line="232"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rsid w:val="00CC3878"/>
    <w:rPr>
      <w:rFonts w:ascii="Tahoma" w:hAnsi="Tahoma" w:cs="Tahoma"/>
      <w:sz w:val="16"/>
      <w:szCs w:val="16"/>
    </w:rPr>
  </w:style>
  <w:style w:type="character" w:customStyle="1" w:styleId="DocumentMapChar">
    <w:name w:val="Document Map Char"/>
    <w:basedOn w:val="DefaultParagraphFont"/>
    <w:link w:val="DocumentMap"/>
    <w:rsid w:val="00CC3878"/>
    <w:rPr>
      <w:rFonts w:ascii="Tahoma" w:hAnsi="Tahoma" w:cs="Tahoma"/>
      <w:sz w:val="16"/>
      <w:szCs w:val="16"/>
      <w:lang w:val="pl-PL"/>
    </w:rPr>
  </w:style>
  <w:style w:type="table" w:styleId="TableElegant">
    <w:name w:val="Table Elegant"/>
    <w:basedOn w:val="TableNormal"/>
    <w:rsid w:val="00CC3878"/>
    <w:pPr>
      <w:spacing w:line="232"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rsid w:val="00CC3878"/>
    <w:pPr>
      <w:spacing w:line="232"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C3878"/>
    <w:pPr>
      <w:spacing w:line="232"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C3878"/>
    <w:pPr>
      <w:spacing w:line="232"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rsid w:val="00CC3878"/>
  </w:style>
  <w:style w:type="character" w:customStyle="1" w:styleId="E-mailSignatureChar">
    <w:name w:val="E-mail Signature Char"/>
    <w:basedOn w:val="DefaultParagraphFont"/>
    <w:link w:val="E-mailSignature"/>
    <w:rsid w:val="00CC3878"/>
    <w:rPr>
      <w:sz w:val="19"/>
      <w:lang w:val="pl-PL"/>
    </w:rPr>
  </w:style>
  <w:style w:type="paragraph" w:styleId="TableofFigures">
    <w:name w:val="table of figures"/>
    <w:basedOn w:val="Normal"/>
    <w:next w:val="Normal"/>
    <w:rsid w:val="00CC3878"/>
  </w:style>
  <w:style w:type="table" w:styleId="ColorfulList">
    <w:name w:val="Colorful List"/>
    <w:basedOn w:val="TableNormal"/>
    <w:uiPriority w:val="72"/>
    <w:rsid w:val="00CC3878"/>
    <w:rPr>
      <w:color w:val="222222" w:themeColor="text1"/>
    </w:rPr>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F4B700" w:themeFill="accent2" w:themeFillShade="CC"/>
      </w:tcPr>
    </w:tblStylePr>
    <w:tblStylePr w:type="lastRow">
      <w:rPr>
        <w:b/>
        <w:bCs/>
        <w:color w:val="F4B700" w:themeColor="accent2"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8" w:themeFill="text1" w:themeFillTint="3F"/>
      </w:tcPr>
    </w:tblStylePr>
    <w:tblStylePr w:type="band1Horz">
      <w:tblPr/>
      <w:tcPr>
        <w:shd w:val="clear" w:color="auto" w:fill="D2D2D2" w:themeFill="text1" w:themeFillTint="33"/>
      </w:tcPr>
    </w:tblStylePr>
  </w:style>
  <w:style w:type="table" w:styleId="ColorfulList-Accent1">
    <w:name w:val="Colorful List Accent 1"/>
    <w:basedOn w:val="TableNormal"/>
    <w:uiPriority w:val="72"/>
    <w:rsid w:val="00CC3878"/>
    <w:rPr>
      <w:color w:val="222222" w:themeColor="text1"/>
    </w:rPr>
    <w:tblPr>
      <w:tblStyleRowBandSize w:val="1"/>
      <w:tblStyleColBandSize w:val="1"/>
    </w:tblPr>
    <w:tcPr>
      <w:shd w:val="clear" w:color="auto" w:fill="E2EEFB" w:themeFill="accent1" w:themeFillTint="19"/>
    </w:tcPr>
    <w:tblStylePr w:type="firstRow">
      <w:rPr>
        <w:b/>
        <w:bCs/>
        <w:color w:val="FFFFFF" w:themeColor="background1"/>
      </w:rPr>
      <w:tblPr/>
      <w:tcPr>
        <w:tcBorders>
          <w:bottom w:val="single" w:sz="12" w:space="0" w:color="FFFFFF" w:themeColor="background1"/>
        </w:tcBorders>
        <w:shd w:val="clear" w:color="auto" w:fill="F4B700" w:themeFill="accent2" w:themeFillShade="CC"/>
      </w:tcPr>
    </w:tblStylePr>
    <w:tblStylePr w:type="lastRow">
      <w:rPr>
        <w:b/>
        <w:bCs/>
        <w:color w:val="F4B700" w:themeColor="accent2"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D6F4" w:themeFill="accent1" w:themeFillTint="3F"/>
      </w:tcPr>
    </w:tblStylePr>
    <w:tblStylePr w:type="band1Horz">
      <w:tblPr/>
      <w:tcPr>
        <w:shd w:val="clear" w:color="auto" w:fill="C4DEF6" w:themeFill="accent1" w:themeFillTint="33"/>
      </w:tcPr>
    </w:tblStylePr>
  </w:style>
  <w:style w:type="table" w:styleId="ColorfulList-Accent2">
    <w:name w:val="Colorful List Accent 2"/>
    <w:basedOn w:val="TableNormal"/>
    <w:uiPriority w:val="72"/>
    <w:rsid w:val="00CC3878"/>
    <w:rPr>
      <w:color w:val="222222" w:themeColor="text1"/>
    </w:rPr>
    <w:tblPr>
      <w:tblStyleRowBandSize w:val="1"/>
      <w:tblStyleColBandSize w:val="1"/>
    </w:tblPr>
    <w:tcPr>
      <w:shd w:val="clear" w:color="auto" w:fill="FFF9EB" w:themeFill="accent2" w:themeFillTint="19"/>
    </w:tcPr>
    <w:tblStylePr w:type="firstRow">
      <w:rPr>
        <w:b/>
        <w:bCs/>
        <w:color w:val="FFFFFF" w:themeColor="background1"/>
      </w:rPr>
      <w:tblPr/>
      <w:tcPr>
        <w:tcBorders>
          <w:bottom w:val="single" w:sz="12" w:space="0" w:color="FFFFFF" w:themeColor="background1"/>
        </w:tcBorders>
        <w:shd w:val="clear" w:color="auto" w:fill="F4B700" w:themeFill="accent2" w:themeFillShade="CC"/>
      </w:tcPr>
    </w:tblStylePr>
    <w:tblStylePr w:type="lastRow">
      <w:rPr>
        <w:b/>
        <w:bCs/>
        <w:color w:val="F4B700" w:themeColor="accent2"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C" w:themeFill="accent2" w:themeFillTint="3F"/>
      </w:tcPr>
    </w:tblStylePr>
    <w:tblStylePr w:type="band1Horz">
      <w:tblPr/>
      <w:tcPr>
        <w:shd w:val="clear" w:color="auto" w:fill="FFF4D6" w:themeFill="accent2" w:themeFillTint="33"/>
      </w:tcPr>
    </w:tblStylePr>
  </w:style>
  <w:style w:type="table" w:styleId="ColorfulList-Accent3">
    <w:name w:val="Colorful List Accent 3"/>
    <w:basedOn w:val="TableNormal"/>
    <w:uiPriority w:val="72"/>
    <w:rsid w:val="00CC3878"/>
    <w:rPr>
      <w:color w:val="222222" w:themeColor="text1"/>
    </w:rPr>
    <w:tblPr>
      <w:tblStyleRowBandSize w:val="1"/>
      <w:tblStyleColBandSize w:val="1"/>
    </w:tblPr>
    <w:tcPr>
      <w:shd w:val="clear" w:color="auto" w:fill="FFF2E6" w:themeFill="accent3" w:themeFillTint="19"/>
    </w:tcPr>
    <w:tblStylePr w:type="firstRow">
      <w:rPr>
        <w:b/>
        <w:bCs/>
        <w:color w:val="FFFFFF" w:themeColor="background1"/>
      </w:rPr>
      <w:tblPr/>
      <w:tcPr>
        <w:tcBorders>
          <w:bottom w:val="single" w:sz="12" w:space="0" w:color="FFFFFF" w:themeColor="background1"/>
        </w:tcBorders>
        <w:shd w:val="clear" w:color="auto" w:fill="ABA9A9" w:themeFill="accent4" w:themeFillShade="CC"/>
      </w:tcPr>
    </w:tblStylePr>
    <w:tblStylePr w:type="lastRow">
      <w:rPr>
        <w:b/>
        <w:bCs/>
        <w:color w:val="ABA9A9" w:themeColor="accent4"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C0" w:themeFill="accent3" w:themeFillTint="3F"/>
      </w:tcPr>
    </w:tblStylePr>
    <w:tblStylePr w:type="band1Horz">
      <w:tblPr/>
      <w:tcPr>
        <w:shd w:val="clear" w:color="auto" w:fill="FFE5CC" w:themeFill="accent3" w:themeFillTint="33"/>
      </w:tcPr>
    </w:tblStylePr>
  </w:style>
  <w:style w:type="table" w:styleId="ColorfulList-Accent4">
    <w:name w:val="Colorful List Accent 4"/>
    <w:basedOn w:val="TableNormal"/>
    <w:uiPriority w:val="72"/>
    <w:rsid w:val="00CC3878"/>
    <w:rPr>
      <w:color w:val="222222" w:themeColor="text1"/>
    </w:rPr>
    <w:tblPr>
      <w:tblStyleRowBandSize w:val="1"/>
      <w:tblStyleColBandSize w:val="1"/>
    </w:tblPr>
    <w:tcPr>
      <w:shd w:val="clear" w:color="auto" w:fill="FBFAFA" w:themeFill="accent4" w:themeFillTint="19"/>
    </w:tcPr>
    <w:tblStylePr w:type="firstRow">
      <w:rPr>
        <w:b/>
        <w:bCs/>
        <w:color w:val="FFFFFF" w:themeColor="background1"/>
      </w:rPr>
      <w:tblPr/>
      <w:tcPr>
        <w:tcBorders>
          <w:bottom w:val="single" w:sz="12" w:space="0" w:color="FFFFFF" w:themeColor="background1"/>
        </w:tcBorders>
        <w:shd w:val="clear" w:color="auto" w:fill="CC6400" w:themeFill="accent3" w:themeFillShade="CC"/>
      </w:tcPr>
    </w:tblStylePr>
    <w:tblStylePr w:type="lastRow">
      <w:rPr>
        <w:b/>
        <w:bCs/>
        <w:color w:val="CC6400" w:themeColor="accent3"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4F4" w:themeFill="accent4" w:themeFillTint="3F"/>
      </w:tcPr>
    </w:tblStylePr>
    <w:tblStylePr w:type="band1Horz">
      <w:tblPr/>
      <w:tcPr>
        <w:shd w:val="clear" w:color="auto" w:fill="F6F6F6" w:themeFill="accent4" w:themeFillTint="33"/>
      </w:tcPr>
    </w:tblStylePr>
  </w:style>
  <w:style w:type="table" w:styleId="ColorfulList-Accent5">
    <w:name w:val="Colorful List Accent 5"/>
    <w:basedOn w:val="TableNormal"/>
    <w:uiPriority w:val="72"/>
    <w:rsid w:val="00CC3878"/>
    <w:rPr>
      <w:color w:val="222222" w:themeColor="text1"/>
    </w:rPr>
    <w:tblPr>
      <w:tblStyleRowBandSize w:val="1"/>
      <w:tblStyleColBandSize w:val="1"/>
    </w:tblPr>
    <w:tcPr>
      <w:shd w:val="clear" w:color="auto" w:fill="E5F8FF" w:themeFill="accent5" w:themeFillTint="19"/>
    </w:tcPr>
    <w:tblStylePr w:type="firstRow">
      <w:rPr>
        <w:b/>
        <w:bCs/>
        <w:color w:val="FFFFFF" w:themeColor="background1"/>
      </w:rPr>
      <w:tblPr/>
      <w:tcPr>
        <w:tcBorders>
          <w:bottom w:val="single" w:sz="12" w:space="0" w:color="FFFFFF" w:themeColor="background1"/>
        </w:tcBorders>
        <w:shd w:val="clear" w:color="auto" w:fill="7A9E00" w:themeFill="accent6" w:themeFillShade="CC"/>
      </w:tcPr>
    </w:tblStylePr>
    <w:tblStylePr w:type="lastRow">
      <w:rPr>
        <w:b/>
        <w:bCs/>
        <w:color w:val="7A9E00" w:themeColor="accent6"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EFF" w:themeFill="accent5" w:themeFillTint="3F"/>
      </w:tcPr>
    </w:tblStylePr>
    <w:tblStylePr w:type="band1Horz">
      <w:tblPr/>
      <w:tcPr>
        <w:shd w:val="clear" w:color="auto" w:fill="CAF1FF" w:themeFill="accent5" w:themeFillTint="33"/>
      </w:tcPr>
    </w:tblStylePr>
  </w:style>
  <w:style w:type="table" w:styleId="ColorfulList-Accent6">
    <w:name w:val="Colorful List Accent 6"/>
    <w:basedOn w:val="TableNormal"/>
    <w:uiPriority w:val="72"/>
    <w:rsid w:val="00CC3878"/>
    <w:rPr>
      <w:color w:val="222222" w:themeColor="text1"/>
    </w:rPr>
    <w:tblPr>
      <w:tblStyleRowBandSize w:val="1"/>
      <w:tblStyleColBandSize w:val="1"/>
    </w:tblPr>
    <w:tcPr>
      <w:shd w:val="clear" w:color="auto" w:fill="F8FFE0" w:themeFill="accent6" w:themeFillTint="19"/>
    </w:tcPr>
    <w:tblStylePr w:type="firstRow">
      <w:rPr>
        <w:b/>
        <w:bCs/>
        <w:color w:val="FFFFFF" w:themeColor="background1"/>
      </w:rPr>
      <w:tblPr/>
      <w:tcPr>
        <w:tcBorders>
          <w:bottom w:val="single" w:sz="12" w:space="0" w:color="FFFFFF" w:themeColor="background1"/>
        </w:tcBorders>
        <w:shd w:val="clear" w:color="auto" w:fill="0093C4" w:themeFill="accent5" w:themeFillShade="CC"/>
      </w:tcPr>
    </w:tblStylePr>
    <w:tblStylePr w:type="lastRow">
      <w:rPr>
        <w:b/>
        <w:bCs/>
        <w:color w:val="0093C4" w:themeColor="accent5" w:themeShade="CC"/>
      </w:rPr>
      <w:tblPr/>
      <w:tcPr>
        <w:tcBorders>
          <w:top w:val="single" w:sz="12" w:space="0" w:color="22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EB2" w:themeFill="accent6" w:themeFillTint="3F"/>
      </w:tcPr>
    </w:tblStylePr>
    <w:tblStylePr w:type="band1Horz">
      <w:tblPr/>
      <w:tcPr>
        <w:shd w:val="clear" w:color="auto" w:fill="F0FEC0" w:themeFill="accent6" w:themeFillTint="33"/>
      </w:tcPr>
    </w:tblStylePr>
  </w:style>
  <w:style w:type="table" w:styleId="ColorfulShading">
    <w:name w:val="Colorful Shading"/>
    <w:basedOn w:val="TableNormal"/>
    <w:uiPriority w:val="71"/>
    <w:rsid w:val="00CC3878"/>
    <w:rPr>
      <w:color w:val="222222" w:themeColor="text1"/>
    </w:rPr>
    <w:tblPr>
      <w:tblStyleRowBandSize w:val="1"/>
      <w:tblStyleColBandSize w:val="1"/>
      <w:tblBorders>
        <w:top w:val="single" w:sz="24" w:space="0" w:color="FFCC33" w:themeColor="accent2"/>
        <w:left w:val="single" w:sz="4" w:space="0" w:color="222222" w:themeColor="text1"/>
        <w:bottom w:val="single" w:sz="4" w:space="0" w:color="222222" w:themeColor="text1"/>
        <w:right w:val="single" w:sz="4" w:space="0" w:color="22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FCC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91919" w:themeFill="text1" w:themeFillShade="BF"/>
      </w:tcPr>
    </w:tblStylePr>
    <w:tblStylePr w:type="band1Vert">
      <w:tblPr/>
      <w:tcPr>
        <w:shd w:val="clear" w:color="auto" w:fill="A6A6A6" w:themeFill="text1" w:themeFillTint="66"/>
      </w:tcPr>
    </w:tblStylePr>
    <w:tblStylePr w:type="band1Horz">
      <w:tblPr/>
      <w:tcPr>
        <w:shd w:val="clear" w:color="auto" w:fill="909090" w:themeFill="text1" w:themeFillTint="7F"/>
      </w:tcPr>
    </w:tblStylePr>
    <w:tblStylePr w:type="neCell">
      <w:rPr>
        <w:color w:val="222222" w:themeColor="text1"/>
      </w:rPr>
    </w:tblStylePr>
    <w:tblStylePr w:type="nwCell">
      <w:rPr>
        <w:color w:val="222222" w:themeColor="text1"/>
      </w:rPr>
    </w:tblStylePr>
  </w:style>
  <w:style w:type="table" w:styleId="ColorfulShading-Accent1">
    <w:name w:val="Colorful Shading Accent 1"/>
    <w:basedOn w:val="TableNormal"/>
    <w:uiPriority w:val="71"/>
    <w:rsid w:val="00CC3878"/>
    <w:rPr>
      <w:color w:val="222222" w:themeColor="text1"/>
    </w:rPr>
    <w:tblPr>
      <w:tblStyleRowBandSize w:val="1"/>
      <w:tblStyleColBandSize w:val="1"/>
      <w:tblBorders>
        <w:top w:val="single" w:sz="24" w:space="0" w:color="FFCC33" w:themeColor="accent2"/>
        <w:left w:val="single" w:sz="4" w:space="0" w:color="165A9B" w:themeColor="accent1"/>
        <w:bottom w:val="single" w:sz="4" w:space="0" w:color="165A9B" w:themeColor="accent1"/>
        <w:right w:val="single" w:sz="4" w:space="0" w:color="165A9B" w:themeColor="accent1"/>
        <w:insideH w:val="single" w:sz="4" w:space="0" w:color="FFFFFF" w:themeColor="background1"/>
        <w:insideV w:val="single" w:sz="4" w:space="0" w:color="FFFFFF" w:themeColor="background1"/>
      </w:tblBorders>
    </w:tblPr>
    <w:tcPr>
      <w:shd w:val="clear" w:color="auto" w:fill="E2EEFB" w:themeFill="accent1" w:themeFillTint="19"/>
    </w:tcPr>
    <w:tblStylePr w:type="firstRow">
      <w:rPr>
        <w:b/>
        <w:bCs/>
      </w:rPr>
      <w:tblPr/>
      <w:tcPr>
        <w:tcBorders>
          <w:top w:val="nil"/>
          <w:left w:val="nil"/>
          <w:bottom w:val="single" w:sz="24" w:space="0" w:color="FFCC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355C" w:themeFill="accent1" w:themeFillShade="99"/>
      </w:tcPr>
    </w:tblStylePr>
    <w:tblStylePr w:type="firstCol">
      <w:rPr>
        <w:color w:val="FFFFFF" w:themeColor="background1"/>
      </w:rPr>
      <w:tblPr/>
      <w:tcPr>
        <w:tcBorders>
          <w:top w:val="nil"/>
          <w:left w:val="nil"/>
          <w:bottom w:val="nil"/>
          <w:right w:val="nil"/>
          <w:insideH w:val="single" w:sz="4" w:space="0" w:color="0D355C" w:themeColor="accent1" w:themeShade="99"/>
          <w:insideV w:val="nil"/>
        </w:tcBorders>
        <w:shd w:val="clear" w:color="auto" w:fill="0D3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355C" w:themeFill="accent1" w:themeFillShade="99"/>
      </w:tcPr>
    </w:tblStylePr>
    <w:tblStylePr w:type="band1Vert">
      <w:tblPr/>
      <w:tcPr>
        <w:shd w:val="clear" w:color="auto" w:fill="8ABDEE" w:themeFill="accent1" w:themeFillTint="66"/>
      </w:tcPr>
    </w:tblStylePr>
    <w:tblStylePr w:type="band1Horz">
      <w:tblPr/>
      <w:tcPr>
        <w:shd w:val="clear" w:color="auto" w:fill="6DADEA" w:themeFill="accent1" w:themeFillTint="7F"/>
      </w:tcPr>
    </w:tblStylePr>
    <w:tblStylePr w:type="neCell">
      <w:rPr>
        <w:color w:val="222222" w:themeColor="text1"/>
      </w:rPr>
    </w:tblStylePr>
    <w:tblStylePr w:type="nwCell">
      <w:rPr>
        <w:color w:val="222222" w:themeColor="text1"/>
      </w:rPr>
    </w:tblStylePr>
  </w:style>
  <w:style w:type="table" w:styleId="ColorfulShading-Accent2">
    <w:name w:val="Colorful Shading Accent 2"/>
    <w:basedOn w:val="TableNormal"/>
    <w:uiPriority w:val="71"/>
    <w:rsid w:val="00CC3878"/>
    <w:rPr>
      <w:color w:val="222222" w:themeColor="text1"/>
    </w:rPr>
    <w:tblPr>
      <w:tblStyleRowBandSize w:val="1"/>
      <w:tblStyleColBandSize w:val="1"/>
      <w:tblBorders>
        <w:top w:val="single" w:sz="24" w:space="0" w:color="FFCC33" w:themeColor="accent2"/>
        <w:left w:val="single" w:sz="4" w:space="0" w:color="FFCC33" w:themeColor="accent2"/>
        <w:bottom w:val="single" w:sz="4" w:space="0" w:color="FFCC33" w:themeColor="accent2"/>
        <w:right w:val="single" w:sz="4" w:space="0" w:color="FFCC33" w:themeColor="accent2"/>
        <w:insideH w:val="single" w:sz="4" w:space="0" w:color="FFFFFF" w:themeColor="background1"/>
        <w:insideV w:val="single" w:sz="4" w:space="0" w:color="FFFFFF" w:themeColor="background1"/>
      </w:tblBorders>
    </w:tblPr>
    <w:tcPr>
      <w:shd w:val="clear" w:color="auto" w:fill="FFF9EB" w:themeFill="accent2" w:themeFillTint="19"/>
    </w:tcPr>
    <w:tblStylePr w:type="firstRow">
      <w:rPr>
        <w:b/>
        <w:bCs/>
      </w:rPr>
      <w:tblPr/>
      <w:tcPr>
        <w:tcBorders>
          <w:top w:val="nil"/>
          <w:left w:val="nil"/>
          <w:bottom w:val="single" w:sz="24" w:space="0" w:color="FFCC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78900" w:themeFill="accent2" w:themeFillShade="99"/>
      </w:tcPr>
    </w:tblStylePr>
    <w:tblStylePr w:type="firstCol">
      <w:rPr>
        <w:color w:val="FFFFFF" w:themeColor="background1"/>
      </w:rPr>
      <w:tblPr/>
      <w:tcPr>
        <w:tcBorders>
          <w:top w:val="nil"/>
          <w:left w:val="nil"/>
          <w:bottom w:val="nil"/>
          <w:right w:val="nil"/>
          <w:insideH w:val="single" w:sz="4" w:space="0" w:color="B78900" w:themeColor="accent2" w:themeShade="99"/>
          <w:insideV w:val="nil"/>
        </w:tcBorders>
        <w:shd w:val="clear" w:color="auto" w:fill="B789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78900" w:themeFill="accent2" w:themeFillShade="99"/>
      </w:tcPr>
    </w:tblStylePr>
    <w:tblStylePr w:type="band1Vert">
      <w:tblPr/>
      <w:tcPr>
        <w:shd w:val="clear" w:color="auto" w:fill="FFEAAD" w:themeFill="accent2" w:themeFillTint="66"/>
      </w:tcPr>
    </w:tblStylePr>
    <w:tblStylePr w:type="band1Horz">
      <w:tblPr/>
      <w:tcPr>
        <w:shd w:val="clear" w:color="auto" w:fill="FFE599" w:themeFill="accent2" w:themeFillTint="7F"/>
      </w:tcPr>
    </w:tblStylePr>
    <w:tblStylePr w:type="neCell">
      <w:rPr>
        <w:color w:val="222222" w:themeColor="text1"/>
      </w:rPr>
    </w:tblStylePr>
    <w:tblStylePr w:type="nwCell">
      <w:rPr>
        <w:color w:val="222222" w:themeColor="text1"/>
      </w:rPr>
    </w:tblStylePr>
  </w:style>
  <w:style w:type="table" w:styleId="ColorfulShading-Accent3">
    <w:name w:val="Colorful Shading Accent 3"/>
    <w:basedOn w:val="TableNormal"/>
    <w:uiPriority w:val="71"/>
    <w:rsid w:val="00CC3878"/>
    <w:rPr>
      <w:color w:val="222222" w:themeColor="text1"/>
    </w:rPr>
    <w:tblPr>
      <w:tblStyleRowBandSize w:val="1"/>
      <w:tblStyleColBandSize w:val="1"/>
      <w:tblBorders>
        <w:top w:val="single" w:sz="24" w:space="0" w:color="D5D4D4" w:themeColor="accent4"/>
        <w:left w:val="single" w:sz="4" w:space="0" w:color="FF7D00" w:themeColor="accent3"/>
        <w:bottom w:val="single" w:sz="4" w:space="0" w:color="FF7D00" w:themeColor="accent3"/>
        <w:right w:val="single" w:sz="4" w:space="0" w:color="FF7D00" w:themeColor="accent3"/>
        <w:insideH w:val="single" w:sz="4" w:space="0" w:color="FFFFFF" w:themeColor="background1"/>
        <w:insideV w:val="single" w:sz="4" w:space="0" w:color="FFFFFF" w:themeColor="background1"/>
      </w:tblBorders>
    </w:tblPr>
    <w:tcPr>
      <w:shd w:val="clear" w:color="auto" w:fill="FFF2E6" w:themeFill="accent3" w:themeFillTint="19"/>
    </w:tcPr>
    <w:tblStylePr w:type="firstRow">
      <w:rPr>
        <w:b/>
        <w:bCs/>
      </w:rPr>
      <w:tblPr/>
      <w:tcPr>
        <w:tcBorders>
          <w:top w:val="nil"/>
          <w:left w:val="nil"/>
          <w:bottom w:val="single" w:sz="24" w:space="0" w:color="D5D4D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B00" w:themeFill="accent3" w:themeFillShade="99"/>
      </w:tcPr>
    </w:tblStylePr>
    <w:tblStylePr w:type="firstCol">
      <w:rPr>
        <w:color w:val="FFFFFF" w:themeColor="background1"/>
      </w:rPr>
      <w:tblPr/>
      <w:tcPr>
        <w:tcBorders>
          <w:top w:val="nil"/>
          <w:left w:val="nil"/>
          <w:bottom w:val="nil"/>
          <w:right w:val="nil"/>
          <w:insideH w:val="single" w:sz="4" w:space="0" w:color="994B00" w:themeColor="accent3" w:themeShade="99"/>
          <w:insideV w:val="nil"/>
        </w:tcBorders>
        <w:shd w:val="clear" w:color="auto" w:fill="994B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B00" w:themeFill="accent3" w:themeFillShade="99"/>
      </w:tcPr>
    </w:tblStylePr>
    <w:tblStylePr w:type="band1Vert">
      <w:tblPr/>
      <w:tcPr>
        <w:shd w:val="clear" w:color="auto" w:fill="FFCB99" w:themeFill="accent3" w:themeFillTint="66"/>
      </w:tcPr>
    </w:tblStylePr>
    <w:tblStylePr w:type="band1Horz">
      <w:tblPr/>
      <w:tcPr>
        <w:shd w:val="clear" w:color="auto" w:fill="FFBE80" w:themeFill="accent3" w:themeFillTint="7F"/>
      </w:tcPr>
    </w:tblStylePr>
  </w:style>
  <w:style w:type="table" w:styleId="ColorfulShading-Accent4">
    <w:name w:val="Colorful Shading Accent 4"/>
    <w:basedOn w:val="TableNormal"/>
    <w:uiPriority w:val="71"/>
    <w:rsid w:val="00CC3878"/>
    <w:rPr>
      <w:color w:val="222222" w:themeColor="text1"/>
    </w:rPr>
    <w:tblPr>
      <w:tblStyleRowBandSize w:val="1"/>
      <w:tblStyleColBandSize w:val="1"/>
      <w:tblBorders>
        <w:top w:val="single" w:sz="24" w:space="0" w:color="FF7D00" w:themeColor="accent3"/>
        <w:left w:val="single" w:sz="4" w:space="0" w:color="D5D4D4" w:themeColor="accent4"/>
        <w:bottom w:val="single" w:sz="4" w:space="0" w:color="D5D4D4" w:themeColor="accent4"/>
        <w:right w:val="single" w:sz="4" w:space="0" w:color="D5D4D4" w:themeColor="accent4"/>
        <w:insideH w:val="single" w:sz="4" w:space="0" w:color="FFFFFF" w:themeColor="background1"/>
        <w:insideV w:val="single" w:sz="4" w:space="0" w:color="FFFFFF" w:themeColor="background1"/>
      </w:tblBorders>
    </w:tblPr>
    <w:tcPr>
      <w:shd w:val="clear" w:color="auto" w:fill="FBFAFA" w:themeFill="accent4" w:themeFillTint="19"/>
    </w:tcPr>
    <w:tblStylePr w:type="firstRow">
      <w:rPr>
        <w:b/>
        <w:bCs/>
      </w:rPr>
      <w:tblPr/>
      <w:tcPr>
        <w:tcBorders>
          <w:top w:val="nil"/>
          <w:left w:val="nil"/>
          <w:bottom w:val="single" w:sz="24" w:space="0" w:color="FF7D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7E7E" w:themeFill="accent4" w:themeFillShade="99"/>
      </w:tcPr>
    </w:tblStylePr>
    <w:tblStylePr w:type="firstCol">
      <w:rPr>
        <w:color w:val="FFFFFF" w:themeColor="background1"/>
      </w:rPr>
      <w:tblPr/>
      <w:tcPr>
        <w:tcBorders>
          <w:top w:val="nil"/>
          <w:left w:val="nil"/>
          <w:bottom w:val="nil"/>
          <w:right w:val="nil"/>
          <w:insideH w:val="single" w:sz="4" w:space="0" w:color="817E7E" w:themeColor="accent4" w:themeShade="99"/>
          <w:insideV w:val="nil"/>
        </w:tcBorders>
        <w:shd w:val="clear" w:color="auto" w:fill="817E7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7E7E" w:themeFill="accent4" w:themeFillShade="99"/>
      </w:tcPr>
    </w:tblStylePr>
    <w:tblStylePr w:type="band1Vert">
      <w:tblPr/>
      <w:tcPr>
        <w:shd w:val="clear" w:color="auto" w:fill="EEEDED" w:themeFill="accent4" w:themeFillTint="66"/>
      </w:tcPr>
    </w:tblStylePr>
    <w:tblStylePr w:type="band1Horz">
      <w:tblPr/>
      <w:tcPr>
        <w:shd w:val="clear" w:color="auto" w:fill="EAE9E9" w:themeFill="accent4" w:themeFillTint="7F"/>
      </w:tcPr>
    </w:tblStylePr>
    <w:tblStylePr w:type="neCell">
      <w:rPr>
        <w:color w:val="222222" w:themeColor="text1"/>
      </w:rPr>
    </w:tblStylePr>
    <w:tblStylePr w:type="nwCell">
      <w:rPr>
        <w:color w:val="222222" w:themeColor="text1"/>
      </w:rPr>
    </w:tblStylePr>
  </w:style>
  <w:style w:type="table" w:styleId="ColorfulShading-Accent5">
    <w:name w:val="Colorful Shading Accent 5"/>
    <w:basedOn w:val="TableNormal"/>
    <w:uiPriority w:val="71"/>
    <w:rsid w:val="00CC3878"/>
    <w:rPr>
      <w:color w:val="222222" w:themeColor="text1"/>
    </w:rPr>
    <w:tblPr>
      <w:tblStyleRowBandSize w:val="1"/>
      <w:tblStyleColBandSize w:val="1"/>
      <w:tblBorders>
        <w:top w:val="single" w:sz="24" w:space="0" w:color="9AC601" w:themeColor="accent6"/>
        <w:left w:val="single" w:sz="4" w:space="0" w:color="00B9F6" w:themeColor="accent5"/>
        <w:bottom w:val="single" w:sz="4" w:space="0" w:color="00B9F6" w:themeColor="accent5"/>
        <w:right w:val="single" w:sz="4" w:space="0" w:color="00B9F6" w:themeColor="accent5"/>
        <w:insideH w:val="single" w:sz="4" w:space="0" w:color="FFFFFF" w:themeColor="background1"/>
        <w:insideV w:val="single" w:sz="4" w:space="0" w:color="FFFFFF" w:themeColor="background1"/>
      </w:tblBorders>
    </w:tblPr>
    <w:tcPr>
      <w:shd w:val="clear" w:color="auto" w:fill="E5F8FF" w:themeFill="accent5" w:themeFillTint="19"/>
    </w:tcPr>
    <w:tblStylePr w:type="firstRow">
      <w:rPr>
        <w:b/>
        <w:bCs/>
      </w:rPr>
      <w:tblPr/>
      <w:tcPr>
        <w:tcBorders>
          <w:top w:val="nil"/>
          <w:left w:val="nil"/>
          <w:bottom w:val="single" w:sz="24" w:space="0" w:color="9AC60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E93" w:themeFill="accent5" w:themeFillShade="99"/>
      </w:tcPr>
    </w:tblStylePr>
    <w:tblStylePr w:type="firstCol">
      <w:rPr>
        <w:color w:val="FFFFFF" w:themeColor="background1"/>
      </w:rPr>
      <w:tblPr/>
      <w:tcPr>
        <w:tcBorders>
          <w:top w:val="nil"/>
          <w:left w:val="nil"/>
          <w:bottom w:val="nil"/>
          <w:right w:val="nil"/>
          <w:insideH w:val="single" w:sz="4" w:space="0" w:color="006E93" w:themeColor="accent5" w:themeShade="99"/>
          <w:insideV w:val="nil"/>
        </w:tcBorders>
        <w:shd w:val="clear" w:color="auto" w:fill="006E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E93" w:themeFill="accent5" w:themeFillShade="99"/>
      </w:tcPr>
    </w:tblStylePr>
    <w:tblStylePr w:type="band1Vert">
      <w:tblPr/>
      <w:tcPr>
        <w:shd w:val="clear" w:color="auto" w:fill="95E4FF" w:themeFill="accent5" w:themeFillTint="66"/>
      </w:tcPr>
    </w:tblStylePr>
    <w:tblStylePr w:type="band1Horz">
      <w:tblPr/>
      <w:tcPr>
        <w:shd w:val="clear" w:color="auto" w:fill="7BDDFF" w:themeFill="accent5" w:themeFillTint="7F"/>
      </w:tcPr>
    </w:tblStylePr>
    <w:tblStylePr w:type="neCell">
      <w:rPr>
        <w:color w:val="222222" w:themeColor="text1"/>
      </w:rPr>
    </w:tblStylePr>
    <w:tblStylePr w:type="nwCell">
      <w:rPr>
        <w:color w:val="222222" w:themeColor="text1"/>
      </w:rPr>
    </w:tblStylePr>
  </w:style>
  <w:style w:type="table" w:styleId="ColorfulShading-Accent6">
    <w:name w:val="Colorful Shading Accent 6"/>
    <w:basedOn w:val="TableNormal"/>
    <w:uiPriority w:val="71"/>
    <w:rsid w:val="00CC3878"/>
    <w:rPr>
      <w:color w:val="222222" w:themeColor="text1"/>
    </w:rPr>
    <w:tblPr>
      <w:tblStyleRowBandSize w:val="1"/>
      <w:tblStyleColBandSize w:val="1"/>
      <w:tblBorders>
        <w:top w:val="single" w:sz="24" w:space="0" w:color="00B9F6" w:themeColor="accent5"/>
        <w:left w:val="single" w:sz="4" w:space="0" w:color="9AC601" w:themeColor="accent6"/>
        <w:bottom w:val="single" w:sz="4" w:space="0" w:color="9AC601" w:themeColor="accent6"/>
        <w:right w:val="single" w:sz="4" w:space="0" w:color="9AC601" w:themeColor="accent6"/>
        <w:insideH w:val="single" w:sz="4" w:space="0" w:color="FFFFFF" w:themeColor="background1"/>
        <w:insideV w:val="single" w:sz="4" w:space="0" w:color="FFFFFF" w:themeColor="background1"/>
      </w:tblBorders>
    </w:tblPr>
    <w:tcPr>
      <w:shd w:val="clear" w:color="auto" w:fill="F8FFE0" w:themeFill="accent6" w:themeFillTint="19"/>
    </w:tcPr>
    <w:tblStylePr w:type="firstRow">
      <w:rPr>
        <w:b/>
        <w:bCs/>
      </w:rPr>
      <w:tblPr/>
      <w:tcPr>
        <w:tcBorders>
          <w:top w:val="nil"/>
          <w:left w:val="nil"/>
          <w:bottom w:val="single" w:sz="24" w:space="0" w:color="00B9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7600" w:themeFill="accent6" w:themeFillShade="99"/>
      </w:tcPr>
    </w:tblStylePr>
    <w:tblStylePr w:type="firstCol">
      <w:rPr>
        <w:color w:val="FFFFFF" w:themeColor="background1"/>
      </w:rPr>
      <w:tblPr/>
      <w:tcPr>
        <w:tcBorders>
          <w:top w:val="nil"/>
          <w:left w:val="nil"/>
          <w:bottom w:val="nil"/>
          <w:right w:val="nil"/>
          <w:insideH w:val="single" w:sz="4" w:space="0" w:color="5C7600" w:themeColor="accent6" w:themeShade="99"/>
          <w:insideV w:val="nil"/>
        </w:tcBorders>
        <w:shd w:val="clear" w:color="auto" w:fill="5C7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C7600" w:themeFill="accent6" w:themeFillShade="99"/>
      </w:tcPr>
    </w:tblStylePr>
    <w:tblStylePr w:type="band1Vert">
      <w:tblPr/>
      <w:tcPr>
        <w:shd w:val="clear" w:color="auto" w:fill="E2FE82" w:themeFill="accent6" w:themeFillTint="66"/>
      </w:tcPr>
    </w:tblStylePr>
    <w:tblStylePr w:type="band1Horz">
      <w:tblPr/>
      <w:tcPr>
        <w:shd w:val="clear" w:color="auto" w:fill="DBFE64" w:themeFill="accent6" w:themeFillTint="7F"/>
      </w:tcPr>
    </w:tblStylePr>
    <w:tblStylePr w:type="neCell">
      <w:rPr>
        <w:color w:val="222222" w:themeColor="text1"/>
      </w:rPr>
    </w:tblStylePr>
    <w:tblStylePr w:type="nwCell">
      <w:rPr>
        <w:color w:val="222222" w:themeColor="text1"/>
      </w:rPr>
    </w:tblStylePr>
  </w:style>
  <w:style w:type="table" w:styleId="TableColorful1">
    <w:name w:val="Table Colorful 1"/>
    <w:basedOn w:val="TableNormal"/>
    <w:rsid w:val="00CC3878"/>
    <w:pPr>
      <w:spacing w:line="232"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C3878"/>
    <w:pPr>
      <w:spacing w:line="232"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C3878"/>
    <w:pPr>
      <w:spacing w:line="232"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D2D2D2" w:themeFill="text1" w:themeFillTint="33"/>
    </w:tcPr>
    <w:tblStylePr w:type="firstRow">
      <w:rPr>
        <w:b/>
        <w:bCs/>
      </w:rPr>
      <w:tblPr/>
      <w:tcPr>
        <w:shd w:val="clear" w:color="auto" w:fill="A6A6A6" w:themeFill="text1" w:themeFillTint="66"/>
      </w:tcPr>
    </w:tblStylePr>
    <w:tblStylePr w:type="lastRow">
      <w:rPr>
        <w:b/>
        <w:bCs/>
        <w:color w:val="222222" w:themeColor="text1"/>
      </w:rPr>
      <w:tblPr/>
      <w:tcPr>
        <w:shd w:val="clear" w:color="auto" w:fill="A6A6A6" w:themeFill="text1" w:themeFillTint="66"/>
      </w:tcPr>
    </w:tblStylePr>
    <w:tblStylePr w:type="firstCol">
      <w:rPr>
        <w:color w:val="FFFFFF" w:themeColor="background1"/>
      </w:rPr>
      <w:tblPr/>
      <w:tcPr>
        <w:shd w:val="clear" w:color="auto" w:fill="191919" w:themeFill="text1" w:themeFillShade="BF"/>
      </w:tcPr>
    </w:tblStylePr>
    <w:tblStylePr w:type="lastCol">
      <w:rPr>
        <w:color w:val="FFFFFF" w:themeColor="background1"/>
      </w:rPr>
      <w:tblPr/>
      <w:tcPr>
        <w:shd w:val="clear" w:color="auto" w:fill="191919" w:themeFill="text1" w:themeFillShade="BF"/>
      </w:tc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ColorfulGrid-Accent1">
    <w:name w:val="Colorful Grid Accent 1"/>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C4DEF6" w:themeFill="accent1" w:themeFillTint="33"/>
    </w:tcPr>
    <w:tblStylePr w:type="firstRow">
      <w:rPr>
        <w:b/>
        <w:bCs/>
      </w:rPr>
      <w:tblPr/>
      <w:tcPr>
        <w:shd w:val="clear" w:color="auto" w:fill="8ABDEE" w:themeFill="accent1" w:themeFillTint="66"/>
      </w:tcPr>
    </w:tblStylePr>
    <w:tblStylePr w:type="lastRow">
      <w:rPr>
        <w:b/>
        <w:bCs/>
        <w:color w:val="222222" w:themeColor="text1"/>
      </w:rPr>
      <w:tblPr/>
      <w:tcPr>
        <w:shd w:val="clear" w:color="auto" w:fill="8ABDEE" w:themeFill="accent1" w:themeFillTint="66"/>
      </w:tcPr>
    </w:tblStylePr>
    <w:tblStylePr w:type="firstCol">
      <w:rPr>
        <w:color w:val="FFFFFF" w:themeColor="background1"/>
      </w:rPr>
      <w:tblPr/>
      <w:tcPr>
        <w:shd w:val="clear" w:color="auto" w:fill="104373" w:themeFill="accent1" w:themeFillShade="BF"/>
      </w:tcPr>
    </w:tblStylePr>
    <w:tblStylePr w:type="lastCol">
      <w:rPr>
        <w:color w:val="FFFFFF" w:themeColor="background1"/>
      </w:rPr>
      <w:tblPr/>
      <w:tcPr>
        <w:shd w:val="clear" w:color="auto" w:fill="104373" w:themeFill="accent1" w:themeFillShade="BF"/>
      </w:tcPr>
    </w:tblStylePr>
    <w:tblStylePr w:type="band1Vert">
      <w:tblPr/>
      <w:tcPr>
        <w:shd w:val="clear" w:color="auto" w:fill="6DADEA" w:themeFill="accent1" w:themeFillTint="7F"/>
      </w:tcPr>
    </w:tblStylePr>
    <w:tblStylePr w:type="band1Horz">
      <w:tblPr/>
      <w:tcPr>
        <w:shd w:val="clear" w:color="auto" w:fill="6DADEA" w:themeFill="accent1" w:themeFillTint="7F"/>
      </w:tcPr>
    </w:tblStylePr>
  </w:style>
  <w:style w:type="table" w:styleId="ColorfulGrid-Accent2">
    <w:name w:val="Colorful Grid Accent 2"/>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FFF4D6" w:themeFill="accent2" w:themeFillTint="33"/>
    </w:tcPr>
    <w:tblStylePr w:type="firstRow">
      <w:rPr>
        <w:b/>
        <w:bCs/>
      </w:rPr>
      <w:tblPr/>
      <w:tcPr>
        <w:shd w:val="clear" w:color="auto" w:fill="FFEAAD" w:themeFill="accent2" w:themeFillTint="66"/>
      </w:tcPr>
    </w:tblStylePr>
    <w:tblStylePr w:type="lastRow">
      <w:rPr>
        <w:b/>
        <w:bCs/>
        <w:color w:val="222222" w:themeColor="text1"/>
      </w:rPr>
      <w:tblPr/>
      <w:tcPr>
        <w:shd w:val="clear" w:color="auto" w:fill="FFEAAD" w:themeFill="accent2" w:themeFillTint="66"/>
      </w:tcPr>
    </w:tblStylePr>
    <w:tblStylePr w:type="firstCol">
      <w:rPr>
        <w:color w:val="FFFFFF" w:themeColor="background1"/>
      </w:rPr>
      <w:tblPr/>
      <w:tcPr>
        <w:shd w:val="clear" w:color="auto" w:fill="E5AB00" w:themeFill="accent2" w:themeFillShade="BF"/>
      </w:tcPr>
    </w:tblStylePr>
    <w:tblStylePr w:type="lastCol">
      <w:rPr>
        <w:color w:val="FFFFFF" w:themeColor="background1"/>
      </w:rPr>
      <w:tblPr/>
      <w:tcPr>
        <w:shd w:val="clear" w:color="auto" w:fill="E5AB00" w:themeFill="accent2" w:themeFillShade="BF"/>
      </w:tcPr>
    </w:tblStylePr>
    <w:tblStylePr w:type="band1Vert">
      <w:tblPr/>
      <w:tcPr>
        <w:shd w:val="clear" w:color="auto" w:fill="FFE599" w:themeFill="accent2" w:themeFillTint="7F"/>
      </w:tcPr>
    </w:tblStylePr>
    <w:tblStylePr w:type="band1Horz">
      <w:tblPr/>
      <w:tcPr>
        <w:shd w:val="clear" w:color="auto" w:fill="FFE599" w:themeFill="accent2" w:themeFillTint="7F"/>
      </w:tcPr>
    </w:tblStylePr>
  </w:style>
  <w:style w:type="table" w:styleId="ColorfulGrid-Accent3">
    <w:name w:val="Colorful Grid Accent 3"/>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FFE5CC" w:themeFill="accent3" w:themeFillTint="33"/>
    </w:tcPr>
    <w:tblStylePr w:type="firstRow">
      <w:rPr>
        <w:b/>
        <w:bCs/>
      </w:rPr>
      <w:tblPr/>
      <w:tcPr>
        <w:shd w:val="clear" w:color="auto" w:fill="FFCB99" w:themeFill="accent3" w:themeFillTint="66"/>
      </w:tcPr>
    </w:tblStylePr>
    <w:tblStylePr w:type="lastRow">
      <w:rPr>
        <w:b/>
        <w:bCs/>
        <w:color w:val="222222" w:themeColor="text1"/>
      </w:rPr>
      <w:tblPr/>
      <w:tcPr>
        <w:shd w:val="clear" w:color="auto" w:fill="FFCB99" w:themeFill="accent3" w:themeFillTint="66"/>
      </w:tcPr>
    </w:tblStylePr>
    <w:tblStylePr w:type="firstCol">
      <w:rPr>
        <w:color w:val="FFFFFF" w:themeColor="background1"/>
      </w:rPr>
      <w:tblPr/>
      <w:tcPr>
        <w:shd w:val="clear" w:color="auto" w:fill="BF5D00" w:themeFill="accent3" w:themeFillShade="BF"/>
      </w:tcPr>
    </w:tblStylePr>
    <w:tblStylePr w:type="lastCol">
      <w:rPr>
        <w:color w:val="FFFFFF" w:themeColor="background1"/>
      </w:rPr>
      <w:tblPr/>
      <w:tcPr>
        <w:shd w:val="clear" w:color="auto" w:fill="BF5D00" w:themeFill="accent3" w:themeFillShade="BF"/>
      </w:tcPr>
    </w:tblStylePr>
    <w:tblStylePr w:type="band1Vert">
      <w:tblPr/>
      <w:tcPr>
        <w:shd w:val="clear" w:color="auto" w:fill="FFBE80" w:themeFill="accent3" w:themeFillTint="7F"/>
      </w:tcPr>
    </w:tblStylePr>
    <w:tblStylePr w:type="band1Horz">
      <w:tblPr/>
      <w:tcPr>
        <w:shd w:val="clear" w:color="auto" w:fill="FFBE80" w:themeFill="accent3" w:themeFillTint="7F"/>
      </w:tcPr>
    </w:tblStylePr>
  </w:style>
  <w:style w:type="table" w:styleId="ColorfulGrid-Accent4">
    <w:name w:val="Colorful Grid Accent 4"/>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F6F6F6" w:themeFill="accent4" w:themeFillTint="33"/>
    </w:tcPr>
    <w:tblStylePr w:type="firstRow">
      <w:rPr>
        <w:b/>
        <w:bCs/>
      </w:rPr>
      <w:tblPr/>
      <w:tcPr>
        <w:shd w:val="clear" w:color="auto" w:fill="EEEDED" w:themeFill="accent4" w:themeFillTint="66"/>
      </w:tcPr>
    </w:tblStylePr>
    <w:tblStylePr w:type="lastRow">
      <w:rPr>
        <w:b/>
        <w:bCs/>
        <w:color w:val="222222" w:themeColor="text1"/>
      </w:rPr>
      <w:tblPr/>
      <w:tcPr>
        <w:shd w:val="clear" w:color="auto" w:fill="EEEDED" w:themeFill="accent4" w:themeFillTint="66"/>
      </w:tcPr>
    </w:tblStylePr>
    <w:tblStylePr w:type="firstCol">
      <w:rPr>
        <w:color w:val="FFFFFF" w:themeColor="background1"/>
      </w:rPr>
      <w:tblPr/>
      <w:tcPr>
        <w:shd w:val="clear" w:color="auto" w:fill="A09E9E" w:themeFill="accent4" w:themeFillShade="BF"/>
      </w:tcPr>
    </w:tblStylePr>
    <w:tblStylePr w:type="lastCol">
      <w:rPr>
        <w:color w:val="FFFFFF" w:themeColor="background1"/>
      </w:rPr>
      <w:tblPr/>
      <w:tcPr>
        <w:shd w:val="clear" w:color="auto" w:fill="A09E9E" w:themeFill="accent4" w:themeFillShade="BF"/>
      </w:tcPr>
    </w:tblStylePr>
    <w:tblStylePr w:type="band1Vert">
      <w:tblPr/>
      <w:tcPr>
        <w:shd w:val="clear" w:color="auto" w:fill="EAE9E9" w:themeFill="accent4" w:themeFillTint="7F"/>
      </w:tcPr>
    </w:tblStylePr>
    <w:tblStylePr w:type="band1Horz">
      <w:tblPr/>
      <w:tcPr>
        <w:shd w:val="clear" w:color="auto" w:fill="EAE9E9" w:themeFill="accent4" w:themeFillTint="7F"/>
      </w:tcPr>
    </w:tblStylePr>
  </w:style>
  <w:style w:type="table" w:styleId="ColorfulGrid-Accent5">
    <w:name w:val="Colorful Grid Accent 5"/>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CAF1FF" w:themeFill="accent5" w:themeFillTint="33"/>
    </w:tcPr>
    <w:tblStylePr w:type="firstRow">
      <w:rPr>
        <w:b/>
        <w:bCs/>
      </w:rPr>
      <w:tblPr/>
      <w:tcPr>
        <w:shd w:val="clear" w:color="auto" w:fill="95E4FF" w:themeFill="accent5" w:themeFillTint="66"/>
      </w:tcPr>
    </w:tblStylePr>
    <w:tblStylePr w:type="lastRow">
      <w:rPr>
        <w:b/>
        <w:bCs/>
        <w:color w:val="222222" w:themeColor="text1"/>
      </w:rPr>
      <w:tblPr/>
      <w:tcPr>
        <w:shd w:val="clear" w:color="auto" w:fill="95E4FF" w:themeFill="accent5" w:themeFillTint="66"/>
      </w:tcPr>
    </w:tblStylePr>
    <w:tblStylePr w:type="firstCol">
      <w:rPr>
        <w:color w:val="FFFFFF" w:themeColor="background1"/>
      </w:rPr>
      <w:tblPr/>
      <w:tcPr>
        <w:shd w:val="clear" w:color="auto" w:fill="0089B8" w:themeFill="accent5" w:themeFillShade="BF"/>
      </w:tcPr>
    </w:tblStylePr>
    <w:tblStylePr w:type="lastCol">
      <w:rPr>
        <w:color w:val="FFFFFF" w:themeColor="background1"/>
      </w:rPr>
      <w:tblPr/>
      <w:tcPr>
        <w:shd w:val="clear" w:color="auto" w:fill="0089B8" w:themeFill="accent5" w:themeFillShade="BF"/>
      </w:tcPr>
    </w:tblStylePr>
    <w:tblStylePr w:type="band1Vert">
      <w:tblPr/>
      <w:tcPr>
        <w:shd w:val="clear" w:color="auto" w:fill="7BDDFF" w:themeFill="accent5" w:themeFillTint="7F"/>
      </w:tcPr>
    </w:tblStylePr>
    <w:tblStylePr w:type="band1Horz">
      <w:tblPr/>
      <w:tcPr>
        <w:shd w:val="clear" w:color="auto" w:fill="7BDDFF" w:themeFill="accent5" w:themeFillTint="7F"/>
      </w:tcPr>
    </w:tblStylePr>
  </w:style>
  <w:style w:type="table" w:styleId="ColorfulGrid-Accent6">
    <w:name w:val="Colorful Grid Accent 6"/>
    <w:basedOn w:val="TableNormal"/>
    <w:uiPriority w:val="73"/>
    <w:rsid w:val="00CC3878"/>
    <w:rPr>
      <w:color w:val="222222" w:themeColor="text1"/>
    </w:rPr>
    <w:tblPr>
      <w:tblStyleRowBandSize w:val="1"/>
      <w:tblStyleColBandSize w:val="1"/>
      <w:tblBorders>
        <w:insideH w:val="single" w:sz="4" w:space="0" w:color="FFFFFF" w:themeColor="background1"/>
      </w:tblBorders>
    </w:tblPr>
    <w:tcPr>
      <w:shd w:val="clear" w:color="auto" w:fill="F0FEC0" w:themeFill="accent6" w:themeFillTint="33"/>
    </w:tcPr>
    <w:tblStylePr w:type="firstRow">
      <w:rPr>
        <w:b/>
        <w:bCs/>
      </w:rPr>
      <w:tblPr/>
      <w:tcPr>
        <w:shd w:val="clear" w:color="auto" w:fill="E2FE82" w:themeFill="accent6" w:themeFillTint="66"/>
      </w:tcPr>
    </w:tblStylePr>
    <w:tblStylePr w:type="lastRow">
      <w:rPr>
        <w:b/>
        <w:bCs/>
        <w:color w:val="222222" w:themeColor="text1"/>
      </w:rPr>
      <w:tblPr/>
      <w:tcPr>
        <w:shd w:val="clear" w:color="auto" w:fill="E2FE82" w:themeFill="accent6" w:themeFillTint="66"/>
      </w:tcPr>
    </w:tblStylePr>
    <w:tblStylePr w:type="firstCol">
      <w:rPr>
        <w:color w:val="FFFFFF" w:themeColor="background1"/>
      </w:rPr>
      <w:tblPr/>
      <w:tcPr>
        <w:shd w:val="clear" w:color="auto" w:fill="739400" w:themeFill="accent6" w:themeFillShade="BF"/>
      </w:tcPr>
    </w:tblStylePr>
    <w:tblStylePr w:type="lastCol">
      <w:rPr>
        <w:color w:val="FFFFFF" w:themeColor="background1"/>
      </w:rPr>
      <w:tblPr/>
      <w:tcPr>
        <w:shd w:val="clear" w:color="auto" w:fill="739400" w:themeFill="accent6" w:themeFillShade="BF"/>
      </w:tcPr>
    </w:tblStylePr>
    <w:tblStylePr w:type="band1Vert">
      <w:tblPr/>
      <w:tcPr>
        <w:shd w:val="clear" w:color="auto" w:fill="DBFE64" w:themeFill="accent6" w:themeFillTint="7F"/>
      </w:tcPr>
    </w:tblStylePr>
    <w:tblStylePr w:type="band1Horz">
      <w:tblPr/>
      <w:tcPr>
        <w:shd w:val="clear" w:color="auto" w:fill="DBFE64" w:themeFill="accent6" w:themeFillTint="7F"/>
      </w:tcPr>
    </w:tblStylePr>
  </w:style>
  <w:style w:type="paragraph" w:styleId="HTMLAddress">
    <w:name w:val="HTML Address"/>
    <w:basedOn w:val="Normal"/>
    <w:link w:val="HTMLAddressChar"/>
    <w:rsid w:val="00CC3878"/>
    <w:rPr>
      <w:i/>
      <w:iCs/>
    </w:rPr>
  </w:style>
  <w:style w:type="character" w:customStyle="1" w:styleId="HTMLAddressChar">
    <w:name w:val="HTML Address Char"/>
    <w:basedOn w:val="DefaultParagraphFont"/>
    <w:link w:val="HTMLAddress"/>
    <w:rsid w:val="00CC3878"/>
    <w:rPr>
      <w:i/>
      <w:iCs/>
      <w:sz w:val="19"/>
      <w:lang w:val="pl-PL"/>
    </w:rPr>
  </w:style>
  <w:style w:type="character" w:styleId="HTMLAcronym">
    <w:name w:val="HTML Acronym"/>
    <w:basedOn w:val="DefaultParagraphFont"/>
    <w:rsid w:val="00CC3878"/>
    <w:rPr>
      <w:lang w:val="pl-PL"/>
    </w:rPr>
  </w:style>
  <w:style w:type="character" w:styleId="HTMLCite">
    <w:name w:val="HTML Cite"/>
    <w:basedOn w:val="DefaultParagraphFont"/>
    <w:rsid w:val="00CC3878"/>
    <w:rPr>
      <w:i/>
      <w:iCs/>
      <w:lang w:val="pl-PL"/>
    </w:rPr>
  </w:style>
  <w:style w:type="character" w:styleId="HTMLDefinition">
    <w:name w:val="HTML Definition"/>
    <w:basedOn w:val="DefaultParagraphFont"/>
    <w:rsid w:val="00CC3878"/>
    <w:rPr>
      <w:i/>
      <w:iCs/>
      <w:lang w:val="pl-PL"/>
    </w:rPr>
  </w:style>
  <w:style w:type="character" w:styleId="HTMLSample">
    <w:name w:val="HTML Sample"/>
    <w:basedOn w:val="DefaultParagraphFont"/>
    <w:rsid w:val="00CC3878"/>
    <w:rPr>
      <w:rFonts w:ascii="Consolas" w:hAnsi="Consolas" w:cs="Consolas"/>
      <w:sz w:val="24"/>
      <w:szCs w:val="24"/>
      <w:lang w:val="pl-PL"/>
    </w:rPr>
  </w:style>
  <w:style w:type="paragraph" w:styleId="HTMLPreformatted">
    <w:name w:val="HTML Preformatted"/>
    <w:basedOn w:val="Normal"/>
    <w:link w:val="HTMLPreformattedChar"/>
    <w:rsid w:val="00CC3878"/>
    <w:rPr>
      <w:rFonts w:ascii="Consolas" w:hAnsi="Consolas" w:cs="Consolas"/>
      <w:sz w:val="20"/>
    </w:rPr>
  </w:style>
  <w:style w:type="character" w:customStyle="1" w:styleId="HTMLPreformattedChar">
    <w:name w:val="HTML Preformatted Char"/>
    <w:basedOn w:val="DefaultParagraphFont"/>
    <w:link w:val="HTMLPreformatted"/>
    <w:rsid w:val="00CC3878"/>
    <w:rPr>
      <w:rFonts w:ascii="Consolas" w:hAnsi="Consolas" w:cs="Consolas"/>
      <w:lang w:val="pl-PL"/>
    </w:rPr>
  </w:style>
  <w:style w:type="character" w:styleId="HTMLCode">
    <w:name w:val="HTML Code"/>
    <w:basedOn w:val="DefaultParagraphFont"/>
    <w:rsid w:val="00CC3878"/>
    <w:rPr>
      <w:rFonts w:ascii="Consolas" w:hAnsi="Consolas" w:cs="Consolas"/>
      <w:sz w:val="20"/>
      <w:szCs w:val="20"/>
      <w:lang w:val="pl-PL"/>
    </w:rPr>
  </w:style>
  <w:style w:type="character" w:styleId="HTMLTypewriter">
    <w:name w:val="HTML Typewriter"/>
    <w:basedOn w:val="DefaultParagraphFont"/>
    <w:rsid w:val="00CC3878"/>
    <w:rPr>
      <w:rFonts w:ascii="Consolas" w:hAnsi="Consolas" w:cs="Consolas"/>
      <w:sz w:val="20"/>
      <w:szCs w:val="20"/>
      <w:lang w:val="pl-PL"/>
    </w:rPr>
  </w:style>
  <w:style w:type="character" w:styleId="HTMLKeyboard">
    <w:name w:val="HTML Keyboard"/>
    <w:basedOn w:val="DefaultParagraphFont"/>
    <w:rsid w:val="00CC3878"/>
    <w:rPr>
      <w:rFonts w:ascii="Consolas" w:hAnsi="Consolas" w:cs="Consolas"/>
      <w:sz w:val="20"/>
      <w:szCs w:val="20"/>
      <w:lang w:val="pl-PL"/>
    </w:rPr>
  </w:style>
  <w:style w:type="character" w:styleId="HTMLVariable">
    <w:name w:val="HTML Variable"/>
    <w:basedOn w:val="DefaultParagraphFont"/>
    <w:rsid w:val="00CC3878"/>
    <w:rPr>
      <w:i/>
      <w:iCs/>
      <w:lang w:val="pl-PL"/>
    </w:rPr>
  </w:style>
  <w:style w:type="character" w:styleId="Hyperlink">
    <w:name w:val="Hyperlink"/>
    <w:basedOn w:val="DefaultParagraphFont"/>
    <w:rsid w:val="00CC3878"/>
    <w:rPr>
      <w:color w:val="0563C1" w:themeColor="hyperlink"/>
      <w:u w:val="single"/>
      <w:lang w:val="pl-PL"/>
    </w:rPr>
  </w:style>
  <w:style w:type="paragraph" w:styleId="Index1">
    <w:name w:val="index 1"/>
    <w:basedOn w:val="Normal"/>
    <w:next w:val="Normal"/>
    <w:autoRedefine/>
    <w:rsid w:val="00CC3878"/>
    <w:pPr>
      <w:ind w:left="190" w:hanging="190"/>
    </w:pPr>
  </w:style>
  <w:style w:type="paragraph" w:styleId="Index2">
    <w:name w:val="index 2"/>
    <w:basedOn w:val="Normal"/>
    <w:next w:val="Normal"/>
    <w:autoRedefine/>
    <w:rsid w:val="00CC3878"/>
    <w:pPr>
      <w:ind w:left="380" w:hanging="190"/>
    </w:pPr>
  </w:style>
  <w:style w:type="paragraph" w:styleId="Index3">
    <w:name w:val="index 3"/>
    <w:basedOn w:val="Normal"/>
    <w:next w:val="Normal"/>
    <w:autoRedefine/>
    <w:rsid w:val="00CC3878"/>
    <w:pPr>
      <w:ind w:left="570" w:hanging="190"/>
    </w:pPr>
  </w:style>
  <w:style w:type="paragraph" w:styleId="Index4">
    <w:name w:val="index 4"/>
    <w:basedOn w:val="Normal"/>
    <w:next w:val="Normal"/>
    <w:autoRedefine/>
    <w:rsid w:val="00CC3878"/>
    <w:pPr>
      <w:ind w:left="760" w:hanging="190"/>
    </w:pPr>
  </w:style>
  <w:style w:type="paragraph" w:styleId="Index5">
    <w:name w:val="index 5"/>
    <w:basedOn w:val="Normal"/>
    <w:next w:val="Normal"/>
    <w:autoRedefine/>
    <w:rsid w:val="00CC3878"/>
    <w:pPr>
      <w:ind w:left="950" w:hanging="190"/>
    </w:pPr>
  </w:style>
  <w:style w:type="paragraph" w:styleId="Index6">
    <w:name w:val="index 6"/>
    <w:basedOn w:val="Normal"/>
    <w:next w:val="Normal"/>
    <w:autoRedefine/>
    <w:rsid w:val="00CC3878"/>
    <w:pPr>
      <w:ind w:left="1140" w:hanging="190"/>
    </w:pPr>
  </w:style>
  <w:style w:type="paragraph" w:styleId="Index7">
    <w:name w:val="index 7"/>
    <w:basedOn w:val="Normal"/>
    <w:next w:val="Normal"/>
    <w:autoRedefine/>
    <w:rsid w:val="00CC3878"/>
    <w:pPr>
      <w:ind w:left="1330" w:hanging="190"/>
    </w:pPr>
  </w:style>
  <w:style w:type="paragraph" w:styleId="Index8">
    <w:name w:val="index 8"/>
    <w:basedOn w:val="Normal"/>
    <w:next w:val="Normal"/>
    <w:autoRedefine/>
    <w:rsid w:val="00CC3878"/>
    <w:pPr>
      <w:ind w:left="1520" w:hanging="190"/>
    </w:pPr>
  </w:style>
  <w:style w:type="paragraph" w:styleId="Index9">
    <w:name w:val="index 9"/>
    <w:basedOn w:val="Normal"/>
    <w:next w:val="Normal"/>
    <w:autoRedefine/>
    <w:rsid w:val="00CC3878"/>
    <w:pPr>
      <w:ind w:left="1710" w:hanging="190"/>
    </w:pPr>
  </w:style>
  <w:style w:type="paragraph" w:styleId="IndexHeading">
    <w:name w:val="index heading"/>
    <w:basedOn w:val="Normal"/>
    <w:next w:val="Index1"/>
    <w:rsid w:val="00CC3878"/>
    <w:rPr>
      <w:rFonts w:asciiTheme="majorHAnsi" w:eastAsiaTheme="majorEastAsia" w:hAnsiTheme="majorHAnsi" w:cstheme="majorBidi"/>
      <w:b/>
      <w:bCs/>
    </w:rPr>
  </w:style>
  <w:style w:type="paragraph" w:styleId="BlockText">
    <w:name w:val="Block Text"/>
    <w:basedOn w:val="Normal"/>
    <w:rsid w:val="00CC3878"/>
    <w:pPr>
      <w:pBdr>
        <w:top w:val="single" w:sz="2" w:space="10" w:color="165A9B" w:themeColor="accent1" w:shadow="1"/>
        <w:left w:val="single" w:sz="2" w:space="10" w:color="165A9B" w:themeColor="accent1" w:shadow="1"/>
        <w:bottom w:val="single" w:sz="2" w:space="10" w:color="165A9B" w:themeColor="accent1" w:shadow="1"/>
        <w:right w:val="single" w:sz="2" w:space="10" w:color="165A9B" w:themeColor="accent1" w:shadow="1"/>
      </w:pBdr>
      <w:ind w:left="1152" w:right="1152"/>
    </w:pPr>
    <w:rPr>
      <w:rFonts w:asciiTheme="minorHAnsi" w:eastAsiaTheme="minorEastAsia" w:hAnsiTheme="minorHAnsi" w:cstheme="minorBidi"/>
      <w:i/>
      <w:iCs/>
      <w:color w:val="165A9B" w:themeColor="accent1"/>
    </w:rPr>
  </w:style>
  <w:style w:type="paragraph" w:styleId="NoSpacing">
    <w:name w:val="No Spacing"/>
    <w:uiPriority w:val="1"/>
    <w:qFormat/>
    <w:rsid w:val="00CC3878"/>
    <w:rPr>
      <w:sz w:val="19"/>
    </w:rPr>
  </w:style>
  <w:style w:type="paragraph" w:styleId="Salutation">
    <w:name w:val="Salutation"/>
    <w:basedOn w:val="Normal"/>
    <w:next w:val="Normal"/>
    <w:link w:val="SalutationChar"/>
    <w:rsid w:val="00CC3878"/>
  </w:style>
  <w:style w:type="character" w:customStyle="1" w:styleId="SalutationChar">
    <w:name w:val="Salutation Char"/>
    <w:basedOn w:val="DefaultParagraphFont"/>
    <w:link w:val="Salutation"/>
    <w:rsid w:val="00CC3878"/>
    <w:rPr>
      <w:sz w:val="19"/>
      <w:lang w:val="pl-PL"/>
    </w:rPr>
  </w:style>
  <w:style w:type="paragraph" w:styleId="TOC4">
    <w:name w:val="toc 4"/>
    <w:basedOn w:val="Normal"/>
    <w:next w:val="Normal"/>
    <w:autoRedefine/>
    <w:rsid w:val="00CC3878"/>
    <w:pPr>
      <w:spacing w:after="100"/>
      <w:ind w:left="570"/>
    </w:pPr>
  </w:style>
  <w:style w:type="paragraph" w:styleId="TOC5">
    <w:name w:val="toc 5"/>
    <w:basedOn w:val="Normal"/>
    <w:next w:val="Normal"/>
    <w:autoRedefine/>
    <w:rsid w:val="00CC3878"/>
    <w:pPr>
      <w:spacing w:after="100"/>
      <w:ind w:left="760"/>
    </w:pPr>
  </w:style>
  <w:style w:type="paragraph" w:styleId="TOC6">
    <w:name w:val="toc 6"/>
    <w:basedOn w:val="Normal"/>
    <w:next w:val="Normal"/>
    <w:autoRedefine/>
    <w:rsid w:val="00CC3878"/>
    <w:pPr>
      <w:spacing w:after="100"/>
      <w:ind w:left="950"/>
    </w:pPr>
  </w:style>
  <w:style w:type="paragraph" w:styleId="TOC7">
    <w:name w:val="toc 7"/>
    <w:basedOn w:val="Normal"/>
    <w:next w:val="Normal"/>
    <w:autoRedefine/>
    <w:rsid w:val="00CC3878"/>
    <w:pPr>
      <w:spacing w:after="100"/>
      <w:ind w:left="1140"/>
    </w:pPr>
  </w:style>
  <w:style w:type="paragraph" w:styleId="TOC8">
    <w:name w:val="toc 8"/>
    <w:basedOn w:val="Normal"/>
    <w:next w:val="Normal"/>
    <w:autoRedefine/>
    <w:rsid w:val="00CC3878"/>
    <w:pPr>
      <w:spacing w:after="100"/>
      <w:ind w:left="1330"/>
    </w:pPr>
  </w:style>
  <w:style w:type="paragraph" w:styleId="TOC9">
    <w:name w:val="toc 9"/>
    <w:basedOn w:val="Normal"/>
    <w:next w:val="Normal"/>
    <w:autoRedefine/>
    <w:rsid w:val="00CC3878"/>
    <w:pPr>
      <w:spacing w:after="100"/>
      <w:ind w:left="1520"/>
    </w:pPr>
  </w:style>
  <w:style w:type="character" w:customStyle="1" w:styleId="Heading1Char">
    <w:name w:val="Heading 1 Char"/>
    <w:basedOn w:val="DefaultParagraphFont"/>
    <w:link w:val="Heading1"/>
    <w:rsid w:val="00BF7F56"/>
    <w:rPr>
      <w:b/>
      <w:sz w:val="27"/>
    </w:rPr>
  </w:style>
  <w:style w:type="paragraph" w:styleId="TOCHeading">
    <w:name w:val="TOC Heading"/>
    <w:basedOn w:val="Heading1"/>
    <w:next w:val="Normal"/>
    <w:uiPriority w:val="39"/>
    <w:semiHidden/>
    <w:unhideWhenUsed/>
    <w:qFormat/>
    <w:rsid w:val="00CC3878"/>
    <w:pPr>
      <w:outlineLvl w:val="9"/>
    </w:pPr>
  </w:style>
  <w:style w:type="paragraph" w:styleId="CommentText">
    <w:name w:val="annotation text"/>
    <w:basedOn w:val="Normal"/>
    <w:link w:val="CommentTextChar"/>
    <w:rsid w:val="00CC3878"/>
    <w:rPr>
      <w:sz w:val="20"/>
    </w:rPr>
  </w:style>
  <w:style w:type="character" w:customStyle="1" w:styleId="CommentTextChar">
    <w:name w:val="Comment Text Char"/>
    <w:basedOn w:val="DefaultParagraphFont"/>
    <w:link w:val="CommentText"/>
    <w:rsid w:val="00CC3878"/>
    <w:rPr>
      <w:lang w:val="pl-PL"/>
    </w:rPr>
  </w:style>
  <w:style w:type="character" w:styleId="CommentReference">
    <w:name w:val="annotation reference"/>
    <w:basedOn w:val="DefaultParagraphFont"/>
    <w:rsid w:val="00CC3878"/>
    <w:rPr>
      <w:sz w:val="16"/>
      <w:szCs w:val="16"/>
      <w:lang w:val="pl-PL"/>
    </w:rPr>
  </w:style>
  <w:style w:type="paragraph" w:styleId="CommentSubject">
    <w:name w:val="annotation subject"/>
    <w:basedOn w:val="CommentText"/>
    <w:next w:val="CommentText"/>
    <w:link w:val="CommentSubjectChar"/>
    <w:rsid w:val="00CC3878"/>
    <w:rPr>
      <w:b/>
      <w:bCs/>
    </w:rPr>
  </w:style>
  <w:style w:type="character" w:customStyle="1" w:styleId="CommentSubjectChar">
    <w:name w:val="Comment Subject Char"/>
    <w:basedOn w:val="CommentTextChar"/>
    <w:link w:val="CommentSubject"/>
    <w:rsid w:val="00CC3878"/>
    <w:rPr>
      <w:b/>
      <w:bCs/>
      <w:lang w:val="pl-PL"/>
    </w:rPr>
  </w:style>
  <w:style w:type="paragraph" w:styleId="List">
    <w:name w:val="List"/>
    <w:basedOn w:val="Normal"/>
    <w:rsid w:val="00CC3878"/>
    <w:pPr>
      <w:ind w:left="283" w:hanging="283"/>
      <w:contextualSpacing/>
    </w:pPr>
  </w:style>
  <w:style w:type="paragraph" w:styleId="List2">
    <w:name w:val="List 2"/>
    <w:basedOn w:val="Normal"/>
    <w:rsid w:val="00CC3878"/>
    <w:pPr>
      <w:ind w:left="566" w:hanging="283"/>
      <w:contextualSpacing/>
    </w:pPr>
  </w:style>
  <w:style w:type="paragraph" w:styleId="List3">
    <w:name w:val="List 3"/>
    <w:basedOn w:val="Normal"/>
    <w:rsid w:val="00CC3878"/>
    <w:pPr>
      <w:ind w:left="849" w:hanging="283"/>
      <w:contextualSpacing/>
    </w:pPr>
  </w:style>
  <w:style w:type="paragraph" w:styleId="List4">
    <w:name w:val="List 4"/>
    <w:basedOn w:val="Normal"/>
    <w:rsid w:val="00CC3878"/>
    <w:pPr>
      <w:ind w:left="1132" w:hanging="283"/>
      <w:contextualSpacing/>
    </w:pPr>
  </w:style>
  <w:style w:type="paragraph" w:styleId="List5">
    <w:name w:val="List 5"/>
    <w:basedOn w:val="Normal"/>
    <w:rsid w:val="00CC3878"/>
    <w:pPr>
      <w:ind w:left="1415" w:hanging="283"/>
      <w:contextualSpacing/>
    </w:pPr>
  </w:style>
  <w:style w:type="paragraph" w:styleId="ListContinue">
    <w:name w:val="List Continue"/>
    <w:basedOn w:val="Normal"/>
    <w:rsid w:val="00CC3878"/>
    <w:pPr>
      <w:spacing w:after="120"/>
      <w:ind w:left="283"/>
      <w:contextualSpacing/>
    </w:pPr>
  </w:style>
  <w:style w:type="paragraph" w:styleId="ListContinue2">
    <w:name w:val="List Continue 2"/>
    <w:basedOn w:val="Normal"/>
    <w:rsid w:val="00CC3878"/>
    <w:pPr>
      <w:spacing w:after="120"/>
      <w:ind w:left="566"/>
      <w:contextualSpacing/>
    </w:pPr>
  </w:style>
  <w:style w:type="paragraph" w:styleId="ListContinue3">
    <w:name w:val="List Continue 3"/>
    <w:basedOn w:val="Normal"/>
    <w:rsid w:val="00CC3878"/>
    <w:pPr>
      <w:spacing w:after="120"/>
      <w:ind w:left="849"/>
      <w:contextualSpacing/>
    </w:pPr>
  </w:style>
  <w:style w:type="paragraph" w:styleId="ListContinue4">
    <w:name w:val="List Continue 4"/>
    <w:basedOn w:val="Normal"/>
    <w:rsid w:val="00CC3878"/>
    <w:pPr>
      <w:spacing w:after="120"/>
      <w:ind w:left="1132"/>
      <w:contextualSpacing/>
    </w:pPr>
  </w:style>
  <w:style w:type="paragraph" w:styleId="ListContinue5">
    <w:name w:val="List Continue 5"/>
    <w:basedOn w:val="Normal"/>
    <w:rsid w:val="00CC3878"/>
    <w:pPr>
      <w:spacing w:after="120"/>
      <w:ind w:left="1415"/>
      <w:contextualSpacing/>
    </w:pPr>
  </w:style>
  <w:style w:type="paragraph" w:styleId="ListParagraph">
    <w:name w:val="List Paragraph"/>
    <w:basedOn w:val="Normal"/>
    <w:uiPriority w:val="34"/>
    <w:qFormat/>
    <w:rsid w:val="00CC3878"/>
    <w:pPr>
      <w:ind w:left="720"/>
      <w:contextualSpacing/>
    </w:pPr>
  </w:style>
  <w:style w:type="paragraph" w:styleId="Bibliography">
    <w:name w:val="Bibliography"/>
    <w:basedOn w:val="Normal"/>
    <w:next w:val="Normal"/>
    <w:uiPriority w:val="37"/>
    <w:semiHidden/>
    <w:unhideWhenUsed/>
    <w:rsid w:val="00CC3878"/>
  </w:style>
  <w:style w:type="table" w:styleId="LightList">
    <w:name w:val="Light List"/>
    <w:basedOn w:val="TableNormal"/>
    <w:uiPriority w:val="61"/>
    <w:rsid w:val="00CC3878"/>
    <w:tblPr>
      <w:tblStyleRowBandSize w:val="1"/>
      <w:tblStyleColBandSize w:val="1"/>
      <w:tblBorders>
        <w:top w:val="single" w:sz="8" w:space="0" w:color="222222" w:themeColor="text1"/>
        <w:left w:val="single" w:sz="8" w:space="0" w:color="222222" w:themeColor="text1"/>
        <w:bottom w:val="single" w:sz="8" w:space="0" w:color="222222" w:themeColor="text1"/>
        <w:right w:val="single" w:sz="8" w:space="0" w:color="222222" w:themeColor="text1"/>
      </w:tblBorders>
    </w:tblPr>
    <w:tblStylePr w:type="firstRow">
      <w:pPr>
        <w:spacing w:before="0" w:after="0" w:line="240" w:lineRule="auto"/>
      </w:pPr>
      <w:rPr>
        <w:b/>
        <w:bCs/>
        <w:color w:val="FFFFFF" w:themeColor="background1"/>
      </w:rPr>
      <w:tblPr/>
      <w:tcPr>
        <w:shd w:val="clear" w:color="auto" w:fill="222222" w:themeFill="text1"/>
      </w:tcPr>
    </w:tblStylePr>
    <w:tblStylePr w:type="lastRow">
      <w:pPr>
        <w:spacing w:before="0" w:after="0" w:line="240" w:lineRule="auto"/>
      </w:pPr>
      <w:rPr>
        <w:b/>
        <w:bCs/>
      </w:rPr>
      <w:tblPr/>
      <w:tcPr>
        <w:tcBorders>
          <w:top w:val="double" w:sz="6" w:space="0" w:color="222222" w:themeColor="text1"/>
          <w:left w:val="single" w:sz="8" w:space="0" w:color="222222" w:themeColor="text1"/>
          <w:bottom w:val="single" w:sz="8" w:space="0" w:color="222222" w:themeColor="text1"/>
          <w:right w:val="single" w:sz="8" w:space="0" w:color="222222" w:themeColor="text1"/>
        </w:tcBorders>
      </w:tcPr>
    </w:tblStylePr>
    <w:tblStylePr w:type="firstCol">
      <w:rPr>
        <w:b/>
        <w:bCs/>
      </w:rPr>
    </w:tblStylePr>
    <w:tblStylePr w:type="lastCol">
      <w:rPr>
        <w:b/>
        <w:bCs/>
      </w:rPr>
    </w:tblStylePr>
    <w:tblStylePr w:type="band1Vert">
      <w:tblPr/>
      <w:tcPr>
        <w:tcBorders>
          <w:top w:val="single" w:sz="8" w:space="0" w:color="222222" w:themeColor="text1"/>
          <w:left w:val="single" w:sz="8" w:space="0" w:color="222222" w:themeColor="text1"/>
          <w:bottom w:val="single" w:sz="8" w:space="0" w:color="222222" w:themeColor="text1"/>
          <w:right w:val="single" w:sz="8" w:space="0" w:color="222222" w:themeColor="text1"/>
        </w:tcBorders>
      </w:tcPr>
    </w:tblStylePr>
    <w:tblStylePr w:type="band1Horz">
      <w:tblPr/>
      <w:tcPr>
        <w:tcBorders>
          <w:top w:val="single" w:sz="8" w:space="0" w:color="222222" w:themeColor="text1"/>
          <w:left w:val="single" w:sz="8" w:space="0" w:color="222222" w:themeColor="text1"/>
          <w:bottom w:val="single" w:sz="8" w:space="0" w:color="222222" w:themeColor="text1"/>
          <w:right w:val="single" w:sz="8" w:space="0" w:color="222222" w:themeColor="text1"/>
        </w:tcBorders>
      </w:tcPr>
    </w:tblStylePr>
  </w:style>
  <w:style w:type="table" w:styleId="LightList-Accent1">
    <w:name w:val="Light List Accent 1"/>
    <w:basedOn w:val="TableNormal"/>
    <w:uiPriority w:val="61"/>
    <w:rsid w:val="00CC3878"/>
    <w:tblPr>
      <w:tblStyleRowBandSize w:val="1"/>
      <w:tblStyleColBandSize w:val="1"/>
      <w:tblBorders>
        <w:top w:val="single" w:sz="8" w:space="0" w:color="165A9B" w:themeColor="accent1"/>
        <w:left w:val="single" w:sz="8" w:space="0" w:color="165A9B" w:themeColor="accent1"/>
        <w:bottom w:val="single" w:sz="8" w:space="0" w:color="165A9B" w:themeColor="accent1"/>
        <w:right w:val="single" w:sz="8" w:space="0" w:color="165A9B" w:themeColor="accent1"/>
      </w:tblBorders>
    </w:tblPr>
    <w:tblStylePr w:type="firstRow">
      <w:pPr>
        <w:spacing w:before="0" w:after="0" w:line="240" w:lineRule="auto"/>
      </w:pPr>
      <w:rPr>
        <w:b/>
        <w:bCs/>
        <w:color w:val="FFFFFF" w:themeColor="background1"/>
      </w:rPr>
      <w:tblPr/>
      <w:tcPr>
        <w:shd w:val="clear" w:color="auto" w:fill="165A9B" w:themeFill="accent1"/>
      </w:tcPr>
    </w:tblStylePr>
    <w:tblStylePr w:type="lastRow">
      <w:pPr>
        <w:spacing w:before="0" w:after="0" w:line="240" w:lineRule="auto"/>
      </w:pPr>
      <w:rPr>
        <w:b/>
        <w:bCs/>
      </w:rPr>
      <w:tblPr/>
      <w:tcPr>
        <w:tcBorders>
          <w:top w:val="double" w:sz="6" w:space="0" w:color="165A9B" w:themeColor="accent1"/>
          <w:left w:val="single" w:sz="8" w:space="0" w:color="165A9B" w:themeColor="accent1"/>
          <w:bottom w:val="single" w:sz="8" w:space="0" w:color="165A9B" w:themeColor="accent1"/>
          <w:right w:val="single" w:sz="8" w:space="0" w:color="165A9B" w:themeColor="accent1"/>
        </w:tcBorders>
      </w:tcPr>
    </w:tblStylePr>
    <w:tblStylePr w:type="firstCol">
      <w:rPr>
        <w:b/>
        <w:bCs/>
      </w:rPr>
    </w:tblStylePr>
    <w:tblStylePr w:type="lastCol">
      <w:rPr>
        <w:b/>
        <w:bCs/>
      </w:rPr>
    </w:tblStylePr>
    <w:tblStylePr w:type="band1Vert">
      <w:tblPr/>
      <w:tcPr>
        <w:tcBorders>
          <w:top w:val="single" w:sz="8" w:space="0" w:color="165A9B" w:themeColor="accent1"/>
          <w:left w:val="single" w:sz="8" w:space="0" w:color="165A9B" w:themeColor="accent1"/>
          <w:bottom w:val="single" w:sz="8" w:space="0" w:color="165A9B" w:themeColor="accent1"/>
          <w:right w:val="single" w:sz="8" w:space="0" w:color="165A9B" w:themeColor="accent1"/>
        </w:tcBorders>
      </w:tcPr>
    </w:tblStylePr>
    <w:tblStylePr w:type="band1Horz">
      <w:tblPr/>
      <w:tcPr>
        <w:tcBorders>
          <w:top w:val="single" w:sz="8" w:space="0" w:color="165A9B" w:themeColor="accent1"/>
          <w:left w:val="single" w:sz="8" w:space="0" w:color="165A9B" w:themeColor="accent1"/>
          <w:bottom w:val="single" w:sz="8" w:space="0" w:color="165A9B" w:themeColor="accent1"/>
          <w:right w:val="single" w:sz="8" w:space="0" w:color="165A9B" w:themeColor="accent1"/>
        </w:tcBorders>
      </w:tcPr>
    </w:tblStylePr>
  </w:style>
  <w:style w:type="table" w:styleId="LightList-Accent2">
    <w:name w:val="Light List Accent 2"/>
    <w:basedOn w:val="TableNormal"/>
    <w:uiPriority w:val="61"/>
    <w:rsid w:val="00CC3878"/>
    <w:tblPr>
      <w:tblStyleRowBandSize w:val="1"/>
      <w:tblStyleColBandSize w:val="1"/>
      <w:tblBorders>
        <w:top w:val="single" w:sz="8" w:space="0" w:color="FFCC33" w:themeColor="accent2"/>
        <w:left w:val="single" w:sz="8" w:space="0" w:color="FFCC33" w:themeColor="accent2"/>
        <w:bottom w:val="single" w:sz="8" w:space="0" w:color="FFCC33" w:themeColor="accent2"/>
        <w:right w:val="single" w:sz="8" w:space="0" w:color="FFCC33" w:themeColor="accent2"/>
      </w:tblBorders>
    </w:tblPr>
    <w:tblStylePr w:type="firstRow">
      <w:pPr>
        <w:spacing w:before="0" w:after="0" w:line="240" w:lineRule="auto"/>
      </w:pPr>
      <w:rPr>
        <w:b/>
        <w:bCs/>
        <w:color w:val="FFFFFF" w:themeColor="background1"/>
      </w:rPr>
      <w:tblPr/>
      <w:tcPr>
        <w:shd w:val="clear" w:color="auto" w:fill="FFCC33" w:themeFill="accent2"/>
      </w:tcPr>
    </w:tblStylePr>
    <w:tblStylePr w:type="lastRow">
      <w:pPr>
        <w:spacing w:before="0" w:after="0" w:line="240" w:lineRule="auto"/>
      </w:pPr>
      <w:rPr>
        <w:b/>
        <w:bCs/>
      </w:rPr>
      <w:tblPr/>
      <w:tcPr>
        <w:tcBorders>
          <w:top w:val="double" w:sz="6" w:space="0" w:color="FFCC33" w:themeColor="accent2"/>
          <w:left w:val="single" w:sz="8" w:space="0" w:color="FFCC33" w:themeColor="accent2"/>
          <w:bottom w:val="single" w:sz="8" w:space="0" w:color="FFCC33" w:themeColor="accent2"/>
          <w:right w:val="single" w:sz="8" w:space="0" w:color="FFCC33" w:themeColor="accent2"/>
        </w:tcBorders>
      </w:tcPr>
    </w:tblStylePr>
    <w:tblStylePr w:type="firstCol">
      <w:rPr>
        <w:b/>
        <w:bCs/>
      </w:rPr>
    </w:tblStylePr>
    <w:tblStylePr w:type="lastCol">
      <w:rPr>
        <w:b/>
        <w:bCs/>
      </w:rPr>
    </w:tblStylePr>
    <w:tblStylePr w:type="band1Vert">
      <w:tblPr/>
      <w:tcPr>
        <w:tcBorders>
          <w:top w:val="single" w:sz="8" w:space="0" w:color="FFCC33" w:themeColor="accent2"/>
          <w:left w:val="single" w:sz="8" w:space="0" w:color="FFCC33" w:themeColor="accent2"/>
          <w:bottom w:val="single" w:sz="8" w:space="0" w:color="FFCC33" w:themeColor="accent2"/>
          <w:right w:val="single" w:sz="8" w:space="0" w:color="FFCC33" w:themeColor="accent2"/>
        </w:tcBorders>
      </w:tcPr>
    </w:tblStylePr>
    <w:tblStylePr w:type="band1Horz">
      <w:tblPr/>
      <w:tcPr>
        <w:tcBorders>
          <w:top w:val="single" w:sz="8" w:space="0" w:color="FFCC33" w:themeColor="accent2"/>
          <w:left w:val="single" w:sz="8" w:space="0" w:color="FFCC33" w:themeColor="accent2"/>
          <w:bottom w:val="single" w:sz="8" w:space="0" w:color="FFCC33" w:themeColor="accent2"/>
          <w:right w:val="single" w:sz="8" w:space="0" w:color="FFCC33" w:themeColor="accent2"/>
        </w:tcBorders>
      </w:tcPr>
    </w:tblStylePr>
  </w:style>
  <w:style w:type="table" w:styleId="LightList-Accent3">
    <w:name w:val="Light List Accent 3"/>
    <w:basedOn w:val="TableNormal"/>
    <w:uiPriority w:val="61"/>
    <w:rsid w:val="00CC3878"/>
    <w:tblPr>
      <w:tblStyleRowBandSize w:val="1"/>
      <w:tblStyleColBandSize w:val="1"/>
      <w:tblBorders>
        <w:top w:val="single" w:sz="8" w:space="0" w:color="FF7D00" w:themeColor="accent3"/>
        <w:left w:val="single" w:sz="8" w:space="0" w:color="FF7D00" w:themeColor="accent3"/>
        <w:bottom w:val="single" w:sz="8" w:space="0" w:color="FF7D00" w:themeColor="accent3"/>
        <w:right w:val="single" w:sz="8" w:space="0" w:color="FF7D00" w:themeColor="accent3"/>
      </w:tblBorders>
    </w:tblPr>
    <w:tblStylePr w:type="firstRow">
      <w:pPr>
        <w:spacing w:before="0" w:after="0" w:line="240" w:lineRule="auto"/>
      </w:pPr>
      <w:rPr>
        <w:b/>
        <w:bCs/>
        <w:color w:val="FFFFFF" w:themeColor="background1"/>
      </w:rPr>
      <w:tblPr/>
      <w:tcPr>
        <w:shd w:val="clear" w:color="auto" w:fill="FF7D00" w:themeFill="accent3"/>
      </w:tcPr>
    </w:tblStylePr>
    <w:tblStylePr w:type="lastRow">
      <w:pPr>
        <w:spacing w:before="0" w:after="0" w:line="240" w:lineRule="auto"/>
      </w:pPr>
      <w:rPr>
        <w:b/>
        <w:bCs/>
      </w:rPr>
      <w:tblPr/>
      <w:tcPr>
        <w:tcBorders>
          <w:top w:val="double" w:sz="6" w:space="0" w:color="FF7D00" w:themeColor="accent3"/>
          <w:left w:val="single" w:sz="8" w:space="0" w:color="FF7D00" w:themeColor="accent3"/>
          <w:bottom w:val="single" w:sz="8" w:space="0" w:color="FF7D00" w:themeColor="accent3"/>
          <w:right w:val="single" w:sz="8" w:space="0" w:color="FF7D00" w:themeColor="accent3"/>
        </w:tcBorders>
      </w:tcPr>
    </w:tblStylePr>
    <w:tblStylePr w:type="firstCol">
      <w:rPr>
        <w:b/>
        <w:bCs/>
      </w:rPr>
    </w:tblStylePr>
    <w:tblStylePr w:type="lastCol">
      <w:rPr>
        <w:b/>
        <w:bCs/>
      </w:rPr>
    </w:tblStylePr>
    <w:tblStylePr w:type="band1Vert">
      <w:tblPr/>
      <w:tcPr>
        <w:tcBorders>
          <w:top w:val="single" w:sz="8" w:space="0" w:color="FF7D00" w:themeColor="accent3"/>
          <w:left w:val="single" w:sz="8" w:space="0" w:color="FF7D00" w:themeColor="accent3"/>
          <w:bottom w:val="single" w:sz="8" w:space="0" w:color="FF7D00" w:themeColor="accent3"/>
          <w:right w:val="single" w:sz="8" w:space="0" w:color="FF7D00" w:themeColor="accent3"/>
        </w:tcBorders>
      </w:tcPr>
    </w:tblStylePr>
    <w:tblStylePr w:type="band1Horz">
      <w:tblPr/>
      <w:tcPr>
        <w:tcBorders>
          <w:top w:val="single" w:sz="8" w:space="0" w:color="FF7D00" w:themeColor="accent3"/>
          <w:left w:val="single" w:sz="8" w:space="0" w:color="FF7D00" w:themeColor="accent3"/>
          <w:bottom w:val="single" w:sz="8" w:space="0" w:color="FF7D00" w:themeColor="accent3"/>
          <w:right w:val="single" w:sz="8" w:space="0" w:color="FF7D00" w:themeColor="accent3"/>
        </w:tcBorders>
      </w:tcPr>
    </w:tblStylePr>
  </w:style>
  <w:style w:type="table" w:styleId="LightList-Accent4">
    <w:name w:val="Light List Accent 4"/>
    <w:basedOn w:val="TableNormal"/>
    <w:uiPriority w:val="61"/>
    <w:rsid w:val="00CC3878"/>
    <w:tblPr>
      <w:tblStyleRowBandSize w:val="1"/>
      <w:tblStyleColBandSize w:val="1"/>
      <w:tblBorders>
        <w:top w:val="single" w:sz="8" w:space="0" w:color="D5D4D4" w:themeColor="accent4"/>
        <w:left w:val="single" w:sz="8" w:space="0" w:color="D5D4D4" w:themeColor="accent4"/>
        <w:bottom w:val="single" w:sz="8" w:space="0" w:color="D5D4D4" w:themeColor="accent4"/>
        <w:right w:val="single" w:sz="8" w:space="0" w:color="D5D4D4" w:themeColor="accent4"/>
      </w:tblBorders>
    </w:tblPr>
    <w:tblStylePr w:type="firstRow">
      <w:pPr>
        <w:spacing w:before="0" w:after="0" w:line="240" w:lineRule="auto"/>
      </w:pPr>
      <w:rPr>
        <w:b/>
        <w:bCs/>
        <w:color w:val="FFFFFF" w:themeColor="background1"/>
      </w:rPr>
      <w:tblPr/>
      <w:tcPr>
        <w:shd w:val="clear" w:color="auto" w:fill="D5D4D4" w:themeFill="accent4"/>
      </w:tcPr>
    </w:tblStylePr>
    <w:tblStylePr w:type="lastRow">
      <w:pPr>
        <w:spacing w:before="0" w:after="0" w:line="240" w:lineRule="auto"/>
      </w:pPr>
      <w:rPr>
        <w:b/>
        <w:bCs/>
      </w:rPr>
      <w:tblPr/>
      <w:tcPr>
        <w:tcBorders>
          <w:top w:val="double" w:sz="6" w:space="0" w:color="D5D4D4" w:themeColor="accent4"/>
          <w:left w:val="single" w:sz="8" w:space="0" w:color="D5D4D4" w:themeColor="accent4"/>
          <w:bottom w:val="single" w:sz="8" w:space="0" w:color="D5D4D4" w:themeColor="accent4"/>
          <w:right w:val="single" w:sz="8" w:space="0" w:color="D5D4D4" w:themeColor="accent4"/>
        </w:tcBorders>
      </w:tcPr>
    </w:tblStylePr>
    <w:tblStylePr w:type="firstCol">
      <w:rPr>
        <w:b/>
        <w:bCs/>
      </w:rPr>
    </w:tblStylePr>
    <w:tblStylePr w:type="lastCol">
      <w:rPr>
        <w:b/>
        <w:bCs/>
      </w:rPr>
    </w:tblStylePr>
    <w:tblStylePr w:type="band1Vert">
      <w:tblPr/>
      <w:tcPr>
        <w:tcBorders>
          <w:top w:val="single" w:sz="8" w:space="0" w:color="D5D4D4" w:themeColor="accent4"/>
          <w:left w:val="single" w:sz="8" w:space="0" w:color="D5D4D4" w:themeColor="accent4"/>
          <w:bottom w:val="single" w:sz="8" w:space="0" w:color="D5D4D4" w:themeColor="accent4"/>
          <w:right w:val="single" w:sz="8" w:space="0" w:color="D5D4D4" w:themeColor="accent4"/>
        </w:tcBorders>
      </w:tcPr>
    </w:tblStylePr>
    <w:tblStylePr w:type="band1Horz">
      <w:tblPr/>
      <w:tcPr>
        <w:tcBorders>
          <w:top w:val="single" w:sz="8" w:space="0" w:color="D5D4D4" w:themeColor="accent4"/>
          <w:left w:val="single" w:sz="8" w:space="0" w:color="D5D4D4" w:themeColor="accent4"/>
          <w:bottom w:val="single" w:sz="8" w:space="0" w:color="D5D4D4" w:themeColor="accent4"/>
          <w:right w:val="single" w:sz="8" w:space="0" w:color="D5D4D4" w:themeColor="accent4"/>
        </w:tcBorders>
      </w:tcPr>
    </w:tblStylePr>
  </w:style>
  <w:style w:type="table" w:styleId="LightList-Accent5">
    <w:name w:val="Light List Accent 5"/>
    <w:basedOn w:val="TableNormal"/>
    <w:uiPriority w:val="61"/>
    <w:rsid w:val="00CC3878"/>
    <w:tblPr>
      <w:tblStyleRowBandSize w:val="1"/>
      <w:tblStyleColBandSize w:val="1"/>
      <w:tblBorders>
        <w:top w:val="single" w:sz="8" w:space="0" w:color="00B9F6" w:themeColor="accent5"/>
        <w:left w:val="single" w:sz="8" w:space="0" w:color="00B9F6" w:themeColor="accent5"/>
        <w:bottom w:val="single" w:sz="8" w:space="0" w:color="00B9F6" w:themeColor="accent5"/>
        <w:right w:val="single" w:sz="8" w:space="0" w:color="00B9F6" w:themeColor="accent5"/>
      </w:tblBorders>
    </w:tblPr>
    <w:tblStylePr w:type="firstRow">
      <w:pPr>
        <w:spacing w:before="0" w:after="0" w:line="240" w:lineRule="auto"/>
      </w:pPr>
      <w:rPr>
        <w:b/>
        <w:bCs/>
        <w:color w:val="FFFFFF" w:themeColor="background1"/>
      </w:rPr>
      <w:tblPr/>
      <w:tcPr>
        <w:shd w:val="clear" w:color="auto" w:fill="00B9F6" w:themeFill="accent5"/>
      </w:tcPr>
    </w:tblStylePr>
    <w:tblStylePr w:type="lastRow">
      <w:pPr>
        <w:spacing w:before="0" w:after="0" w:line="240" w:lineRule="auto"/>
      </w:pPr>
      <w:rPr>
        <w:b/>
        <w:bCs/>
      </w:rPr>
      <w:tblPr/>
      <w:tcPr>
        <w:tcBorders>
          <w:top w:val="double" w:sz="6" w:space="0" w:color="00B9F6" w:themeColor="accent5"/>
          <w:left w:val="single" w:sz="8" w:space="0" w:color="00B9F6" w:themeColor="accent5"/>
          <w:bottom w:val="single" w:sz="8" w:space="0" w:color="00B9F6" w:themeColor="accent5"/>
          <w:right w:val="single" w:sz="8" w:space="0" w:color="00B9F6" w:themeColor="accent5"/>
        </w:tcBorders>
      </w:tcPr>
    </w:tblStylePr>
    <w:tblStylePr w:type="firstCol">
      <w:rPr>
        <w:b/>
        <w:bCs/>
      </w:rPr>
    </w:tblStylePr>
    <w:tblStylePr w:type="lastCol">
      <w:rPr>
        <w:b/>
        <w:bCs/>
      </w:rPr>
    </w:tblStylePr>
    <w:tblStylePr w:type="band1Vert">
      <w:tblPr/>
      <w:tcPr>
        <w:tcBorders>
          <w:top w:val="single" w:sz="8" w:space="0" w:color="00B9F6" w:themeColor="accent5"/>
          <w:left w:val="single" w:sz="8" w:space="0" w:color="00B9F6" w:themeColor="accent5"/>
          <w:bottom w:val="single" w:sz="8" w:space="0" w:color="00B9F6" w:themeColor="accent5"/>
          <w:right w:val="single" w:sz="8" w:space="0" w:color="00B9F6" w:themeColor="accent5"/>
        </w:tcBorders>
      </w:tcPr>
    </w:tblStylePr>
    <w:tblStylePr w:type="band1Horz">
      <w:tblPr/>
      <w:tcPr>
        <w:tcBorders>
          <w:top w:val="single" w:sz="8" w:space="0" w:color="00B9F6" w:themeColor="accent5"/>
          <w:left w:val="single" w:sz="8" w:space="0" w:color="00B9F6" w:themeColor="accent5"/>
          <w:bottom w:val="single" w:sz="8" w:space="0" w:color="00B9F6" w:themeColor="accent5"/>
          <w:right w:val="single" w:sz="8" w:space="0" w:color="00B9F6" w:themeColor="accent5"/>
        </w:tcBorders>
      </w:tcPr>
    </w:tblStylePr>
  </w:style>
  <w:style w:type="table" w:styleId="LightList-Accent6">
    <w:name w:val="Light List Accent 6"/>
    <w:basedOn w:val="TableNormal"/>
    <w:uiPriority w:val="61"/>
    <w:rsid w:val="00CC3878"/>
    <w:tblPr>
      <w:tblStyleRowBandSize w:val="1"/>
      <w:tblStyleColBandSize w:val="1"/>
      <w:tblBorders>
        <w:top w:val="single" w:sz="8" w:space="0" w:color="9AC601" w:themeColor="accent6"/>
        <w:left w:val="single" w:sz="8" w:space="0" w:color="9AC601" w:themeColor="accent6"/>
        <w:bottom w:val="single" w:sz="8" w:space="0" w:color="9AC601" w:themeColor="accent6"/>
        <w:right w:val="single" w:sz="8" w:space="0" w:color="9AC601" w:themeColor="accent6"/>
      </w:tblBorders>
    </w:tblPr>
    <w:tblStylePr w:type="firstRow">
      <w:pPr>
        <w:spacing w:before="0" w:after="0" w:line="240" w:lineRule="auto"/>
      </w:pPr>
      <w:rPr>
        <w:b/>
        <w:bCs/>
        <w:color w:val="FFFFFF" w:themeColor="background1"/>
      </w:rPr>
      <w:tblPr/>
      <w:tcPr>
        <w:shd w:val="clear" w:color="auto" w:fill="9AC601" w:themeFill="accent6"/>
      </w:tcPr>
    </w:tblStylePr>
    <w:tblStylePr w:type="lastRow">
      <w:pPr>
        <w:spacing w:before="0" w:after="0" w:line="240" w:lineRule="auto"/>
      </w:pPr>
      <w:rPr>
        <w:b/>
        <w:bCs/>
      </w:rPr>
      <w:tblPr/>
      <w:tcPr>
        <w:tcBorders>
          <w:top w:val="double" w:sz="6" w:space="0" w:color="9AC601" w:themeColor="accent6"/>
          <w:left w:val="single" w:sz="8" w:space="0" w:color="9AC601" w:themeColor="accent6"/>
          <w:bottom w:val="single" w:sz="8" w:space="0" w:color="9AC601" w:themeColor="accent6"/>
          <w:right w:val="single" w:sz="8" w:space="0" w:color="9AC601" w:themeColor="accent6"/>
        </w:tcBorders>
      </w:tcPr>
    </w:tblStylePr>
    <w:tblStylePr w:type="firstCol">
      <w:rPr>
        <w:b/>
        <w:bCs/>
      </w:rPr>
    </w:tblStylePr>
    <w:tblStylePr w:type="lastCol">
      <w:rPr>
        <w:b/>
        <w:bCs/>
      </w:rPr>
    </w:tblStylePr>
    <w:tblStylePr w:type="band1Vert">
      <w:tblPr/>
      <w:tcPr>
        <w:tcBorders>
          <w:top w:val="single" w:sz="8" w:space="0" w:color="9AC601" w:themeColor="accent6"/>
          <w:left w:val="single" w:sz="8" w:space="0" w:color="9AC601" w:themeColor="accent6"/>
          <w:bottom w:val="single" w:sz="8" w:space="0" w:color="9AC601" w:themeColor="accent6"/>
          <w:right w:val="single" w:sz="8" w:space="0" w:color="9AC601" w:themeColor="accent6"/>
        </w:tcBorders>
      </w:tcPr>
    </w:tblStylePr>
    <w:tblStylePr w:type="band1Horz">
      <w:tblPr/>
      <w:tcPr>
        <w:tcBorders>
          <w:top w:val="single" w:sz="8" w:space="0" w:color="9AC601" w:themeColor="accent6"/>
          <w:left w:val="single" w:sz="8" w:space="0" w:color="9AC601" w:themeColor="accent6"/>
          <w:bottom w:val="single" w:sz="8" w:space="0" w:color="9AC601" w:themeColor="accent6"/>
          <w:right w:val="single" w:sz="8" w:space="0" w:color="9AC601" w:themeColor="accent6"/>
        </w:tcBorders>
      </w:tcPr>
    </w:tblStylePr>
  </w:style>
  <w:style w:type="table" w:styleId="LightShading">
    <w:name w:val="Light Shading"/>
    <w:basedOn w:val="TableNormal"/>
    <w:uiPriority w:val="60"/>
    <w:rsid w:val="00CC3878"/>
    <w:rPr>
      <w:color w:val="191919" w:themeColor="text1" w:themeShade="BF"/>
    </w:rPr>
    <w:tblPr>
      <w:tblStyleRowBandSize w:val="1"/>
      <w:tblStyleColBandSize w:val="1"/>
      <w:tblBorders>
        <w:top w:val="single" w:sz="8" w:space="0" w:color="222222" w:themeColor="text1"/>
        <w:bottom w:val="single" w:sz="8" w:space="0" w:color="222222" w:themeColor="text1"/>
      </w:tblBorders>
    </w:tblPr>
    <w:tblStylePr w:type="firstRow">
      <w:pPr>
        <w:spacing w:before="0" w:after="0" w:line="240" w:lineRule="auto"/>
      </w:pPr>
      <w:rPr>
        <w:b/>
        <w:bCs/>
      </w:rPr>
      <w:tblPr/>
      <w:tcPr>
        <w:tcBorders>
          <w:top w:val="single" w:sz="8" w:space="0" w:color="222222" w:themeColor="text1"/>
          <w:left w:val="nil"/>
          <w:bottom w:val="single" w:sz="8" w:space="0" w:color="222222" w:themeColor="text1"/>
          <w:right w:val="nil"/>
          <w:insideH w:val="nil"/>
          <w:insideV w:val="nil"/>
        </w:tcBorders>
      </w:tcPr>
    </w:tblStylePr>
    <w:tblStylePr w:type="lastRow">
      <w:pPr>
        <w:spacing w:before="0" w:after="0" w:line="240" w:lineRule="auto"/>
      </w:pPr>
      <w:rPr>
        <w:b/>
        <w:bCs/>
      </w:rPr>
      <w:tblPr/>
      <w:tcPr>
        <w:tcBorders>
          <w:top w:val="single" w:sz="8" w:space="0" w:color="222222" w:themeColor="text1"/>
          <w:left w:val="nil"/>
          <w:bottom w:val="single" w:sz="8" w:space="0" w:color="22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left w:val="nil"/>
          <w:right w:val="nil"/>
          <w:insideH w:val="nil"/>
          <w:insideV w:val="nil"/>
        </w:tcBorders>
        <w:shd w:val="clear" w:color="auto" w:fill="C8C8C8" w:themeFill="text1" w:themeFillTint="3F"/>
      </w:tcPr>
    </w:tblStylePr>
  </w:style>
  <w:style w:type="table" w:styleId="LightShading-Accent1">
    <w:name w:val="Light Shading Accent 1"/>
    <w:basedOn w:val="TableNormal"/>
    <w:uiPriority w:val="60"/>
    <w:rsid w:val="00CC3878"/>
    <w:rPr>
      <w:color w:val="104373" w:themeColor="accent1" w:themeShade="BF"/>
    </w:rPr>
    <w:tblPr>
      <w:tblStyleRowBandSize w:val="1"/>
      <w:tblStyleColBandSize w:val="1"/>
      <w:tblBorders>
        <w:top w:val="single" w:sz="8" w:space="0" w:color="165A9B" w:themeColor="accent1"/>
        <w:bottom w:val="single" w:sz="8" w:space="0" w:color="165A9B" w:themeColor="accent1"/>
      </w:tblBorders>
    </w:tblPr>
    <w:tblStylePr w:type="firstRow">
      <w:pPr>
        <w:spacing w:before="0" w:after="0" w:line="240" w:lineRule="auto"/>
      </w:pPr>
      <w:rPr>
        <w:b/>
        <w:bCs/>
      </w:rPr>
      <w:tblPr/>
      <w:tcPr>
        <w:tcBorders>
          <w:top w:val="single" w:sz="8" w:space="0" w:color="165A9B" w:themeColor="accent1"/>
          <w:left w:val="nil"/>
          <w:bottom w:val="single" w:sz="8" w:space="0" w:color="165A9B" w:themeColor="accent1"/>
          <w:right w:val="nil"/>
          <w:insideH w:val="nil"/>
          <w:insideV w:val="nil"/>
        </w:tcBorders>
      </w:tcPr>
    </w:tblStylePr>
    <w:tblStylePr w:type="lastRow">
      <w:pPr>
        <w:spacing w:before="0" w:after="0" w:line="240" w:lineRule="auto"/>
      </w:pPr>
      <w:rPr>
        <w:b/>
        <w:bCs/>
      </w:rPr>
      <w:tblPr/>
      <w:tcPr>
        <w:tcBorders>
          <w:top w:val="single" w:sz="8" w:space="0" w:color="165A9B" w:themeColor="accent1"/>
          <w:left w:val="nil"/>
          <w:bottom w:val="single" w:sz="8" w:space="0" w:color="165A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D6F4" w:themeFill="accent1" w:themeFillTint="3F"/>
      </w:tcPr>
    </w:tblStylePr>
    <w:tblStylePr w:type="band1Horz">
      <w:tblPr/>
      <w:tcPr>
        <w:tcBorders>
          <w:left w:val="nil"/>
          <w:right w:val="nil"/>
          <w:insideH w:val="nil"/>
          <w:insideV w:val="nil"/>
        </w:tcBorders>
        <w:shd w:val="clear" w:color="auto" w:fill="B6D6F4" w:themeFill="accent1" w:themeFillTint="3F"/>
      </w:tcPr>
    </w:tblStylePr>
  </w:style>
  <w:style w:type="table" w:styleId="LightShading-Accent2">
    <w:name w:val="Light Shading Accent 2"/>
    <w:basedOn w:val="TableNormal"/>
    <w:uiPriority w:val="60"/>
    <w:rsid w:val="00CC3878"/>
    <w:rPr>
      <w:color w:val="E5AB00" w:themeColor="accent2" w:themeShade="BF"/>
    </w:rPr>
    <w:tblPr>
      <w:tblStyleRowBandSize w:val="1"/>
      <w:tblStyleColBandSize w:val="1"/>
      <w:tblBorders>
        <w:top w:val="single" w:sz="8" w:space="0" w:color="FFCC33" w:themeColor="accent2"/>
        <w:bottom w:val="single" w:sz="8" w:space="0" w:color="FFCC33" w:themeColor="accent2"/>
      </w:tblBorders>
    </w:tblPr>
    <w:tblStylePr w:type="firstRow">
      <w:pPr>
        <w:spacing w:before="0" w:after="0" w:line="240" w:lineRule="auto"/>
      </w:pPr>
      <w:rPr>
        <w:b/>
        <w:bCs/>
      </w:rPr>
      <w:tblPr/>
      <w:tcPr>
        <w:tcBorders>
          <w:top w:val="single" w:sz="8" w:space="0" w:color="FFCC33" w:themeColor="accent2"/>
          <w:left w:val="nil"/>
          <w:bottom w:val="single" w:sz="8" w:space="0" w:color="FFCC33" w:themeColor="accent2"/>
          <w:right w:val="nil"/>
          <w:insideH w:val="nil"/>
          <w:insideV w:val="nil"/>
        </w:tcBorders>
      </w:tcPr>
    </w:tblStylePr>
    <w:tblStylePr w:type="lastRow">
      <w:pPr>
        <w:spacing w:before="0" w:after="0" w:line="240" w:lineRule="auto"/>
      </w:pPr>
      <w:rPr>
        <w:b/>
        <w:bCs/>
      </w:rPr>
      <w:tblPr/>
      <w:tcPr>
        <w:tcBorders>
          <w:top w:val="single" w:sz="8" w:space="0" w:color="FFCC33" w:themeColor="accent2"/>
          <w:left w:val="nil"/>
          <w:bottom w:val="single" w:sz="8" w:space="0" w:color="FFCC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2CC" w:themeFill="accent2" w:themeFillTint="3F"/>
      </w:tcPr>
    </w:tblStylePr>
    <w:tblStylePr w:type="band1Horz">
      <w:tblPr/>
      <w:tcPr>
        <w:tcBorders>
          <w:left w:val="nil"/>
          <w:right w:val="nil"/>
          <w:insideH w:val="nil"/>
          <w:insideV w:val="nil"/>
        </w:tcBorders>
        <w:shd w:val="clear" w:color="auto" w:fill="FFF2CC" w:themeFill="accent2" w:themeFillTint="3F"/>
      </w:tcPr>
    </w:tblStylePr>
  </w:style>
  <w:style w:type="table" w:styleId="LightShading-Accent3">
    <w:name w:val="Light Shading Accent 3"/>
    <w:basedOn w:val="TableNormal"/>
    <w:uiPriority w:val="60"/>
    <w:rsid w:val="00CC3878"/>
    <w:rPr>
      <w:color w:val="BF5D00" w:themeColor="accent3" w:themeShade="BF"/>
    </w:rPr>
    <w:tblPr>
      <w:tblStyleRowBandSize w:val="1"/>
      <w:tblStyleColBandSize w:val="1"/>
      <w:tblBorders>
        <w:top w:val="single" w:sz="8" w:space="0" w:color="FF7D00" w:themeColor="accent3"/>
        <w:bottom w:val="single" w:sz="8" w:space="0" w:color="FF7D00" w:themeColor="accent3"/>
      </w:tblBorders>
    </w:tblPr>
    <w:tblStylePr w:type="firstRow">
      <w:pPr>
        <w:spacing w:before="0" w:after="0" w:line="240" w:lineRule="auto"/>
      </w:pPr>
      <w:rPr>
        <w:b/>
        <w:bCs/>
      </w:rPr>
      <w:tblPr/>
      <w:tcPr>
        <w:tcBorders>
          <w:top w:val="single" w:sz="8" w:space="0" w:color="FF7D00" w:themeColor="accent3"/>
          <w:left w:val="nil"/>
          <w:bottom w:val="single" w:sz="8" w:space="0" w:color="FF7D00" w:themeColor="accent3"/>
          <w:right w:val="nil"/>
          <w:insideH w:val="nil"/>
          <w:insideV w:val="nil"/>
        </w:tcBorders>
      </w:tcPr>
    </w:tblStylePr>
    <w:tblStylePr w:type="lastRow">
      <w:pPr>
        <w:spacing w:before="0" w:after="0" w:line="240" w:lineRule="auto"/>
      </w:pPr>
      <w:rPr>
        <w:b/>
        <w:bCs/>
      </w:rPr>
      <w:tblPr/>
      <w:tcPr>
        <w:tcBorders>
          <w:top w:val="single" w:sz="8" w:space="0" w:color="FF7D00" w:themeColor="accent3"/>
          <w:left w:val="nil"/>
          <w:bottom w:val="single" w:sz="8" w:space="0" w:color="FF7D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C0" w:themeFill="accent3" w:themeFillTint="3F"/>
      </w:tcPr>
    </w:tblStylePr>
    <w:tblStylePr w:type="band1Horz">
      <w:tblPr/>
      <w:tcPr>
        <w:tcBorders>
          <w:left w:val="nil"/>
          <w:right w:val="nil"/>
          <w:insideH w:val="nil"/>
          <w:insideV w:val="nil"/>
        </w:tcBorders>
        <w:shd w:val="clear" w:color="auto" w:fill="FFDEC0" w:themeFill="accent3" w:themeFillTint="3F"/>
      </w:tcPr>
    </w:tblStylePr>
  </w:style>
  <w:style w:type="table" w:styleId="LightShading-Accent4">
    <w:name w:val="Light Shading Accent 4"/>
    <w:basedOn w:val="TableNormal"/>
    <w:uiPriority w:val="60"/>
    <w:rsid w:val="00CC3878"/>
    <w:rPr>
      <w:color w:val="A09E9E" w:themeColor="accent4" w:themeShade="BF"/>
    </w:rPr>
    <w:tblPr>
      <w:tblStyleRowBandSize w:val="1"/>
      <w:tblStyleColBandSize w:val="1"/>
      <w:tblBorders>
        <w:top w:val="single" w:sz="8" w:space="0" w:color="D5D4D4" w:themeColor="accent4"/>
        <w:bottom w:val="single" w:sz="8" w:space="0" w:color="D5D4D4" w:themeColor="accent4"/>
      </w:tblBorders>
    </w:tblPr>
    <w:tblStylePr w:type="firstRow">
      <w:pPr>
        <w:spacing w:before="0" w:after="0" w:line="240" w:lineRule="auto"/>
      </w:pPr>
      <w:rPr>
        <w:b/>
        <w:bCs/>
      </w:rPr>
      <w:tblPr/>
      <w:tcPr>
        <w:tcBorders>
          <w:top w:val="single" w:sz="8" w:space="0" w:color="D5D4D4" w:themeColor="accent4"/>
          <w:left w:val="nil"/>
          <w:bottom w:val="single" w:sz="8" w:space="0" w:color="D5D4D4" w:themeColor="accent4"/>
          <w:right w:val="nil"/>
          <w:insideH w:val="nil"/>
          <w:insideV w:val="nil"/>
        </w:tcBorders>
      </w:tcPr>
    </w:tblStylePr>
    <w:tblStylePr w:type="lastRow">
      <w:pPr>
        <w:spacing w:before="0" w:after="0" w:line="240" w:lineRule="auto"/>
      </w:pPr>
      <w:rPr>
        <w:b/>
        <w:bCs/>
      </w:rPr>
      <w:tblPr/>
      <w:tcPr>
        <w:tcBorders>
          <w:top w:val="single" w:sz="8" w:space="0" w:color="D5D4D4" w:themeColor="accent4"/>
          <w:left w:val="nil"/>
          <w:bottom w:val="single" w:sz="8" w:space="0" w:color="D5D4D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4" w:themeFill="accent4" w:themeFillTint="3F"/>
      </w:tcPr>
    </w:tblStylePr>
    <w:tblStylePr w:type="band1Horz">
      <w:tblPr/>
      <w:tcPr>
        <w:tcBorders>
          <w:left w:val="nil"/>
          <w:right w:val="nil"/>
          <w:insideH w:val="nil"/>
          <w:insideV w:val="nil"/>
        </w:tcBorders>
        <w:shd w:val="clear" w:color="auto" w:fill="F4F4F4" w:themeFill="accent4" w:themeFillTint="3F"/>
      </w:tcPr>
    </w:tblStylePr>
  </w:style>
  <w:style w:type="table" w:styleId="LightShading-Accent5">
    <w:name w:val="Light Shading Accent 5"/>
    <w:basedOn w:val="TableNormal"/>
    <w:uiPriority w:val="60"/>
    <w:rsid w:val="00CC3878"/>
    <w:rPr>
      <w:color w:val="0089B8" w:themeColor="accent5" w:themeShade="BF"/>
    </w:rPr>
    <w:tblPr>
      <w:tblStyleRowBandSize w:val="1"/>
      <w:tblStyleColBandSize w:val="1"/>
      <w:tblBorders>
        <w:top w:val="single" w:sz="8" w:space="0" w:color="00B9F6" w:themeColor="accent5"/>
        <w:bottom w:val="single" w:sz="8" w:space="0" w:color="00B9F6" w:themeColor="accent5"/>
      </w:tblBorders>
    </w:tblPr>
    <w:tblStylePr w:type="firstRow">
      <w:pPr>
        <w:spacing w:before="0" w:after="0" w:line="240" w:lineRule="auto"/>
      </w:pPr>
      <w:rPr>
        <w:b/>
        <w:bCs/>
      </w:rPr>
      <w:tblPr/>
      <w:tcPr>
        <w:tcBorders>
          <w:top w:val="single" w:sz="8" w:space="0" w:color="00B9F6" w:themeColor="accent5"/>
          <w:left w:val="nil"/>
          <w:bottom w:val="single" w:sz="8" w:space="0" w:color="00B9F6" w:themeColor="accent5"/>
          <w:right w:val="nil"/>
          <w:insideH w:val="nil"/>
          <w:insideV w:val="nil"/>
        </w:tcBorders>
      </w:tcPr>
    </w:tblStylePr>
    <w:tblStylePr w:type="lastRow">
      <w:pPr>
        <w:spacing w:before="0" w:after="0" w:line="240" w:lineRule="auto"/>
      </w:pPr>
      <w:rPr>
        <w:b/>
        <w:bCs/>
      </w:rPr>
      <w:tblPr/>
      <w:tcPr>
        <w:tcBorders>
          <w:top w:val="single" w:sz="8" w:space="0" w:color="00B9F6" w:themeColor="accent5"/>
          <w:left w:val="nil"/>
          <w:bottom w:val="single" w:sz="8" w:space="0" w:color="00B9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EFF" w:themeFill="accent5" w:themeFillTint="3F"/>
      </w:tcPr>
    </w:tblStylePr>
    <w:tblStylePr w:type="band1Horz">
      <w:tblPr/>
      <w:tcPr>
        <w:tcBorders>
          <w:left w:val="nil"/>
          <w:right w:val="nil"/>
          <w:insideH w:val="nil"/>
          <w:insideV w:val="nil"/>
        </w:tcBorders>
        <w:shd w:val="clear" w:color="auto" w:fill="BDEEFF" w:themeFill="accent5" w:themeFillTint="3F"/>
      </w:tcPr>
    </w:tblStylePr>
  </w:style>
  <w:style w:type="table" w:styleId="LightShading-Accent6">
    <w:name w:val="Light Shading Accent 6"/>
    <w:basedOn w:val="TableNormal"/>
    <w:uiPriority w:val="60"/>
    <w:rsid w:val="00CC3878"/>
    <w:rPr>
      <w:color w:val="739400" w:themeColor="accent6" w:themeShade="BF"/>
    </w:rPr>
    <w:tblPr>
      <w:tblStyleRowBandSize w:val="1"/>
      <w:tblStyleColBandSize w:val="1"/>
      <w:tblBorders>
        <w:top w:val="single" w:sz="8" w:space="0" w:color="9AC601" w:themeColor="accent6"/>
        <w:bottom w:val="single" w:sz="8" w:space="0" w:color="9AC601" w:themeColor="accent6"/>
      </w:tblBorders>
    </w:tblPr>
    <w:tblStylePr w:type="firstRow">
      <w:pPr>
        <w:spacing w:before="0" w:after="0" w:line="240" w:lineRule="auto"/>
      </w:pPr>
      <w:rPr>
        <w:b/>
        <w:bCs/>
      </w:rPr>
      <w:tblPr/>
      <w:tcPr>
        <w:tcBorders>
          <w:top w:val="single" w:sz="8" w:space="0" w:color="9AC601" w:themeColor="accent6"/>
          <w:left w:val="nil"/>
          <w:bottom w:val="single" w:sz="8" w:space="0" w:color="9AC601" w:themeColor="accent6"/>
          <w:right w:val="nil"/>
          <w:insideH w:val="nil"/>
          <w:insideV w:val="nil"/>
        </w:tcBorders>
      </w:tcPr>
    </w:tblStylePr>
    <w:tblStylePr w:type="lastRow">
      <w:pPr>
        <w:spacing w:before="0" w:after="0" w:line="240" w:lineRule="auto"/>
      </w:pPr>
      <w:rPr>
        <w:b/>
        <w:bCs/>
      </w:rPr>
      <w:tblPr/>
      <w:tcPr>
        <w:tcBorders>
          <w:top w:val="single" w:sz="8" w:space="0" w:color="9AC601" w:themeColor="accent6"/>
          <w:left w:val="nil"/>
          <w:bottom w:val="single" w:sz="8" w:space="0" w:color="9AC60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EB2" w:themeFill="accent6" w:themeFillTint="3F"/>
      </w:tcPr>
    </w:tblStylePr>
    <w:tblStylePr w:type="band1Horz">
      <w:tblPr/>
      <w:tcPr>
        <w:tcBorders>
          <w:left w:val="nil"/>
          <w:right w:val="nil"/>
          <w:insideH w:val="nil"/>
          <w:insideV w:val="nil"/>
        </w:tcBorders>
        <w:shd w:val="clear" w:color="auto" w:fill="EDFEB2" w:themeFill="accent6" w:themeFillTint="3F"/>
      </w:tcPr>
    </w:tblStylePr>
  </w:style>
  <w:style w:type="table" w:styleId="LightGrid">
    <w:name w:val="Light Grid"/>
    <w:basedOn w:val="TableNormal"/>
    <w:uiPriority w:val="62"/>
    <w:rsid w:val="00CC3878"/>
    <w:tblPr>
      <w:tblStyleRowBandSize w:val="1"/>
      <w:tblStyleColBandSize w:val="1"/>
      <w:tblBorders>
        <w:top w:val="single" w:sz="8" w:space="0" w:color="222222" w:themeColor="text1"/>
        <w:left w:val="single" w:sz="8" w:space="0" w:color="222222" w:themeColor="text1"/>
        <w:bottom w:val="single" w:sz="8" w:space="0" w:color="222222" w:themeColor="text1"/>
        <w:right w:val="single" w:sz="8" w:space="0" w:color="222222" w:themeColor="text1"/>
        <w:insideH w:val="single" w:sz="8" w:space="0" w:color="222222" w:themeColor="text1"/>
        <w:insideV w:val="single" w:sz="8" w:space="0" w:color="22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2222" w:themeColor="text1"/>
          <w:left w:val="single" w:sz="8" w:space="0" w:color="222222" w:themeColor="text1"/>
          <w:bottom w:val="single" w:sz="18" w:space="0" w:color="222222" w:themeColor="text1"/>
          <w:right w:val="single" w:sz="8" w:space="0" w:color="222222" w:themeColor="text1"/>
          <w:insideH w:val="nil"/>
          <w:insideV w:val="single" w:sz="8" w:space="0" w:color="22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2222" w:themeColor="text1"/>
          <w:left w:val="single" w:sz="8" w:space="0" w:color="222222" w:themeColor="text1"/>
          <w:bottom w:val="single" w:sz="8" w:space="0" w:color="222222" w:themeColor="text1"/>
          <w:right w:val="single" w:sz="8" w:space="0" w:color="222222" w:themeColor="text1"/>
          <w:insideH w:val="nil"/>
          <w:insideV w:val="single" w:sz="8" w:space="0" w:color="22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2222" w:themeColor="text1"/>
          <w:left w:val="single" w:sz="8" w:space="0" w:color="222222" w:themeColor="text1"/>
          <w:bottom w:val="single" w:sz="8" w:space="0" w:color="222222" w:themeColor="text1"/>
          <w:right w:val="single" w:sz="8" w:space="0" w:color="222222" w:themeColor="text1"/>
        </w:tcBorders>
      </w:tcPr>
    </w:tblStylePr>
    <w:tblStylePr w:type="band1Vert">
      <w:tblPr/>
      <w:tcPr>
        <w:tcBorders>
          <w:top w:val="single" w:sz="8" w:space="0" w:color="222222" w:themeColor="text1"/>
          <w:left w:val="single" w:sz="8" w:space="0" w:color="222222" w:themeColor="text1"/>
          <w:bottom w:val="single" w:sz="8" w:space="0" w:color="222222" w:themeColor="text1"/>
          <w:right w:val="single" w:sz="8" w:space="0" w:color="222222" w:themeColor="text1"/>
        </w:tcBorders>
        <w:shd w:val="clear" w:color="auto" w:fill="C8C8C8" w:themeFill="text1" w:themeFillTint="3F"/>
      </w:tcPr>
    </w:tblStylePr>
    <w:tblStylePr w:type="band1Horz">
      <w:tblPr/>
      <w:tcPr>
        <w:tcBorders>
          <w:top w:val="single" w:sz="8" w:space="0" w:color="222222" w:themeColor="text1"/>
          <w:left w:val="single" w:sz="8" w:space="0" w:color="222222" w:themeColor="text1"/>
          <w:bottom w:val="single" w:sz="8" w:space="0" w:color="222222" w:themeColor="text1"/>
          <w:right w:val="single" w:sz="8" w:space="0" w:color="222222" w:themeColor="text1"/>
          <w:insideV w:val="single" w:sz="8" w:space="0" w:color="222222" w:themeColor="text1"/>
        </w:tcBorders>
        <w:shd w:val="clear" w:color="auto" w:fill="C8C8C8" w:themeFill="text1" w:themeFillTint="3F"/>
      </w:tcPr>
    </w:tblStylePr>
    <w:tblStylePr w:type="band2Horz">
      <w:tblPr/>
      <w:tcPr>
        <w:tcBorders>
          <w:top w:val="single" w:sz="8" w:space="0" w:color="222222" w:themeColor="text1"/>
          <w:left w:val="single" w:sz="8" w:space="0" w:color="222222" w:themeColor="text1"/>
          <w:bottom w:val="single" w:sz="8" w:space="0" w:color="222222" w:themeColor="text1"/>
          <w:right w:val="single" w:sz="8" w:space="0" w:color="222222" w:themeColor="text1"/>
          <w:insideV w:val="single" w:sz="8" w:space="0" w:color="222222" w:themeColor="text1"/>
        </w:tcBorders>
      </w:tcPr>
    </w:tblStylePr>
  </w:style>
  <w:style w:type="table" w:styleId="LightGrid-Accent1">
    <w:name w:val="Light Grid Accent 1"/>
    <w:basedOn w:val="TableNormal"/>
    <w:uiPriority w:val="62"/>
    <w:rsid w:val="00CC3878"/>
    <w:tblPr>
      <w:tblStyleRowBandSize w:val="1"/>
      <w:tblStyleColBandSize w:val="1"/>
      <w:tblBorders>
        <w:top w:val="single" w:sz="8" w:space="0" w:color="165A9B" w:themeColor="accent1"/>
        <w:left w:val="single" w:sz="8" w:space="0" w:color="165A9B" w:themeColor="accent1"/>
        <w:bottom w:val="single" w:sz="8" w:space="0" w:color="165A9B" w:themeColor="accent1"/>
        <w:right w:val="single" w:sz="8" w:space="0" w:color="165A9B" w:themeColor="accent1"/>
        <w:insideH w:val="single" w:sz="8" w:space="0" w:color="165A9B" w:themeColor="accent1"/>
        <w:insideV w:val="single" w:sz="8" w:space="0" w:color="165A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5A9B" w:themeColor="accent1"/>
          <w:left w:val="single" w:sz="8" w:space="0" w:color="165A9B" w:themeColor="accent1"/>
          <w:bottom w:val="single" w:sz="18" w:space="0" w:color="165A9B" w:themeColor="accent1"/>
          <w:right w:val="single" w:sz="8" w:space="0" w:color="165A9B" w:themeColor="accent1"/>
          <w:insideH w:val="nil"/>
          <w:insideV w:val="single" w:sz="8" w:space="0" w:color="165A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5A9B" w:themeColor="accent1"/>
          <w:left w:val="single" w:sz="8" w:space="0" w:color="165A9B" w:themeColor="accent1"/>
          <w:bottom w:val="single" w:sz="8" w:space="0" w:color="165A9B" w:themeColor="accent1"/>
          <w:right w:val="single" w:sz="8" w:space="0" w:color="165A9B" w:themeColor="accent1"/>
          <w:insideH w:val="nil"/>
          <w:insideV w:val="single" w:sz="8" w:space="0" w:color="165A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5A9B" w:themeColor="accent1"/>
          <w:left w:val="single" w:sz="8" w:space="0" w:color="165A9B" w:themeColor="accent1"/>
          <w:bottom w:val="single" w:sz="8" w:space="0" w:color="165A9B" w:themeColor="accent1"/>
          <w:right w:val="single" w:sz="8" w:space="0" w:color="165A9B" w:themeColor="accent1"/>
        </w:tcBorders>
      </w:tcPr>
    </w:tblStylePr>
    <w:tblStylePr w:type="band1Vert">
      <w:tblPr/>
      <w:tcPr>
        <w:tcBorders>
          <w:top w:val="single" w:sz="8" w:space="0" w:color="165A9B" w:themeColor="accent1"/>
          <w:left w:val="single" w:sz="8" w:space="0" w:color="165A9B" w:themeColor="accent1"/>
          <w:bottom w:val="single" w:sz="8" w:space="0" w:color="165A9B" w:themeColor="accent1"/>
          <w:right w:val="single" w:sz="8" w:space="0" w:color="165A9B" w:themeColor="accent1"/>
        </w:tcBorders>
        <w:shd w:val="clear" w:color="auto" w:fill="B6D6F4" w:themeFill="accent1" w:themeFillTint="3F"/>
      </w:tcPr>
    </w:tblStylePr>
    <w:tblStylePr w:type="band1Horz">
      <w:tblPr/>
      <w:tcPr>
        <w:tcBorders>
          <w:top w:val="single" w:sz="8" w:space="0" w:color="165A9B" w:themeColor="accent1"/>
          <w:left w:val="single" w:sz="8" w:space="0" w:color="165A9B" w:themeColor="accent1"/>
          <w:bottom w:val="single" w:sz="8" w:space="0" w:color="165A9B" w:themeColor="accent1"/>
          <w:right w:val="single" w:sz="8" w:space="0" w:color="165A9B" w:themeColor="accent1"/>
          <w:insideV w:val="single" w:sz="8" w:space="0" w:color="165A9B" w:themeColor="accent1"/>
        </w:tcBorders>
        <w:shd w:val="clear" w:color="auto" w:fill="B6D6F4" w:themeFill="accent1" w:themeFillTint="3F"/>
      </w:tcPr>
    </w:tblStylePr>
    <w:tblStylePr w:type="band2Horz">
      <w:tblPr/>
      <w:tcPr>
        <w:tcBorders>
          <w:top w:val="single" w:sz="8" w:space="0" w:color="165A9B" w:themeColor="accent1"/>
          <w:left w:val="single" w:sz="8" w:space="0" w:color="165A9B" w:themeColor="accent1"/>
          <w:bottom w:val="single" w:sz="8" w:space="0" w:color="165A9B" w:themeColor="accent1"/>
          <w:right w:val="single" w:sz="8" w:space="0" w:color="165A9B" w:themeColor="accent1"/>
          <w:insideV w:val="single" w:sz="8" w:space="0" w:color="165A9B" w:themeColor="accent1"/>
        </w:tcBorders>
      </w:tcPr>
    </w:tblStylePr>
  </w:style>
  <w:style w:type="table" w:styleId="LightGrid-Accent2">
    <w:name w:val="Light Grid Accent 2"/>
    <w:basedOn w:val="TableNormal"/>
    <w:uiPriority w:val="62"/>
    <w:rsid w:val="00CC3878"/>
    <w:tblPr>
      <w:tblStyleRowBandSize w:val="1"/>
      <w:tblStyleColBandSize w:val="1"/>
      <w:tblBorders>
        <w:top w:val="single" w:sz="8" w:space="0" w:color="FFCC33" w:themeColor="accent2"/>
        <w:left w:val="single" w:sz="8" w:space="0" w:color="FFCC33" w:themeColor="accent2"/>
        <w:bottom w:val="single" w:sz="8" w:space="0" w:color="FFCC33" w:themeColor="accent2"/>
        <w:right w:val="single" w:sz="8" w:space="0" w:color="FFCC33" w:themeColor="accent2"/>
        <w:insideH w:val="single" w:sz="8" w:space="0" w:color="FFCC33" w:themeColor="accent2"/>
        <w:insideV w:val="single" w:sz="8" w:space="0" w:color="FFCC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C33" w:themeColor="accent2"/>
          <w:left w:val="single" w:sz="8" w:space="0" w:color="FFCC33" w:themeColor="accent2"/>
          <w:bottom w:val="single" w:sz="18" w:space="0" w:color="FFCC33" w:themeColor="accent2"/>
          <w:right w:val="single" w:sz="8" w:space="0" w:color="FFCC33" w:themeColor="accent2"/>
          <w:insideH w:val="nil"/>
          <w:insideV w:val="single" w:sz="8" w:space="0" w:color="FFCC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C33" w:themeColor="accent2"/>
          <w:left w:val="single" w:sz="8" w:space="0" w:color="FFCC33" w:themeColor="accent2"/>
          <w:bottom w:val="single" w:sz="8" w:space="0" w:color="FFCC33" w:themeColor="accent2"/>
          <w:right w:val="single" w:sz="8" w:space="0" w:color="FFCC33" w:themeColor="accent2"/>
          <w:insideH w:val="nil"/>
          <w:insideV w:val="single" w:sz="8" w:space="0" w:color="FFCC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C33" w:themeColor="accent2"/>
          <w:left w:val="single" w:sz="8" w:space="0" w:color="FFCC33" w:themeColor="accent2"/>
          <w:bottom w:val="single" w:sz="8" w:space="0" w:color="FFCC33" w:themeColor="accent2"/>
          <w:right w:val="single" w:sz="8" w:space="0" w:color="FFCC33" w:themeColor="accent2"/>
        </w:tcBorders>
      </w:tcPr>
    </w:tblStylePr>
    <w:tblStylePr w:type="band1Vert">
      <w:tblPr/>
      <w:tcPr>
        <w:tcBorders>
          <w:top w:val="single" w:sz="8" w:space="0" w:color="FFCC33" w:themeColor="accent2"/>
          <w:left w:val="single" w:sz="8" w:space="0" w:color="FFCC33" w:themeColor="accent2"/>
          <w:bottom w:val="single" w:sz="8" w:space="0" w:color="FFCC33" w:themeColor="accent2"/>
          <w:right w:val="single" w:sz="8" w:space="0" w:color="FFCC33" w:themeColor="accent2"/>
        </w:tcBorders>
        <w:shd w:val="clear" w:color="auto" w:fill="FFF2CC" w:themeFill="accent2" w:themeFillTint="3F"/>
      </w:tcPr>
    </w:tblStylePr>
    <w:tblStylePr w:type="band1Horz">
      <w:tblPr/>
      <w:tcPr>
        <w:tcBorders>
          <w:top w:val="single" w:sz="8" w:space="0" w:color="FFCC33" w:themeColor="accent2"/>
          <w:left w:val="single" w:sz="8" w:space="0" w:color="FFCC33" w:themeColor="accent2"/>
          <w:bottom w:val="single" w:sz="8" w:space="0" w:color="FFCC33" w:themeColor="accent2"/>
          <w:right w:val="single" w:sz="8" w:space="0" w:color="FFCC33" w:themeColor="accent2"/>
          <w:insideV w:val="single" w:sz="8" w:space="0" w:color="FFCC33" w:themeColor="accent2"/>
        </w:tcBorders>
        <w:shd w:val="clear" w:color="auto" w:fill="FFF2CC" w:themeFill="accent2" w:themeFillTint="3F"/>
      </w:tcPr>
    </w:tblStylePr>
    <w:tblStylePr w:type="band2Horz">
      <w:tblPr/>
      <w:tcPr>
        <w:tcBorders>
          <w:top w:val="single" w:sz="8" w:space="0" w:color="FFCC33" w:themeColor="accent2"/>
          <w:left w:val="single" w:sz="8" w:space="0" w:color="FFCC33" w:themeColor="accent2"/>
          <w:bottom w:val="single" w:sz="8" w:space="0" w:color="FFCC33" w:themeColor="accent2"/>
          <w:right w:val="single" w:sz="8" w:space="0" w:color="FFCC33" w:themeColor="accent2"/>
          <w:insideV w:val="single" w:sz="8" w:space="0" w:color="FFCC33" w:themeColor="accent2"/>
        </w:tcBorders>
      </w:tcPr>
    </w:tblStylePr>
  </w:style>
  <w:style w:type="table" w:styleId="LightGrid-Accent3">
    <w:name w:val="Light Grid Accent 3"/>
    <w:basedOn w:val="TableNormal"/>
    <w:uiPriority w:val="62"/>
    <w:rsid w:val="00CC3878"/>
    <w:tblPr>
      <w:tblStyleRowBandSize w:val="1"/>
      <w:tblStyleColBandSize w:val="1"/>
      <w:tblBorders>
        <w:top w:val="single" w:sz="8" w:space="0" w:color="FF7D00" w:themeColor="accent3"/>
        <w:left w:val="single" w:sz="8" w:space="0" w:color="FF7D00" w:themeColor="accent3"/>
        <w:bottom w:val="single" w:sz="8" w:space="0" w:color="FF7D00" w:themeColor="accent3"/>
        <w:right w:val="single" w:sz="8" w:space="0" w:color="FF7D00" w:themeColor="accent3"/>
        <w:insideH w:val="single" w:sz="8" w:space="0" w:color="FF7D00" w:themeColor="accent3"/>
        <w:insideV w:val="single" w:sz="8" w:space="0" w:color="FF7D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D00" w:themeColor="accent3"/>
          <w:left w:val="single" w:sz="8" w:space="0" w:color="FF7D00" w:themeColor="accent3"/>
          <w:bottom w:val="single" w:sz="18" w:space="0" w:color="FF7D00" w:themeColor="accent3"/>
          <w:right w:val="single" w:sz="8" w:space="0" w:color="FF7D00" w:themeColor="accent3"/>
          <w:insideH w:val="nil"/>
          <w:insideV w:val="single" w:sz="8" w:space="0" w:color="FF7D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D00" w:themeColor="accent3"/>
          <w:left w:val="single" w:sz="8" w:space="0" w:color="FF7D00" w:themeColor="accent3"/>
          <w:bottom w:val="single" w:sz="8" w:space="0" w:color="FF7D00" w:themeColor="accent3"/>
          <w:right w:val="single" w:sz="8" w:space="0" w:color="FF7D00" w:themeColor="accent3"/>
          <w:insideH w:val="nil"/>
          <w:insideV w:val="single" w:sz="8" w:space="0" w:color="FF7D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D00" w:themeColor="accent3"/>
          <w:left w:val="single" w:sz="8" w:space="0" w:color="FF7D00" w:themeColor="accent3"/>
          <w:bottom w:val="single" w:sz="8" w:space="0" w:color="FF7D00" w:themeColor="accent3"/>
          <w:right w:val="single" w:sz="8" w:space="0" w:color="FF7D00" w:themeColor="accent3"/>
        </w:tcBorders>
      </w:tcPr>
    </w:tblStylePr>
    <w:tblStylePr w:type="band1Vert">
      <w:tblPr/>
      <w:tcPr>
        <w:tcBorders>
          <w:top w:val="single" w:sz="8" w:space="0" w:color="FF7D00" w:themeColor="accent3"/>
          <w:left w:val="single" w:sz="8" w:space="0" w:color="FF7D00" w:themeColor="accent3"/>
          <w:bottom w:val="single" w:sz="8" w:space="0" w:color="FF7D00" w:themeColor="accent3"/>
          <w:right w:val="single" w:sz="8" w:space="0" w:color="FF7D00" w:themeColor="accent3"/>
        </w:tcBorders>
        <w:shd w:val="clear" w:color="auto" w:fill="FFDEC0" w:themeFill="accent3" w:themeFillTint="3F"/>
      </w:tcPr>
    </w:tblStylePr>
    <w:tblStylePr w:type="band1Horz">
      <w:tblPr/>
      <w:tcPr>
        <w:tcBorders>
          <w:top w:val="single" w:sz="8" w:space="0" w:color="FF7D00" w:themeColor="accent3"/>
          <w:left w:val="single" w:sz="8" w:space="0" w:color="FF7D00" w:themeColor="accent3"/>
          <w:bottom w:val="single" w:sz="8" w:space="0" w:color="FF7D00" w:themeColor="accent3"/>
          <w:right w:val="single" w:sz="8" w:space="0" w:color="FF7D00" w:themeColor="accent3"/>
          <w:insideV w:val="single" w:sz="8" w:space="0" w:color="FF7D00" w:themeColor="accent3"/>
        </w:tcBorders>
        <w:shd w:val="clear" w:color="auto" w:fill="FFDEC0" w:themeFill="accent3" w:themeFillTint="3F"/>
      </w:tcPr>
    </w:tblStylePr>
    <w:tblStylePr w:type="band2Horz">
      <w:tblPr/>
      <w:tcPr>
        <w:tcBorders>
          <w:top w:val="single" w:sz="8" w:space="0" w:color="FF7D00" w:themeColor="accent3"/>
          <w:left w:val="single" w:sz="8" w:space="0" w:color="FF7D00" w:themeColor="accent3"/>
          <w:bottom w:val="single" w:sz="8" w:space="0" w:color="FF7D00" w:themeColor="accent3"/>
          <w:right w:val="single" w:sz="8" w:space="0" w:color="FF7D00" w:themeColor="accent3"/>
          <w:insideV w:val="single" w:sz="8" w:space="0" w:color="FF7D00" w:themeColor="accent3"/>
        </w:tcBorders>
      </w:tcPr>
    </w:tblStylePr>
  </w:style>
  <w:style w:type="table" w:styleId="LightGrid-Accent4">
    <w:name w:val="Light Grid Accent 4"/>
    <w:basedOn w:val="TableNormal"/>
    <w:uiPriority w:val="62"/>
    <w:rsid w:val="00CC3878"/>
    <w:tblPr>
      <w:tblStyleRowBandSize w:val="1"/>
      <w:tblStyleColBandSize w:val="1"/>
      <w:tblBorders>
        <w:top w:val="single" w:sz="8" w:space="0" w:color="D5D4D4" w:themeColor="accent4"/>
        <w:left w:val="single" w:sz="8" w:space="0" w:color="D5D4D4" w:themeColor="accent4"/>
        <w:bottom w:val="single" w:sz="8" w:space="0" w:color="D5D4D4" w:themeColor="accent4"/>
        <w:right w:val="single" w:sz="8" w:space="0" w:color="D5D4D4" w:themeColor="accent4"/>
        <w:insideH w:val="single" w:sz="8" w:space="0" w:color="D5D4D4" w:themeColor="accent4"/>
        <w:insideV w:val="single" w:sz="8" w:space="0" w:color="D5D4D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D4D4" w:themeColor="accent4"/>
          <w:left w:val="single" w:sz="8" w:space="0" w:color="D5D4D4" w:themeColor="accent4"/>
          <w:bottom w:val="single" w:sz="18" w:space="0" w:color="D5D4D4" w:themeColor="accent4"/>
          <w:right w:val="single" w:sz="8" w:space="0" w:color="D5D4D4" w:themeColor="accent4"/>
          <w:insideH w:val="nil"/>
          <w:insideV w:val="single" w:sz="8" w:space="0" w:color="D5D4D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D4D4" w:themeColor="accent4"/>
          <w:left w:val="single" w:sz="8" w:space="0" w:color="D5D4D4" w:themeColor="accent4"/>
          <w:bottom w:val="single" w:sz="8" w:space="0" w:color="D5D4D4" w:themeColor="accent4"/>
          <w:right w:val="single" w:sz="8" w:space="0" w:color="D5D4D4" w:themeColor="accent4"/>
          <w:insideH w:val="nil"/>
          <w:insideV w:val="single" w:sz="8" w:space="0" w:color="D5D4D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D4D4" w:themeColor="accent4"/>
          <w:left w:val="single" w:sz="8" w:space="0" w:color="D5D4D4" w:themeColor="accent4"/>
          <w:bottom w:val="single" w:sz="8" w:space="0" w:color="D5D4D4" w:themeColor="accent4"/>
          <w:right w:val="single" w:sz="8" w:space="0" w:color="D5D4D4" w:themeColor="accent4"/>
        </w:tcBorders>
      </w:tcPr>
    </w:tblStylePr>
    <w:tblStylePr w:type="band1Vert">
      <w:tblPr/>
      <w:tcPr>
        <w:tcBorders>
          <w:top w:val="single" w:sz="8" w:space="0" w:color="D5D4D4" w:themeColor="accent4"/>
          <w:left w:val="single" w:sz="8" w:space="0" w:color="D5D4D4" w:themeColor="accent4"/>
          <w:bottom w:val="single" w:sz="8" w:space="0" w:color="D5D4D4" w:themeColor="accent4"/>
          <w:right w:val="single" w:sz="8" w:space="0" w:color="D5D4D4" w:themeColor="accent4"/>
        </w:tcBorders>
        <w:shd w:val="clear" w:color="auto" w:fill="F4F4F4" w:themeFill="accent4" w:themeFillTint="3F"/>
      </w:tcPr>
    </w:tblStylePr>
    <w:tblStylePr w:type="band1Horz">
      <w:tblPr/>
      <w:tcPr>
        <w:tcBorders>
          <w:top w:val="single" w:sz="8" w:space="0" w:color="D5D4D4" w:themeColor="accent4"/>
          <w:left w:val="single" w:sz="8" w:space="0" w:color="D5D4D4" w:themeColor="accent4"/>
          <w:bottom w:val="single" w:sz="8" w:space="0" w:color="D5D4D4" w:themeColor="accent4"/>
          <w:right w:val="single" w:sz="8" w:space="0" w:color="D5D4D4" w:themeColor="accent4"/>
          <w:insideV w:val="single" w:sz="8" w:space="0" w:color="D5D4D4" w:themeColor="accent4"/>
        </w:tcBorders>
        <w:shd w:val="clear" w:color="auto" w:fill="F4F4F4" w:themeFill="accent4" w:themeFillTint="3F"/>
      </w:tcPr>
    </w:tblStylePr>
    <w:tblStylePr w:type="band2Horz">
      <w:tblPr/>
      <w:tcPr>
        <w:tcBorders>
          <w:top w:val="single" w:sz="8" w:space="0" w:color="D5D4D4" w:themeColor="accent4"/>
          <w:left w:val="single" w:sz="8" w:space="0" w:color="D5D4D4" w:themeColor="accent4"/>
          <w:bottom w:val="single" w:sz="8" w:space="0" w:color="D5D4D4" w:themeColor="accent4"/>
          <w:right w:val="single" w:sz="8" w:space="0" w:color="D5D4D4" w:themeColor="accent4"/>
          <w:insideV w:val="single" w:sz="8" w:space="0" w:color="D5D4D4" w:themeColor="accent4"/>
        </w:tcBorders>
      </w:tcPr>
    </w:tblStylePr>
  </w:style>
  <w:style w:type="table" w:styleId="LightGrid-Accent5">
    <w:name w:val="Light Grid Accent 5"/>
    <w:basedOn w:val="TableNormal"/>
    <w:uiPriority w:val="62"/>
    <w:rsid w:val="00CC3878"/>
    <w:tblPr>
      <w:tblStyleRowBandSize w:val="1"/>
      <w:tblStyleColBandSize w:val="1"/>
      <w:tblBorders>
        <w:top w:val="single" w:sz="8" w:space="0" w:color="00B9F6" w:themeColor="accent5"/>
        <w:left w:val="single" w:sz="8" w:space="0" w:color="00B9F6" w:themeColor="accent5"/>
        <w:bottom w:val="single" w:sz="8" w:space="0" w:color="00B9F6" w:themeColor="accent5"/>
        <w:right w:val="single" w:sz="8" w:space="0" w:color="00B9F6" w:themeColor="accent5"/>
        <w:insideH w:val="single" w:sz="8" w:space="0" w:color="00B9F6" w:themeColor="accent5"/>
        <w:insideV w:val="single" w:sz="8" w:space="0" w:color="00B9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9F6" w:themeColor="accent5"/>
          <w:left w:val="single" w:sz="8" w:space="0" w:color="00B9F6" w:themeColor="accent5"/>
          <w:bottom w:val="single" w:sz="18" w:space="0" w:color="00B9F6" w:themeColor="accent5"/>
          <w:right w:val="single" w:sz="8" w:space="0" w:color="00B9F6" w:themeColor="accent5"/>
          <w:insideH w:val="nil"/>
          <w:insideV w:val="single" w:sz="8" w:space="0" w:color="00B9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9F6" w:themeColor="accent5"/>
          <w:left w:val="single" w:sz="8" w:space="0" w:color="00B9F6" w:themeColor="accent5"/>
          <w:bottom w:val="single" w:sz="8" w:space="0" w:color="00B9F6" w:themeColor="accent5"/>
          <w:right w:val="single" w:sz="8" w:space="0" w:color="00B9F6" w:themeColor="accent5"/>
          <w:insideH w:val="nil"/>
          <w:insideV w:val="single" w:sz="8" w:space="0" w:color="00B9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9F6" w:themeColor="accent5"/>
          <w:left w:val="single" w:sz="8" w:space="0" w:color="00B9F6" w:themeColor="accent5"/>
          <w:bottom w:val="single" w:sz="8" w:space="0" w:color="00B9F6" w:themeColor="accent5"/>
          <w:right w:val="single" w:sz="8" w:space="0" w:color="00B9F6" w:themeColor="accent5"/>
        </w:tcBorders>
      </w:tcPr>
    </w:tblStylePr>
    <w:tblStylePr w:type="band1Vert">
      <w:tblPr/>
      <w:tcPr>
        <w:tcBorders>
          <w:top w:val="single" w:sz="8" w:space="0" w:color="00B9F6" w:themeColor="accent5"/>
          <w:left w:val="single" w:sz="8" w:space="0" w:color="00B9F6" w:themeColor="accent5"/>
          <w:bottom w:val="single" w:sz="8" w:space="0" w:color="00B9F6" w:themeColor="accent5"/>
          <w:right w:val="single" w:sz="8" w:space="0" w:color="00B9F6" w:themeColor="accent5"/>
        </w:tcBorders>
        <w:shd w:val="clear" w:color="auto" w:fill="BDEEFF" w:themeFill="accent5" w:themeFillTint="3F"/>
      </w:tcPr>
    </w:tblStylePr>
    <w:tblStylePr w:type="band1Horz">
      <w:tblPr/>
      <w:tcPr>
        <w:tcBorders>
          <w:top w:val="single" w:sz="8" w:space="0" w:color="00B9F6" w:themeColor="accent5"/>
          <w:left w:val="single" w:sz="8" w:space="0" w:color="00B9F6" w:themeColor="accent5"/>
          <w:bottom w:val="single" w:sz="8" w:space="0" w:color="00B9F6" w:themeColor="accent5"/>
          <w:right w:val="single" w:sz="8" w:space="0" w:color="00B9F6" w:themeColor="accent5"/>
          <w:insideV w:val="single" w:sz="8" w:space="0" w:color="00B9F6" w:themeColor="accent5"/>
        </w:tcBorders>
        <w:shd w:val="clear" w:color="auto" w:fill="BDEEFF" w:themeFill="accent5" w:themeFillTint="3F"/>
      </w:tcPr>
    </w:tblStylePr>
    <w:tblStylePr w:type="band2Horz">
      <w:tblPr/>
      <w:tcPr>
        <w:tcBorders>
          <w:top w:val="single" w:sz="8" w:space="0" w:color="00B9F6" w:themeColor="accent5"/>
          <w:left w:val="single" w:sz="8" w:space="0" w:color="00B9F6" w:themeColor="accent5"/>
          <w:bottom w:val="single" w:sz="8" w:space="0" w:color="00B9F6" w:themeColor="accent5"/>
          <w:right w:val="single" w:sz="8" w:space="0" w:color="00B9F6" w:themeColor="accent5"/>
          <w:insideV w:val="single" w:sz="8" w:space="0" w:color="00B9F6" w:themeColor="accent5"/>
        </w:tcBorders>
      </w:tcPr>
    </w:tblStylePr>
  </w:style>
  <w:style w:type="table" w:styleId="LightGrid-Accent6">
    <w:name w:val="Light Grid Accent 6"/>
    <w:basedOn w:val="TableNormal"/>
    <w:uiPriority w:val="62"/>
    <w:rsid w:val="00CC3878"/>
    <w:tblPr>
      <w:tblStyleRowBandSize w:val="1"/>
      <w:tblStyleColBandSize w:val="1"/>
      <w:tblBorders>
        <w:top w:val="single" w:sz="8" w:space="0" w:color="9AC601" w:themeColor="accent6"/>
        <w:left w:val="single" w:sz="8" w:space="0" w:color="9AC601" w:themeColor="accent6"/>
        <w:bottom w:val="single" w:sz="8" w:space="0" w:color="9AC601" w:themeColor="accent6"/>
        <w:right w:val="single" w:sz="8" w:space="0" w:color="9AC601" w:themeColor="accent6"/>
        <w:insideH w:val="single" w:sz="8" w:space="0" w:color="9AC601" w:themeColor="accent6"/>
        <w:insideV w:val="single" w:sz="8" w:space="0" w:color="9AC60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C601" w:themeColor="accent6"/>
          <w:left w:val="single" w:sz="8" w:space="0" w:color="9AC601" w:themeColor="accent6"/>
          <w:bottom w:val="single" w:sz="18" w:space="0" w:color="9AC601" w:themeColor="accent6"/>
          <w:right w:val="single" w:sz="8" w:space="0" w:color="9AC601" w:themeColor="accent6"/>
          <w:insideH w:val="nil"/>
          <w:insideV w:val="single" w:sz="8" w:space="0" w:color="9AC60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C601" w:themeColor="accent6"/>
          <w:left w:val="single" w:sz="8" w:space="0" w:color="9AC601" w:themeColor="accent6"/>
          <w:bottom w:val="single" w:sz="8" w:space="0" w:color="9AC601" w:themeColor="accent6"/>
          <w:right w:val="single" w:sz="8" w:space="0" w:color="9AC601" w:themeColor="accent6"/>
          <w:insideH w:val="nil"/>
          <w:insideV w:val="single" w:sz="8" w:space="0" w:color="9AC60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C601" w:themeColor="accent6"/>
          <w:left w:val="single" w:sz="8" w:space="0" w:color="9AC601" w:themeColor="accent6"/>
          <w:bottom w:val="single" w:sz="8" w:space="0" w:color="9AC601" w:themeColor="accent6"/>
          <w:right w:val="single" w:sz="8" w:space="0" w:color="9AC601" w:themeColor="accent6"/>
        </w:tcBorders>
      </w:tcPr>
    </w:tblStylePr>
    <w:tblStylePr w:type="band1Vert">
      <w:tblPr/>
      <w:tcPr>
        <w:tcBorders>
          <w:top w:val="single" w:sz="8" w:space="0" w:color="9AC601" w:themeColor="accent6"/>
          <w:left w:val="single" w:sz="8" w:space="0" w:color="9AC601" w:themeColor="accent6"/>
          <w:bottom w:val="single" w:sz="8" w:space="0" w:color="9AC601" w:themeColor="accent6"/>
          <w:right w:val="single" w:sz="8" w:space="0" w:color="9AC601" w:themeColor="accent6"/>
        </w:tcBorders>
        <w:shd w:val="clear" w:color="auto" w:fill="EDFEB2" w:themeFill="accent6" w:themeFillTint="3F"/>
      </w:tcPr>
    </w:tblStylePr>
    <w:tblStylePr w:type="band1Horz">
      <w:tblPr/>
      <w:tcPr>
        <w:tcBorders>
          <w:top w:val="single" w:sz="8" w:space="0" w:color="9AC601" w:themeColor="accent6"/>
          <w:left w:val="single" w:sz="8" w:space="0" w:color="9AC601" w:themeColor="accent6"/>
          <w:bottom w:val="single" w:sz="8" w:space="0" w:color="9AC601" w:themeColor="accent6"/>
          <w:right w:val="single" w:sz="8" w:space="0" w:color="9AC601" w:themeColor="accent6"/>
          <w:insideV w:val="single" w:sz="8" w:space="0" w:color="9AC601" w:themeColor="accent6"/>
        </w:tcBorders>
        <w:shd w:val="clear" w:color="auto" w:fill="EDFEB2" w:themeFill="accent6" w:themeFillTint="3F"/>
      </w:tcPr>
    </w:tblStylePr>
    <w:tblStylePr w:type="band2Horz">
      <w:tblPr/>
      <w:tcPr>
        <w:tcBorders>
          <w:top w:val="single" w:sz="8" w:space="0" w:color="9AC601" w:themeColor="accent6"/>
          <w:left w:val="single" w:sz="8" w:space="0" w:color="9AC601" w:themeColor="accent6"/>
          <w:bottom w:val="single" w:sz="8" w:space="0" w:color="9AC601" w:themeColor="accent6"/>
          <w:right w:val="single" w:sz="8" w:space="0" w:color="9AC601" w:themeColor="accent6"/>
          <w:insideV w:val="single" w:sz="8" w:space="0" w:color="9AC601" w:themeColor="accent6"/>
        </w:tcBorders>
      </w:tcPr>
    </w:tblStylePr>
  </w:style>
  <w:style w:type="paragraph" w:styleId="MacroText">
    <w:name w:val="macro"/>
    <w:link w:val="MacroTextChar"/>
    <w:rsid w:val="00CC3878"/>
    <w:pPr>
      <w:tabs>
        <w:tab w:val="left" w:pos="480"/>
        <w:tab w:val="left" w:pos="960"/>
        <w:tab w:val="left" w:pos="1440"/>
        <w:tab w:val="left" w:pos="1920"/>
        <w:tab w:val="left" w:pos="2400"/>
        <w:tab w:val="left" w:pos="2880"/>
        <w:tab w:val="left" w:pos="3360"/>
        <w:tab w:val="left" w:pos="3840"/>
        <w:tab w:val="left" w:pos="4320"/>
      </w:tabs>
      <w:spacing w:line="232" w:lineRule="exact"/>
    </w:pPr>
    <w:rPr>
      <w:rFonts w:ascii="Consolas" w:hAnsi="Consolas" w:cs="Consolas"/>
    </w:rPr>
  </w:style>
  <w:style w:type="character" w:customStyle="1" w:styleId="MacroTextChar">
    <w:name w:val="Macro Text Char"/>
    <w:basedOn w:val="DefaultParagraphFont"/>
    <w:link w:val="MacroText"/>
    <w:rsid w:val="00CC3878"/>
    <w:rPr>
      <w:rFonts w:ascii="Consolas" w:hAnsi="Consolas" w:cs="Consolas"/>
      <w:lang w:val="pl-PL"/>
    </w:rPr>
  </w:style>
  <w:style w:type="paragraph" w:styleId="MessageHeader">
    <w:name w:val="Message Header"/>
    <w:basedOn w:val="Normal"/>
    <w:link w:val="MessageHeaderChar"/>
    <w:rsid w:val="00CC38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CC3878"/>
    <w:rPr>
      <w:rFonts w:asciiTheme="majorHAnsi" w:eastAsiaTheme="majorEastAsia" w:hAnsiTheme="majorHAnsi" w:cstheme="majorBidi"/>
      <w:sz w:val="24"/>
      <w:szCs w:val="24"/>
      <w:shd w:val="pct20" w:color="auto" w:fill="auto"/>
      <w:lang w:val="pl-PL"/>
    </w:rPr>
  </w:style>
  <w:style w:type="table" w:styleId="MediumList1">
    <w:name w:val="Medium List 1"/>
    <w:basedOn w:val="TableNormal"/>
    <w:uiPriority w:val="65"/>
    <w:rsid w:val="00CC3878"/>
    <w:rPr>
      <w:color w:val="222222" w:themeColor="text1"/>
    </w:rPr>
    <w:tblPr>
      <w:tblStyleRowBandSize w:val="1"/>
      <w:tblStyleColBandSize w:val="1"/>
      <w:tblBorders>
        <w:top w:val="single" w:sz="8" w:space="0" w:color="222222" w:themeColor="text1"/>
        <w:bottom w:val="single" w:sz="8" w:space="0" w:color="222222" w:themeColor="text1"/>
      </w:tblBorders>
    </w:tblPr>
    <w:tblStylePr w:type="firstRow">
      <w:rPr>
        <w:rFonts w:asciiTheme="majorHAnsi" w:eastAsiaTheme="majorEastAsia" w:hAnsiTheme="majorHAnsi" w:cstheme="majorBidi"/>
      </w:rPr>
      <w:tblPr/>
      <w:tcPr>
        <w:tcBorders>
          <w:top w:val="nil"/>
          <w:bottom w:val="single" w:sz="8" w:space="0" w:color="222222" w:themeColor="text1"/>
        </w:tcBorders>
      </w:tcPr>
    </w:tblStylePr>
    <w:tblStylePr w:type="lastRow">
      <w:rPr>
        <w:b/>
        <w:bCs/>
        <w:color w:val="082138" w:themeColor="text2"/>
      </w:rPr>
      <w:tblPr/>
      <w:tcPr>
        <w:tcBorders>
          <w:top w:val="single" w:sz="8" w:space="0" w:color="222222" w:themeColor="text1"/>
          <w:bottom w:val="single" w:sz="8" w:space="0" w:color="222222" w:themeColor="text1"/>
        </w:tcBorders>
      </w:tcPr>
    </w:tblStylePr>
    <w:tblStylePr w:type="firstCol">
      <w:rPr>
        <w:b/>
        <w:bCs/>
      </w:rPr>
    </w:tblStylePr>
    <w:tblStylePr w:type="lastCol">
      <w:rPr>
        <w:b/>
        <w:bCs/>
      </w:rPr>
      <w:tblPr/>
      <w:tcPr>
        <w:tcBorders>
          <w:top w:val="single" w:sz="8" w:space="0" w:color="222222" w:themeColor="text1"/>
          <w:bottom w:val="single" w:sz="8" w:space="0" w:color="222222" w:themeColor="text1"/>
        </w:tcBorders>
      </w:tcPr>
    </w:tblStylePr>
    <w:tblStylePr w:type="band1Vert">
      <w:tblPr/>
      <w:tcPr>
        <w:shd w:val="clear" w:color="auto" w:fill="C8C8C8" w:themeFill="text1" w:themeFillTint="3F"/>
      </w:tcPr>
    </w:tblStylePr>
    <w:tblStylePr w:type="band1Horz">
      <w:tblPr/>
      <w:tcPr>
        <w:shd w:val="clear" w:color="auto" w:fill="C8C8C8" w:themeFill="text1" w:themeFillTint="3F"/>
      </w:tcPr>
    </w:tblStylePr>
  </w:style>
  <w:style w:type="table" w:styleId="MediumList1-Accent1">
    <w:name w:val="Medium List 1 Accent 1"/>
    <w:basedOn w:val="TableNormal"/>
    <w:uiPriority w:val="65"/>
    <w:rsid w:val="00CC3878"/>
    <w:rPr>
      <w:color w:val="222222" w:themeColor="text1"/>
    </w:rPr>
    <w:tblPr>
      <w:tblStyleRowBandSize w:val="1"/>
      <w:tblStyleColBandSize w:val="1"/>
      <w:tblBorders>
        <w:top w:val="single" w:sz="8" w:space="0" w:color="165A9B" w:themeColor="accent1"/>
        <w:bottom w:val="single" w:sz="8" w:space="0" w:color="165A9B" w:themeColor="accent1"/>
      </w:tblBorders>
    </w:tblPr>
    <w:tblStylePr w:type="firstRow">
      <w:rPr>
        <w:rFonts w:asciiTheme="majorHAnsi" w:eastAsiaTheme="majorEastAsia" w:hAnsiTheme="majorHAnsi" w:cstheme="majorBidi"/>
      </w:rPr>
      <w:tblPr/>
      <w:tcPr>
        <w:tcBorders>
          <w:top w:val="nil"/>
          <w:bottom w:val="single" w:sz="8" w:space="0" w:color="165A9B" w:themeColor="accent1"/>
        </w:tcBorders>
      </w:tcPr>
    </w:tblStylePr>
    <w:tblStylePr w:type="lastRow">
      <w:rPr>
        <w:b/>
        <w:bCs/>
        <w:color w:val="082138" w:themeColor="text2"/>
      </w:rPr>
      <w:tblPr/>
      <w:tcPr>
        <w:tcBorders>
          <w:top w:val="single" w:sz="8" w:space="0" w:color="165A9B" w:themeColor="accent1"/>
          <w:bottom w:val="single" w:sz="8" w:space="0" w:color="165A9B" w:themeColor="accent1"/>
        </w:tcBorders>
      </w:tcPr>
    </w:tblStylePr>
    <w:tblStylePr w:type="firstCol">
      <w:rPr>
        <w:b/>
        <w:bCs/>
      </w:rPr>
    </w:tblStylePr>
    <w:tblStylePr w:type="lastCol">
      <w:rPr>
        <w:b/>
        <w:bCs/>
      </w:rPr>
      <w:tblPr/>
      <w:tcPr>
        <w:tcBorders>
          <w:top w:val="single" w:sz="8" w:space="0" w:color="165A9B" w:themeColor="accent1"/>
          <w:bottom w:val="single" w:sz="8" w:space="0" w:color="165A9B" w:themeColor="accent1"/>
        </w:tcBorders>
      </w:tcPr>
    </w:tblStylePr>
    <w:tblStylePr w:type="band1Vert">
      <w:tblPr/>
      <w:tcPr>
        <w:shd w:val="clear" w:color="auto" w:fill="B6D6F4" w:themeFill="accent1" w:themeFillTint="3F"/>
      </w:tcPr>
    </w:tblStylePr>
    <w:tblStylePr w:type="band1Horz">
      <w:tblPr/>
      <w:tcPr>
        <w:shd w:val="clear" w:color="auto" w:fill="B6D6F4" w:themeFill="accent1" w:themeFillTint="3F"/>
      </w:tcPr>
    </w:tblStylePr>
  </w:style>
  <w:style w:type="table" w:styleId="MediumList1-Accent2">
    <w:name w:val="Medium List 1 Accent 2"/>
    <w:basedOn w:val="TableNormal"/>
    <w:uiPriority w:val="65"/>
    <w:rsid w:val="00CC3878"/>
    <w:rPr>
      <w:color w:val="222222" w:themeColor="text1"/>
    </w:rPr>
    <w:tblPr>
      <w:tblStyleRowBandSize w:val="1"/>
      <w:tblStyleColBandSize w:val="1"/>
      <w:tblBorders>
        <w:top w:val="single" w:sz="8" w:space="0" w:color="FFCC33" w:themeColor="accent2"/>
        <w:bottom w:val="single" w:sz="8" w:space="0" w:color="FFCC33" w:themeColor="accent2"/>
      </w:tblBorders>
    </w:tblPr>
    <w:tblStylePr w:type="firstRow">
      <w:rPr>
        <w:rFonts w:asciiTheme="majorHAnsi" w:eastAsiaTheme="majorEastAsia" w:hAnsiTheme="majorHAnsi" w:cstheme="majorBidi"/>
      </w:rPr>
      <w:tblPr/>
      <w:tcPr>
        <w:tcBorders>
          <w:top w:val="nil"/>
          <w:bottom w:val="single" w:sz="8" w:space="0" w:color="FFCC33" w:themeColor="accent2"/>
        </w:tcBorders>
      </w:tcPr>
    </w:tblStylePr>
    <w:tblStylePr w:type="lastRow">
      <w:rPr>
        <w:b/>
        <w:bCs/>
        <w:color w:val="082138" w:themeColor="text2"/>
      </w:rPr>
      <w:tblPr/>
      <w:tcPr>
        <w:tcBorders>
          <w:top w:val="single" w:sz="8" w:space="0" w:color="FFCC33" w:themeColor="accent2"/>
          <w:bottom w:val="single" w:sz="8" w:space="0" w:color="FFCC33" w:themeColor="accent2"/>
        </w:tcBorders>
      </w:tcPr>
    </w:tblStylePr>
    <w:tblStylePr w:type="firstCol">
      <w:rPr>
        <w:b/>
        <w:bCs/>
      </w:rPr>
    </w:tblStylePr>
    <w:tblStylePr w:type="lastCol">
      <w:rPr>
        <w:b/>
        <w:bCs/>
      </w:rPr>
      <w:tblPr/>
      <w:tcPr>
        <w:tcBorders>
          <w:top w:val="single" w:sz="8" w:space="0" w:color="FFCC33" w:themeColor="accent2"/>
          <w:bottom w:val="single" w:sz="8" w:space="0" w:color="FFCC33" w:themeColor="accent2"/>
        </w:tcBorders>
      </w:tcPr>
    </w:tblStylePr>
    <w:tblStylePr w:type="band1Vert">
      <w:tblPr/>
      <w:tcPr>
        <w:shd w:val="clear" w:color="auto" w:fill="FFF2CC" w:themeFill="accent2" w:themeFillTint="3F"/>
      </w:tcPr>
    </w:tblStylePr>
    <w:tblStylePr w:type="band1Horz">
      <w:tblPr/>
      <w:tcPr>
        <w:shd w:val="clear" w:color="auto" w:fill="FFF2CC" w:themeFill="accent2" w:themeFillTint="3F"/>
      </w:tcPr>
    </w:tblStylePr>
  </w:style>
  <w:style w:type="table" w:styleId="MediumList1-Accent3">
    <w:name w:val="Medium List 1 Accent 3"/>
    <w:basedOn w:val="TableNormal"/>
    <w:uiPriority w:val="65"/>
    <w:rsid w:val="00CC3878"/>
    <w:rPr>
      <w:color w:val="222222" w:themeColor="text1"/>
    </w:rPr>
    <w:tblPr>
      <w:tblStyleRowBandSize w:val="1"/>
      <w:tblStyleColBandSize w:val="1"/>
      <w:tblBorders>
        <w:top w:val="single" w:sz="8" w:space="0" w:color="FF7D00" w:themeColor="accent3"/>
        <w:bottom w:val="single" w:sz="8" w:space="0" w:color="FF7D00" w:themeColor="accent3"/>
      </w:tblBorders>
    </w:tblPr>
    <w:tblStylePr w:type="firstRow">
      <w:rPr>
        <w:rFonts w:asciiTheme="majorHAnsi" w:eastAsiaTheme="majorEastAsia" w:hAnsiTheme="majorHAnsi" w:cstheme="majorBidi"/>
      </w:rPr>
      <w:tblPr/>
      <w:tcPr>
        <w:tcBorders>
          <w:top w:val="nil"/>
          <w:bottom w:val="single" w:sz="8" w:space="0" w:color="FF7D00" w:themeColor="accent3"/>
        </w:tcBorders>
      </w:tcPr>
    </w:tblStylePr>
    <w:tblStylePr w:type="lastRow">
      <w:rPr>
        <w:b/>
        <w:bCs/>
        <w:color w:val="082138" w:themeColor="text2"/>
      </w:rPr>
      <w:tblPr/>
      <w:tcPr>
        <w:tcBorders>
          <w:top w:val="single" w:sz="8" w:space="0" w:color="FF7D00" w:themeColor="accent3"/>
          <w:bottom w:val="single" w:sz="8" w:space="0" w:color="FF7D00" w:themeColor="accent3"/>
        </w:tcBorders>
      </w:tcPr>
    </w:tblStylePr>
    <w:tblStylePr w:type="firstCol">
      <w:rPr>
        <w:b/>
        <w:bCs/>
      </w:rPr>
    </w:tblStylePr>
    <w:tblStylePr w:type="lastCol">
      <w:rPr>
        <w:b/>
        <w:bCs/>
      </w:rPr>
      <w:tblPr/>
      <w:tcPr>
        <w:tcBorders>
          <w:top w:val="single" w:sz="8" w:space="0" w:color="FF7D00" w:themeColor="accent3"/>
          <w:bottom w:val="single" w:sz="8" w:space="0" w:color="FF7D00" w:themeColor="accent3"/>
        </w:tcBorders>
      </w:tcPr>
    </w:tblStylePr>
    <w:tblStylePr w:type="band1Vert">
      <w:tblPr/>
      <w:tcPr>
        <w:shd w:val="clear" w:color="auto" w:fill="FFDEC0" w:themeFill="accent3" w:themeFillTint="3F"/>
      </w:tcPr>
    </w:tblStylePr>
    <w:tblStylePr w:type="band1Horz">
      <w:tblPr/>
      <w:tcPr>
        <w:shd w:val="clear" w:color="auto" w:fill="FFDEC0" w:themeFill="accent3" w:themeFillTint="3F"/>
      </w:tcPr>
    </w:tblStylePr>
  </w:style>
  <w:style w:type="table" w:styleId="MediumList1-Accent4">
    <w:name w:val="Medium List 1 Accent 4"/>
    <w:basedOn w:val="TableNormal"/>
    <w:uiPriority w:val="65"/>
    <w:rsid w:val="00CC3878"/>
    <w:rPr>
      <w:color w:val="222222" w:themeColor="text1"/>
    </w:rPr>
    <w:tblPr>
      <w:tblStyleRowBandSize w:val="1"/>
      <w:tblStyleColBandSize w:val="1"/>
      <w:tblBorders>
        <w:top w:val="single" w:sz="8" w:space="0" w:color="D5D4D4" w:themeColor="accent4"/>
        <w:bottom w:val="single" w:sz="8" w:space="0" w:color="D5D4D4" w:themeColor="accent4"/>
      </w:tblBorders>
    </w:tblPr>
    <w:tblStylePr w:type="firstRow">
      <w:rPr>
        <w:rFonts w:asciiTheme="majorHAnsi" w:eastAsiaTheme="majorEastAsia" w:hAnsiTheme="majorHAnsi" w:cstheme="majorBidi"/>
      </w:rPr>
      <w:tblPr/>
      <w:tcPr>
        <w:tcBorders>
          <w:top w:val="nil"/>
          <w:bottom w:val="single" w:sz="8" w:space="0" w:color="D5D4D4" w:themeColor="accent4"/>
        </w:tcBorders>
      </w:tcPr>
    </w:tblStylePr>
    <w:tblStylePr w:type="lastRow">
      <w:rPr>
        <w:b/>
        <w:bCs/>
        <w:color w:val="082138" w:themeColor="text2"/>
      </w:rPr>
      <w:tblPr/>
      <w:tcPr>
        <w:tcBorders>
          <w:top w:val="single" w:sz="8" w:space="0" w:color="D5D4D4" w:themeColor="accent4"/>
          <w:bottom w:val="single" w:sz="8" w:space="0" w:color="D5D4D4" w:themeColor="accent4"/>
        </w:tcBorders>
      </w:tcPr>
    </w:tblStylePr>
    <w:tblStylePr w:type="firstCol">
      <w:rPr>
        <w:b/>
        <w:bCs/>
      </w:rPr>
    </w:tblStylePr>
    <w:tblStylePr w:type="lastCol">
      <w:rPr>
        <w:b/>
        <w:bCs/>
      </w:rPr>
      <w:tblPr/>
      <w:tcPr>
        <w:tcBorders>
          <w:top w:val="single" w:sz="8" w:space="0" w:color="D5D4D4" w:themeColor="accent4"/>
          <w:bottom w:val="single" w:sz="8" w:space="0" w:color="D5D4D4" w:themeColor="accent4"/>
        </w:tcBorders>
      </w:tcPr>
    </w:tblStylePr>
    <w:tblStylePr w:type="band1Vert">
      <w:tblPr/>
      <w:tcPr>
        <w:shd w:val="clear" w:color="auto" w:fill="F4F4F4" w:themeFill="accent4" w:themeFillTint="3F"/>
      </w:tcPr>
    </w:tblStylePr>
    <w:tblStylePr w:type="band1Horz">
      <w:tblPr/>
      <w:tcPr>
        <w:shd w:val="clear" w:color="auto" w:fill="F4F4F4" w:themeFill="accent4" w:themeFillTint="3F"/>
      </w:tcPr>
    </w:tblStylePr>
  </w:style>
  <w:style w:type="table" w:styleId="MediumList1-Accent5">
    <w:name w:val="Medium List 1 Accent 5"/>
    <w:basedOn w:val="TableNormal"/>
    <w:uiPriority w:val="65"/>
    <w:rsid w:val="00CC3878"/>
    <w:rPr>
      <w:color w:val="222222" w:themeColor="text1"/>
    </w:rPr>
    <w:tblPr>
      <w:tblStyleRowBandSize w:val="1"/>
      <w:tblStyleColBandSize w:val="1"/>
      <w:tblBorders>
        <w:top w:val="single" w:sz="8" w:space="0" w:color="00B9F6" w:themeColor="accent5"/>
        <w:bottom w:val="single" w:sz="8" w:space="0" w:color="00B9F6" w:themeColor="accent5"/>
      </w:tblBorders>
    </w:tblPr>
    <w:tblStylePr w:type="firstRow">
      <w:rPr>
        <w:rFonts w:asciiTheme="majorHAnsi" w:eastAsiaTheme="majorEastAsia" w:hAnsiTheme="majorHAnsi" w:cstheme="majorBidi"/>
      </w:rPr>
      <w:tblPr/>
      <w:tcPr>
        <w:tcBorders>
          <w:top w:val="nil"/>
          <w:bottom w:val="single" w:sz="8" w:space="0" w:color="00B9F6" w:themeColor="accent5"/>
        </w:tcBorders>
      </w:tcPr>
    </w:tblStylePr>
    <w:tblStylePr w:type="lastRow">
      <w:rPr>
        <w:b/>
        <w:bCs/>
        <w:color w:val="082138" w:themeColor="text2"/>
      </w:rPr>
      <w:tblPr/>
      <w:tcPr>
        <w:tcBorders>
          <w:top w:val="single" w:sz="8" w:space="0" w:color="00B9F6" w:themeColor="accent5"/>
          <w:bottom w:val="single" w:sz="8" w:space="0" w:color="00B9F6" w:themeColor="accent5"/>
        </w:tcBorders>
      </w:tcPr>
    </w:tblStylePr>
    <w:tblStylePr w:type="firstCol">
      <w:rPr>
        <w:b/>
        <w:bCs/>
      </w:rPr>
    </w:tblStylePr>
    <w:tblStylePr w:type="lastCol">
      <w:rPr>
        <w:b/>
        <w:bCs/>
      </w:rPr>
      <w:tblPr/>
      <w:tcPr>
        <w:tcBorders>
          <w:top w:val="single" w:sz="8" w:space="0" w:color="00B9F6" w:themeColor="accent5"/>
          <w:bottom w:val="single" w:sz="8" w:space="0" w:color="00B9F6" w:themeColor="accent5"/>
        </w:tcBorders>
      </w:tcPr>
    </w:tblStylePr>
    <w:tblStylePr w:type="band1Vert">
      <w:tblPr/>
      <w:tcPr>
        <w:shd w:val="clear" w:color="auto" w:fill="BDEEFF" w:themeFill="accent5" w:themeFillTint="3F"/>
      </w:tcPr>
    </w:tblStylePr>
    <w:tblStylePr w:type="band1Horz">
      <w:tblPr/>
      <w:tcPr>
        <w:shd w:val="clear" w:color="auto" w:fill="BDEEFF" w:themeFill="accent5" w:themeFillTint="3F"/>
      </w:tcPr>
    </w:tblStylePr>
  </w:style>
  <w:style w:type="table" w:styleId="MediumList1-Accent6">
    <w:name w:val="Medium List 1 Accent 6"/>
    <w:basedOn w:val="TableNormal"/>
    <w:uiPriority w:val="65"/>
    <w:rsid w:val="00CC3878"/>
    <w:rPr>
      <w:color w:val="222222" w:themeColor="text1"/>
    </w:rPr>
    <w:tblPr>
      <w:tblStyleRowBandSize w:val="1"/>
      <w:tblStyleColBandSize w:val="1"/>
      <w:tblBorders>
        <w:top w:val="single" w:sz="8" w:space="0" w:color="9AC601" w:themeColor="accent6"/>
        <w:bottom w:val="single" w:sz="8" w:space="0" w:color="9AC601" w:themeColor="accent6"/>
      </w:tblBorders>
    </w:tblPr>
    <w:tblStylePr w:type="firstRow">
      <w:rPr>
        <w:rFonts w:asciiTheme="majorHAnsi" w:eastAsiaTheme="majorEastAsia" w:hAnsiTheme="majorHAnsi" w:cstheme="majorBidi"/>
      </w:rPr>
      <w:tblPr/>
      <w:tcPr>
        <w:tcBorders>
          <w:top w:val="nil"/>
          <w:bottom w:val="single" w:sz="8" w:space="0" w:color="9AC601" w:themeColor="accent6"/>
        </w:tcBorders>
      </w:tcPr>
    </w:tblStylePr>
    <w:tblStylePr w:type="lastRow">
      <w:rPr>
        <w:b/>
        <w:bCs/>
        <w:color w:val="082138" w:themeColor="text2"/>
      </w:rPr>
      <w:tblPr/>
      <w:tcPr>
        <w:tcBorders>
          <w:top w:val="single" w:sz="8" w:space="0" w:color="9AC601" w:themeColor="accent6"/>
          <w:bottom w:val="single" w:sz="8" w:space="0" w:color="9AC601" w:themeColor="accent6"/>
        </w:tcBorders>
      </w:tcPr>
    </w:tblStylePr>
    <w:tblStylePr w:type="firstCol">
      <w:rPr>
        <w:b/>
        <w:bCs/>
      </w:rPr>
    </w:tblStylePr>
    <w:tblStylePr w:type="lastCol">
      <w:rPr>
        <w:b/>
        <w:bCs/>
      </w:rPr>
      <w:tblPr/>
      <w:tcPr>
        <w:tcBorders>
          <w:top w:val="single" w:sz="8" w:space="0" w:color="9AC601" w:themeColor="accent6"/>
          <w:bottom w:val="single" w:sz="8" w:space="0" w:color="9AC601" w:themeColor="accent6"/>
        </w:tcBorders>
      </w:tcPr>
    </w:tblStylePr>
    <w:tblStylePr w:type="band1Vert">
      <w:tblPr/>
      <w:tcPr>
        <w:shd w:val="clear" w:color="auto" w:fill="EDFEB2" w:themeFill="accent6" w:themeFillTint="3F"/>
      </w:tcPr>
    </w:tblStylePr>
    <w:tblStylePr w:type="band1Horz">
      <w:tblPr/>
      <w:tcPr>
        <w:shd w:val="clear" w:color="auto" w:fill="EDFEB2" w:themeFill="accent6" w:themeFillTint="3F"/>
      </w:tcPr>
    </w:tblStylePr>
  </w:style>
  <w:style w:type="table" w:styleId="MediumList2">
    <w:name w:val="Medium List 2"/>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222222" w:themeColor="text1"/>
        <w:left w:val="single" w:sz="8" w:space="0" w:color="222222" w:themeColor="text1"/>
        <w:bottom w:val="single" w:sz="8" w:space="0" w:color="222222" w:themeColor="text1"/>
        <w:right w:val="single" w:sz="8" w:space="0" w:color="222222" w:themeColor="text1"/>
      </w:tblBorders>
    </w:tblPr>
    <w:tblStylePr w:type="firstRow">
      <w:rPr>
        <w:sz w:val="24"/>
        <w:szCs w:val="24"/>
      </w:rPr>
      <w:tblPr/>
      <w:tcPr>
        <w:tcBorders>
          <w:top w:val="nil"/>
          <w:left w:val="nil"/>
          <w:bottom w:val="single" w:sz="24" w:space="0" w:color="222222" w:themeColor="text1"/>
          <w:right w:val="nil"/>
          <w:insideH w:val="nil"/>
          <w:insideV w:val="nil"/>
        </w:tcBorders>
        <w:shd w:val="clear" w:color="auto" w:fill="FFFFFF" w:themeFill="background1"/>
      </w:tcPr>
    </w:tblStylePr>
    <w:tblStylePr w:type="lastRow">
      <w:tblPr/>
      <w:tcPr>
        <w:tcBorders>
          <w:top w:val="single" w:sz="8" w:space="0" w:color="22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2222" w:themeColor="text1"/>
          <w:insideH w:val="nil"/>
          <w:insideV w:val="nil"/>
        </w:tcBorders>
        <w:shd w:val="clear" w:color="auto" w:fill="FFFFFF" w:themeFill="background1"/>
      </w:tcPr>
    </w:tblStylePr>
    <w:tblStylePr w:type="lastCol">
      <w:tblPr/>
      <w:tcPr>
        <w:tcBorders>
          <w:top w:val="nil"/>
          <w:left w:val="single" w:sz="8" w:space="0" w:color="22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top w:val="nil"/>
          <w:bottom w:val="nil"/>
          <w:insideH w:val="nil"/>
          <w:insideV w:val="nil"/>
        </w:tcBorders>
        <w:shd w:val="clear" w:color="auto" w:fill="C8C8C8"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165A9B" w:themeColor="accent1"/>
        <w:left w:val="single" w:sz="8" w:space="0" w:color="165A9B" w:themeColor="accent1"/>
        <w:bottom w:val="single" w:sz="8" w:space="0" w:color="165A9B" w:themeColor="accent1"/>
        <w:right w:val="single" w:sz="8" w:space="0" w:color="165A9B" w:themeColor="accent1"/>
      </w:tblBorders>
    </w:tblPr>
    <w:tblStylePr w:type="firstRow">
      <w:rPr>
        <w:sz w:val="24"/>
        <w:szCs w:val="24"/>
      </w:rPr>
      <w:tblPr/>
      <w:tcPr>
        <w:tcBorders>
          <w:top w:val="nil"/>
          <w:left w:val="nil"/>
          <w:bottom w:val="single" w:sz="24" w:space="0" w:color="165A9B" w:themeColor="accent1"/>
          <w:right w:val="nil"/>
          <w:insideH w:val="nil"/>
          <w:insideV w:val="nil"/>
        </w:tcBorders>
        <w:shd w:val="clear" w:color="auto" w:fill="FFFFFF" w:themeFill="background1"/>
      </w:tcPr>
    </w:tblStylePr>
    <w:tblStylePr w:type="lastRow">
      <w:tblPr/>
      <w:tcPr>
        <w:tcBorders>
          <w:top w:val="single" w:sz="8" w:space="0" w:color="165A9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65A9B" w:themeColor="accent1"/>
          <w:insideH w:val="nil"/>
          <w:insideV w:val="nil"/>
        </w:tcBorders>
        <w:shd w:val="clear" w:color="auto" w:fill="FFFFFF" w:themeFill="background1"/>
      </w:tcPr>
    </w:tblStylePr>
    <w:tblStylePr w:type="lastCol">
      <w:tblPr/>
      <w:tcPr>
        <w:tcBorders>
          <w:top w:val="nil"/>
          <w:left w:val="single" w:sz="8" w:space="0" w:color="165A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D6F4" w:themeFill="accent1" w:themeFillTint="3F"/>
      </w:tcPr>
    </w:tblStylePr>
    <w:tblStylePr w:type="band1Horz">
      <w:tblPr/>
      <w:tcPr>
        <w:tcBorders>
          <w:top w:val="nil"/>
          <w:bottom w:val="nil"/>
          <w:insideH w:val="nil"/>
          <w:insideV w:val="nil"/>
        </w:tcBorders>
        <w:shd w:val="clear" w:color="auto" w:fill="B6D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FFCC33" w:themeColor="accent2"/>
        <w:left w:val="single" w:sz="8" w:space="0" w:color="FFCC33" w:themeColor="accent2"/>
        <w:bottom w:val="single" w:sz="8" w:space="0" w:color="FFCC33" w:themeColor="accent2"/>
        <w:right w:val="single" w:sz="8" w:space="0" w:color="FFCC33" w:themeColor="accent2"/>
      </w:tblBorders>
    </w:tblPr>
    <w:tblStylePr w:type="firstRow">
      <w:rPr>
        <w:sz w:val="24"/>
        <w:szCs w:val="24"/>
      </w:rPr>
      <w:tblPr/>
      <w:tcPr>
        <w:tcBorders>
          <w:top w:val="nil"/>
          <w:left w:val="nil"/>
          <w:bottom w:val="single" w:sz="24" w:space="0" w:color="FFCC33" w:themeColor="accent2"/>
          <w:right w:val="nil"/>
          <w:insideH w:val="nil"/>
          <w:insideV w:val="nil"/>
        </w:tcBorders>
        <w:shd w:val="clear" w:color="auto" w:fill="FFFFFF" w:themeFill="background1"/>
      </w:tcPr>
    </w:tblStylePr>
    <w:tblStylePr w:type="lastRow">
      <w:tblPr/>
      <w:tcPr>
        <w:tcBorders>
          <w:top w:val="single" w:sz="8" w:space="0" w:color="FFCC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C33" w:themeColor="accent2"/>
          <w:insideH w:val="nil"/>
          <w:insideV w:val="nil"/>
        </w:tcBorders>
        <w:shd w:val="clear" w:color="auto" w:fill="FFFFFF" w:themeFill="background1"/>
      </w:tcPr>
    </w:tblStylePr>
    <w:tblStylePr w:type="lastCol">
      <w:tblPr/>
      <w:tcPr>
        <w:tcBorders>
          <w:top w:val="nil"/>
          <w:left w:val="single" w:sz="8" w:space="0" w:color="FFCC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2CC" w:themeFill="accent2" w:themeFillTint="3F"/>
      </w:tcPr>
    </w:tblStylePr>
    <w:tblStylePr w:type="band1Horz">
      <w:tblPr/>
      <w:tcPr>
        <w:tcBorders>
          <w:top w:val="nil"/>
          <w:bottom w:val="nil"/>
          <w:insideH w:val="nil"/>
          <w:insideV w:val="nil"/>
        </w:tcBorders>
        <w:shd w:val="clear" w:color="auto" w:fill="FFF2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FF7D00" w:themeColor="accent3"/>
        <w:left w:val="single" w:sz="8" w:space="0" w:color="FF7D00" w:themeColor="accent3"/>
        <w:bottom w:val="single" w:sz="8" w:space="0" w:color="FF7D00" w:themeColor="accent3"/>
        <w:right w:val="single" w:sz="8" w:space="0" w:color="FF7D00" w:themeColor="accent3"/>
      </w:tblBorders>
    </w:tblPr>
    <w:tblStylePr w:type="firstRow">
      <w:rPr>
        <w:sz w:val="24"/>
        <w:szCs w:val="24"/>
      </w:rPr>
      <w:tblPr/>
      <w:tcPr>
        <w:tcBorders>
          <w:top w:val="nil"/>
          <w:left w:val="nil"/>
          <w:bottom w:val="single" w:sz="24" w:space="0" w:color="FF7D00" w:themeColor="accent3"/>
          <w:right w:val="nil"/>
          <w:insideH w:val="nil"/>
          <w:insideV w:val="nil"/>
        </w:tcBorders>
        <w:shd w:val="clear" w:color="auto" w:fill="FFFFFF" w:themeFill="background1"/>
      </w:tcPr>
    </w:tblStylePr>
    <w:tblStylePr w:type="lastRow">
      <w:tblPr/>
      <w:tcPr>
        <w:tcBorders>
          <w:top w:val="single" w:sz="8" w:space="0" w:color="FF7D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7D00" w:themeColor="accent3"/>
          <w:insideH w:val="nil"/>
          <w:insideV w:val="nil"/>
        </w:tcBorders>
        <w:shd w:val="clear" w:color="auto" w:fill="FFFFFF" w:themeFill="background1"/>
      </w:tcPr>
    </w:tblStylePr>
    <w:tblStylePr w:type="lastCol">
      <w:tblPr/>
      <w:tcPr>
        <w:tcBorders>
          <w:top w:val="nil"/>
          <w:left w:val="single" w:sz="8" w:space="0" w:color="FF7D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C0" w:themeFill="accent3" w:themeFillTint="3F"/>
      </w:tcPr>
    </w:tblStylePr>
    <w:tblStylePr w:type="band1Horz">
      <w:tblPr/>
      <w:tcPr>
        <w:tcBorders>
          <w:top w:val="nil"/>
          <w:bottom w:val="nil"/>
          <w:insideH w:val="nil"/>
          <w:insideV w:val="nil"/>
        </w:tcBorders>
        <w:shd w:val="clear" w:color="auto" w:fill="FFDE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D5D4D4" w:themeColor="accent4"/>
        <w:left w:val="single" w:sz="8" w:space="0" w:color="D5D4D4" w:themeColor="accent4"/>
        <w:bottom w:val="single" w:sz="8" w:space="0" w:color="D5D4D4" w:themeColor="accent4"/>
        <w:right w:val="single" w:sz="8" w:space="0" w:color="D5D4D4" w:themeColor="accent4"/>
      </w:tblBorders>
    </w:tblPr>
    <w:tblStylePr w:type="firstRow">
      <w:rPr>
        <w:sz w:val="24"/>
        <w:szCs w:val="24"/>
      </w:rPr>
      <w:tblPr/>
      <w:tcPr>
        <w:tcBorders>
          <w:top w:val="nil"/>
          <w:left w:val="nil"/>
          <w:bottom w:val="single" w:sz="24" w:space="0" w:color="D5D4D4" w:themeColor="accent4"/>
          <w:right w:val="nil"/>
          <w:insideH w:val="nil"/>
          <w:insideV w:val="nil"/>
        </w:tcBorders>
        <w:shd w:val="clear" w:color="auto" w:fill="FFFFFF" w:themeFill="background1"/>
      </w:tcPr>
    </w:tblStylePr>
    <w:tblStylePr w:type="lastRow">
      <w:tblPr/>
      <w:tcPr>
        <w:tcBorders>
          <w:top w:val="single" w:sz="8" w:space="0" w:color="D5D4D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D4D4" w:themeColor="accent4"/>
          <w:insideH w:val="nil"/>
          <w:insideV w:val="nil"/>
        </w:tcBorders>
        <w:shd w:val="clear" w:color="auto" w:fill="FFFFFF" w:themeFill="background1"/>
      </w:tcPr>
    </w:tblStylePr>
    <w:tblStylePr w:type="lastCol">
      <w:tblPr/>
      <w:tcPr>
        <w:tcBorders>
          <w:top w:val="nil"/>
          <w:left w:val="single" w:sz="8" w:space="0" w:color="D5D4D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4F4" w:themeFill="accent4" w:themeFillTint="3F"/>
      </w:tcPr>
    </w:tblStylePr>
    <w:tblStylePr w:type="band1Horz">
      <w:tblPr/>
      <w:tcPr>
        <w:tcBorders>
          <w:top w:val="nil"/>
          <w:bottom w:val="nil"/>
          <w:insideH w:val="nil"/>
          <w:insideV w:val="nil"/>
        </w:tcBorders>
        <w:shd w:val="clear" w:color="auto" w:fill="F4F4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00B9F6" w:themeColor="accent5"/>
        <w:left w:val="single" w:sz="8" w:space="0" w:color="00B9F6" w:themeColor="accent5"/>
        <w:bottom w:val="single" w:sz="8" w:space="0" w:color="00B9F6" w:themeColor="accent5"/>
        <w:right w:val="single" w:sz="8" w:space="0" w:color="00B9F6" w:themeColor="accent5"/>
      </w:tblBorders>
    </w:tblPr>
    <w:tblStylePr w:type="firstRow">
      <w:rPr>
        <w:sz w:val="24"/>
        <w:szCs w:val="24"/>
      </w:rPr>
      <w:tblPr/>
      <w:tcPr>
        <w:tcBorders>
          <w:top w:val="nil"/>
          <w:left w:val="nil"/>
          <w:bottom w:val="single" w:sz="24" w:space="0" w:color="00B9F6" w:themeColor="accent5"/>
          <w:right w:val="nil"/>
          <w:insideH w:val="nil"/>
          <w:insideV w:val="nil"/>
        </w:tcBorders>
        <w:shd w:val="clear" w:color="auto" w:fill="FFFFFF" w:themeFill="background1"/>
      </w:tcPr>
    </w:tblStylePr>
    <w:tblStylePr w:type="lastRow">
      <w:tblPr/>
      <w:tcPr>
        <w:tcBorders>
          <w:top w:val="single" w:sz="8" w:space="0" w:color="00B9F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9F6" w:themeColor="accent5"/>
          <w:insideH w:val="nil"/>
          <w:insideV w:val="nil"/>
        </w:tcBorders>
        <w:shd w:val="clear" w:color="auto" w:fill="FFFFFF" w:themeFill="background1"/>
      </w:tcPr>
    </w:tblStylePr>
    <w:tblStylePr w:type="lastCol">
      <w:tblPr/>
      <w:tcPr>
        <w:tcBorders>
          <w:top w:val="nil"/>
          <w:left w:val="single" w:sz="8" w:space="0" w:color="00B9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EFF" w:themeFill="accent5" w:themeFillTint="3F"/>
      </w:tcPr>
    </w:tblStylePr>
    <w:tblStylePr w:type="band1Horz">
      <w:tblPr/>
      <w:tcPr>
        <w:tcBorders>
          <w:top w:val="nil"/>
          <w:bottom w:val="nil"/>
          <w:insideH w:val="nil"/>
          <w:insideV w:val="nil"/>
        </w:tcBorders>
        <w:shd w:val="clear" w:color="auto" w:fill="BDEE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C3878"/>
    <w:rPr>
      <w:rFonts w:asciiTheme="majorHAnsi" w:eastAsiaTheme="majorEastAsia" w:hAnsiTheme="majorHAnsi" w:cstheme="majorBidi"/>
      <w:color w:val="222222" w:themeColor="text1"/>
    </w:rPr>
    <w:tblPr>
      <w:tblStyleRowBandSize w:val="1"/>
      <w:tblStyleColBandSize w:val="1"/>
      <w:tblBorders>
        <w:top w:val="single" w:sz="8" w:space="0" w:color="9AC601" w:themeColor="accent6"/>
        <w:left w:val="single" w:sz="8" w:space="0" w:color="9AC601" w:themeColor="accent6"/>
        <w:bottom w:val="single" w:sz="8" w:space="0" w:color="9AC601" w:themeColor="accent6"/>
        <w:right w:val="single" w:sz="8" w:space="0" w:color="9AC601" w:themeColor="accent6"/>
      </w:tblBorders>
    </w:tblPr>
    <w:tblStylePr w:type="firstRow">
      <w:rPr>
        <w:sz w:val="24"/>
        <w:szCs w:val="24"/>
      </w:rPr>
      <w:tblPr/>
      <w:tcPr>
        <w:tcBorders>
          <w:top w:val="nil"/>
          <w:left w:val="nil"/>
          <w:bottom w:val="single" w:sz="24" w:space="0" w:color="9AC601" w:themeColor="accent6"/>
          <w:right w:val="nil"/>
          <w:insideH w:val="nil"/>
          <w:insideV w:val="nil"/>
        </w:tcBorders>
        <w:shd w:val="clear" w:color="auto" w:fill="FFFFFF" w:themeFill="background1"/>
      </w:tcPr>
    </w:tblStylePr>
    <w:tblStylePr w:type="lastRow">
      <w:tblPr/>
      <w:tcPr>
        <w:tcBorders>
          <w:top w:val="single" w:sz="8" w:space="0" w:color="9AC60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C601" w:themeColor="accent6"/>
          <w:insideH w:val="nil"/>
          <w:insideV w:val="nil"/>
        </w:tcBorders>
        <w:shd w:val="clear" w:color="auto" w:fill="FFFFFF" w:themeFill="background1"/>
      </w:tcPr>
    </w:tblStylePr>
    <w:tblStylePr w:type="lastCol">
      <w:tblPr/>
      <w:tcPr>
        <w:tcBorders>
          <w:top w:val="nil"/>
          <w:left w:val="single" w:sz="8" w:space="0" w:color="9AC60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EB2" w:themeFill="accent6" w:themeFillTint="3F"/>
      </w:tcPr>
    </w:tblStylePr>
    <w:tblStylePr w:type="band1Horz">
      <w:tblPr/>
      <w:tcPr>
        <w:tcBorders>
          <w:top w:val="nil"/>
          <w:bottom w:val="nil"/>
          <w:insideH w:val="nil"/>
          <w:insideV w:val="nil"/>
        </w:tcBorders>
        <w:shd w:val="clear" w:color="auto" w:fill="EDFEB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C3878"/>
    <w:tblPr>
      <w:tblStyleRowBandSize w:val="1"/>
      <w:tblStyleColBandSize w:val="1"/>
      <w:tblBorders>
        <w:top w:val="single" w:sz="8" w:space="0" w:color="595959" w:themeColor="text1" w:themeTint="BF"/>
        <w:left w:val="single" w:sz="8" w:space="0" w:color="595959" w:themeColor="text1" w:themeTint="BF"/>
        <w:bottom w:val="single" w:sz="8" w:space="0" w:color="595959" w:themeColor="text1" w:themeTint="BF"/>
        <w:right w:val="single" w:sz="8" w:space="0" w:color="595959" w:themeColor="text1" w:themeTint="BF"/>
        <w:insideH w:val="single" w:sz="8" w:space="0" w:color="595959" w:themeColor="text1" w:themeTint="BF"/>
      </w:tblBorders>
    </w:tblPr>
    <w:tblStylePr w:type="firstRow">
      <w:pPr>
        <w:spacing w:before="0" w:after="0" w:line="240" w:lineRule="auto"/>
      </w:pPr>
      <w:rPr>
        <w:b/>
        <w:bCs/>
        <w:color w:val="FFFFFF" w:themeColor="background1"/>
      </w:rPr>
      <w:tblPr/>
      <w:tcPr>
        <w:tcBorders>
          <w:top w:val="single" w:sz="8" w:space="0" w:color="595959" w:themeColor="text1" w:themeTint="BF"/>
          <w:left w:val="single" w:sz="8" w:space="0" w:color="595959" w:themeColor="text1" w:themeTint="BF"/>
          <w:bottom w:val="single" w:sz="8" w:space="0" w:color="595959" w:themeColor="text1" w:themeTint="BF"/>
          <w:right w:val="single" w:sz="8" w:space="0" w:color="595959" w:themeColor="text1" w:themeTint="BF"/>
          <w:insideH w:val="nil"/>
          <w:insideV w:val="nil"/>
        </w:tcBorders>
        <w:shd w:val="clear" w:color="auto" w:fill="222222" w:themeFill="text1"/>
      </w:tcPr>
    </w:tblStylePr>
    <w:tblStylePr w:type="lastRow">
      <w:pPr>
        <w:spacing w:before="0" w:after="0" w:line="240" w:lineRule="auto"/>
      </w:pPr>
      <w:rPr>
        <w:b/>
        <w:bCs/>
      </w:rPr>
      <w:tblPr/>
      <w:tcPr>
        <w:tcBorders>
          <w:top w:val="double" w:sz="6" w:space="0" w:color="595959" w:themeColor="text1" w:themeTint="BF"/>
          <w:left w:val="single" w:sz="8" w:space="0" w:color="595959" w:themeColor="text1" w:themeTint="BF"/>
          <w:bottom w:val="single" w:sz="8" w:space="0" w:color="595959" w:themeColor="text1" w:themeTint="BF"/>
          <w:right w:val="single" w:sz="8" w:space="0" w:color="595959"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8" w:themeFill="text1" w:themeFillTint="3F"/>
      </w:tcPr>
    </w:tblStylePr>
    <w:tblStylePr w:type="band1Horz">
      <w:tblPr/>
      <w:tcPr>
        <w:tcBorders>
          <w:insideH w:val="nil"/>
          <w:insideV w:val="nil"/>
        </w:tcBorders>
        <w:shd w:val="clear" w:color="auto" w:fill="C8C8C8"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878"/>
    <w:tblPr>
      <w:tblStyleRowBandSize w:val="1"/>
      <w:tblStyleColBandSize w:val="1"/>
      <w:tblBorders>
        <w:top w:val="single" w:sz="8" w:space="0" w:color="2484E0" w:themeColor="accent1" w:themeTint="BF"/>
        <w:left w:val="single" w:sz="8" w:space="0" w:color="2484E0" w:themeColor="accent1" w:themeTint="BF"/>
        <w:bottom w:val="single" w:sz="8" w:space="0" w:color="2484E0" w:themeColor="accent1" w:themeTint="BF"/>
        <w:right w:val="single" w:sz="8" w:space="0" w:color="2484E0" w:themeColor="accent1" w:themeTint="BF"/>
        <w:insideH w:val="single" w:sz="8" w:space="0" w:color="2484E0" w:themeColor="accent1" w:themeTint="BF"/>
      </w:tblBorders>
    </w:tblPr>
    <w:tblStylePr w:type="firstRow">
      <w:pPr>
        <w:spacing w:before="0" w:after="0" w:line="240" w:lineRule="auto"/>
      </w:pPr>
      <w:rPr>
        <w:b/>
        <w:bCs/>
        <w:color w:val="FFFFFF" w:themeColor="background1"/>
      </w:rPr>
      <w:tblPr/>
      <w:tcPr>
        <w:tcBorders>
          <w:top w:val="single" w:sz="8" w:space="0" w:color="2484E0" w:themeColor="accent1" w:themeTint="BF"/>
          <w:left w:val="single" w:sz="8" w:space="0" w:color="2484E0" w:themeColor="accent1" w:themeTint="BF"/>
          <w:bottom w:val="single" w:sz="8" w:space="0" w:color="2484E0" w:themeColor="accent1" w:themeTint="BF"/>
          <w:right w:val="single" w:sz="8" w:space="0" w:color="2484E0" w:themeColor="accent1" w:themeTint="BF"/>
          <w:insideH w:val="nil"/>
          <w:insideV w:val="nil"/>
        </w:tcBorders>
        <w:shd w:val="clear" w:color="auto" w:fill="165A9B" w:themeFill="accent1"/>
      </w:tcPr>
    </w:tblStylePr>
    <w:tblStylePr w:type="lastRow">
      <w:pPr>
        <w:spacing w:before="0" w:after="0" w:line="240" w:lineRule="auto"/>
      </w:pPr>
      <w:rPr>
        <w:b/>
        <w:bCs/>
      </w:rPr>
      <w:tblPr/>
      <w:tcPr>
        <w:tcBorders>
          <w:top w:val="double" w:sz="6" w:space="0" w:color="2484E0" w:themeColor="accent1" w:themeTint="BF"/>
          <w:left w:val="single" w:sz="8" w:space="0" w:color="2484E0" w:themeColor="accent1" w:themeTint="BF"/>
          <w:bottom w:val="single" w:sz="8" w:space="0" w:color="2484E0" w:themeColor="accent1" w:themeTint="BF"/>
          <w:right w:val="single" w:sz="8" w:space="0" w:color="2484E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D6F4" w:themeFill="accent1" w:themeFillTint="3F"/>
      </w:tcPr>
    </w:tblStylePr>
    <w:tblStylePr w:type="band1Horz">
      <w:tblPr/>
      <w:tcPr>
        <w:tcBorders>
          <w:insideH w:val="nil"/>
          <w:insideV w:val="nil"/>
        </w:tcBorders>
        <w:shd w:val="clear" w:color="auto" w:fill="B6D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C3878"/>
    <w:tblPr>
      <w:tblStyleRowBandSize w:val="1"/>
      <w:tblStyleColBandSize w:val="1"/>
      <w:tblBorders>
        <w:top w:val="single" w:sz="8" w:space="0" w:color="FFD866" w:themeColor="accent2" w:themeTint="BF"/>
        <w:left w:val="single" w:sz="8" w:space="0" w:color="FFD866" w:themeColor="accent2" w:themeTint="BF"/>
        <w:bottom w:val="single" w:sz="8" w:space="0" w:color="FFD866" w:themeColor="accent2" w:themeTint="BF"/>
        <w:right w:val="single" w:sz="8" w:space="0" w:color="FFD866" w:themeColor="accent2" w:themeTint="BF"/>
        <w:insideH w:val="single" w:sz="8" w:space="0" w:color="FFD866" w:themeColor="accent2" w:themeTint="BF"/>
      </w:tblBorders>
    </w:tblPr>
    <w:tblStylePr w:type="firstRow">
      <w:pPr>
        <w:spacing w:before="0" w:after="0" w:line="240" w:lineRule="auto"/>
      </w:pPr>
      <w:rPr>
        <w:b/>
        <w:bCs/>
        <w:color w:val="FFFFFF" w:themeColor="background1"/>
      </w:rPr>
      <w:tblPr/>
      <w:tcPr>
        <w:tcBorders>
          <w:top w:val="single" w:sz="8" w:space="0" w:color="FFD866" w:themeColor="accent2" w:themeTint="BF"/>
          <w:left w:val="single" w:sz="8" w:space="0" w:color="FFD866" w:themeColor="accent2" w:themeTint="BF"/>
          <w:bottom w:val="single" w:sz="8" w:space="0" w:color="FFD866" w:themeColor="accent2" w:themeTint="BF"/>
          <w:right w:val="single" w:sz="8" w:space="0" w:color="FFD866" w:themeColor="accent2" w:themeTint="BF"/>
          <w:insideH w:val="nil"/>
          <w:insideV w:val="nil"/>
        </w:tcBorders>
        <w:shd w:val="clear" w:color="auto" w:fill="FFCC33" w:themeFill="accent2"/>
      </w:tcPr>
    </w:tblStylePr>
    <w:tblStylePr w:type="lastRow">
      <w:pPr>
        <w:spacing w:before="0" w:after="0" w:line="240" w:lineRule="auto"/>
      </w:pPr>
      <w:rPr>
        <w:b/>
        <w:bCs/>
      </w:rPr>
      <w:tblPr/>
      <w:tcPr>
        <w:tcBorders>
          <w:top w:val="double" w:sz="6" w:space="0" w:color="FFD866" w:themeColor="accent2" w:themeTint="BF"/>
          <w:left w:val="single" w:sz="8" w:space="0" w:color="FFD866" w:themeColor="accent2" w:themeTint="BF"/>
          <w:bottom w:val="single" w:sz="8" w:space="0" w:color="FFD866" w:themeColor="accent2" w:themeTint="BF"/>
          <w:right w:val="single" w:sz="8" w:space="0" w:color="FFD8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F2CC" w:themeFill="accent2" w:themeFillTint="3F"/>
      </w:tcPr>
    </w:tblStylePr>
    <w:tblStylePr w:type="band1Horz">
      <w:tblPr/>
      <w:tcPr>
        <w:tcBorders>
          <w:insideH w:val="nil"/>
          <w:insideV w:val="nil"/>
        </w:tcBorders>
        <w:shd w:val="clear" w:color="auto" w:fill="FFF2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C3878"/>
    <w:tblPr>
      <w:tblStyleRowBandSize w:val="1"/>
      <w:tblStyleColBandSize w:val="1"/>
      <w:tblBorders>
        <w:top w:val="single" w:sz="8" w:space="0" w:color="FF9D40" w:themeColor="accent3" w:themeTint="BF"/>
        <w:left w:val="single" w:sz="8" w:space="0" w:color="FF9D40" w:themeColor="accent3" w:themeTint="BF"/>
        <w:bottom w:val="single" w:sz="8" w:space="0" w:color="FF9D40" w:themeColor="accent3" w:themeTint="BF"/>
        <w:right w:val="single" w:sz="8" w:space="0" w:color="FF9D40" w:themeColor="accent3" w:themeTint="BF"/>
        <w:insideH w:val="single" w:sz="8" w:space="0" w:color="FF9D40" w:themeColor="accent3" w:themeTint="BF"/>
      </w:tblBorders>
    </w:tblPr>
    <w:tblStylePr w:type="firstRow">
      <w:pPr>
        <w:spacing w:before="0" w:after="0" w:line="240" w:lineRule="auto"/>
      </w:pPr>
      <w:rPr>
        <w:b/>
        <w:bCs/>
        <w:color w:val="FFFFFF" w:themeColor="background1"/>
      </w:rPr>
      <w:tblPr/>
      <w:tcPr>
        <w:tcBorders>
          <w:top w:val="single" w:sz="8" w:space="0" w:color="FF9D40" w:themeColor="accent3" w:themeTint="BF"/>
          <w:left w:val="single" w:sz="8" w:space="0" w:color="FF9D40" w:themeColor="accent3" w:themeTint="BF"/>
          <w:bottom w:val="single" w:sz="8" w:space="0" w:color="FF9D40" w:themeColor="accent3" w:themeTint="BF"/>
          <w:right w:val="single" w:sz="8" w:space="0" w:color="FF9D40" w:themeColor="accent3" w:themeTint="BF"/>
          <w:insideH w:val="nil"/>
          <w:insideV w:val="nil"/>
        </w:tcBorders>
        <w:shd w:val="clear" w:color="auto" w:fill="FF7D00" w:themeFill="accent3"/>
      </w:tcPr>
    </w:tblStylePr>
    <w:tblStylePr w:type="lastRow">
      <w:pPr>
        <w:spacing w:before="0" w:after="0" w:line="240" w:lineRule="auto"/>
      </w:pPr>
      <w:rPr>
        <w:b/>
        <w:bCs/>
      </w:rPr>
      <w:tblPr/>
      <w:tcPr>
        <w:tcBorders>
          <w:top w:val="double" w:sz="6" w:space="0" w:color="FF9D40" w:themeColor="accent3" w:themeTint="BF"/>
          <w:left w:val="single" w:sz="8" w:space="0" w:color="FF9D40" w:themeColor="accent3" w:themeTint="BF"/>
          <w:bottom w:val="single" w:sz="8" w:space="0" w:color="FF9D40" w:themeColor="accent3" w:themeTint="BF"/>
          <w:right w:val="single" w:sz="8" w:space="0" w:color="FF9D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EC0" w:themeFill="accent3" w:themeFillTint="3F"/>
      </w:tcPr>
    </w:tblStylePr>
    <w:tblStylePr w:type="band1Horz">
      <w:tblPr/>
      <w:tcPr>
        <w:tcBorders>
          <w:insideH w:val="nil"/>
          <w:insideV w:val="nil"/>
        </w:tcBorders>
        <w:shd w:val="clear" w:color="auto" w:fill="FFDE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C3878"/>
    <w:tblPr>
      <w:tblStyleRowBandSize w:val="1"/>
      <w:tblStyleColBandSize w:val="1"/>
      <w:tblBorders>
        <w:top w:val="single" w:sz="8" w:space="0" w:color="DFDEDE" w:themeColor="accent4" w:themeTint="BF"/>
        <w:left w:val="single" w:sz="8" w:space="0" w:color="DFDEDE" w:themeColor="accent4" w:themeTint="BF"/>
        <w:bottom w:val="single" w:sz="8" w:space="0" w:color="DFDEDE" w:themeColor="accent4" w:themeTint="BF"/>
        <w:right w:val="single" w:sz="8" w:space="0" w:color="DFDEDE" w:themeColor="accent4" w:themeTint="BF"/>
        <w:insideH w:val="single" w:sz="8" w:space="0" w:color="DFDEDE" w:themeColor="accent4" w:themeTint="BF"/>
      </w:tblBorders>
    </w:tblPr>
    <w:tblStylePr w:type="firstRow">
      <w:pPr>
        <w:spacing w:before="0" w:after="0" w:line="240" w:lineRule="auto"/>
      </w:pPr>
      <w:rPr>
        <w:b/>
        <w:bCs/>
        <w:color w:val="FFFFFF" w:themeColor="background1"/>
      </w:rPr>
      <w:tblPr/>
      <w:tcPr>
        <w:tcBorders>
          <w:top w:val="single" w:sz="8" w:space="0" w:color="DFDEDE" w:themeColor="accent4" w:themeTint="BF"/>
          <w:left w:val="single" w:sz="8" w:space="0" w:color="DFDEDE" w:themeColor="accent4" w:themeTint="BF"/>
          <w:bottom w:val="single" w:sz="8" w:space="0" w:color="DFDEDE" w:themeColor="accent4" w:themeTint="BF"/>
          <w:right w:val="single" w:sz="8" w:space="0" w:color="DFDEDE" w:themeColor="accent4" w:themeTint="BF"/>
          <w:insideH w:val="nil"/>
          <w:insideV w:val="nil"/>
        </w:tcBorders>
        <w:shd w:val="clear" w:color="auto" w:fill="D5D4D4" w:themeFill="accent4"/>
      </w:tcPr>
    </w:tblStylePr>
    <w:tblStylePr w:type="lastRow">
      <w:pPr>
        <w:spacing w:before="0" w:after="0" w:line="240" w:lineRule="auto"/>
      </w:pPr>
      <w:rPr>
        <w:b/>
        <w:bCs/>
      </w:rPr>
      <w:tblPr/>
      <w:tcPr>
        <w:tcBorders>
          <w:top w:val="double" w:sz="6" w:space="0" w:color="DFDEDE" w:themeColor="accent4" w:themeTint="BF"/>
          <w:left w:val="single" w:sz="8" w:space="0" w:color="DFDEDE" w:themeColor="accent4" w:themeTint="BF"/>
          <w:bottom w:val="single" w:sz="8" w:space="0" w:color="DFDEDE" w:themeColor="accent4" w:themeTint="BF"/>
          <w:right w:val="single" w:sz="8" w:space="0" w:color="DFDED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4F4F4" w:themeFill="accent4" w:themeFillTint="3F"/>
      </w:tcPr>
    </w:tblStylePr>
    <w:tblStylePr w:type="band1Horz">
      <w:tblPr/>
      <w:tcPr>
        <w:tcBorders>
          <w:insideH w:val="nil"/>
          <w:insideV w:val="nil"/>
        </w:tcBorders>
        <w:shd w:val="clear" w:color="auto" w:fill="F4F4F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C3878"/>
    <w:tblPr>
      <w:tblStyleRowBandSize w:val="1"/>
      <w:tblStyleColBandSize w:val="1"/>
      <w:tblBorders>
        <w:top w:val="single" w:sz="8" w:space="0" w:color="39CDFF" w:themeColor="accent5" w:themeTint="BF"/>
        <w:left w:val="single" w:sz="8" w:space="0" w:color="39CDFF" w:themeColor="accent5" w:themeTint="BF"/>
        <w:bottom w:val="single" w:sz="8" w:space="0" w:color="39CDFF" w:themeColor="accent5" w:themeTint="BF"/>
        <w:right w:val="single" w:sz="8" w:space="0" w:color="39CDFF" w:themeColor="accent5" w:themeTint="BF"/>
        <w:insideH w:val="single" w:sz="8" w:space="0" w:color="39CDFF" w:themeColor="accent5" w:themeTint="BF"/>
      </w:tblBorders>
    </w:tblPr>
    <w:tblStylePr w:type="firstRow">
      <w:pPr>
        <w:spacing w:before="0" w:after="0" w:line="240" w:lineRule="auto"/>
      </w:pPr>
      <w:rPr>
        <w:b/>
        <w:bCs/>
        <w:color w:val="FFFFFF" w:themeColor="background1"/>
      </w:rPr>
      <w:tblPr/>
      <w:tcPr>
        <w:tcBorders>
          <w:top w:val="single" w:sz="8" w:space="0" w:color="39CDFF" w:themeColor="accent5" w:themeTint="BF"/>
          <w:left w:val="single" w:sz="8" w:space="0" w:color="39CDFF" w:themeColor="accent5" w:themeTint="BF"/>
          <w:bottom w:val="single" w:sz="8" w:space="0" w:color="39CDFF" w:themeColor="accent5" w:themeTint="BF"/>
          <w:right w:val="single" w:sz="8" w:space="0" w:color="39CDFF" w:themeColor="accent5" w:themeTint="BF"/>
          <w:insideH w:val="nil"/>
          <w:insideV w:val="nil"/>
        </w:tcBorders>
        <w:shd w:val="clear" w:color="auto" w:fill="00B9F6" w:themeFill="accent5"/>
      </w:tcPr>
    </w:tblStylePr>
    <w:tblStylePr w:type="lastRow">
      <w:pPr>
        <w:spacing w:before="0" w:after="0" w:line="240" w:lineRule="auto"/>
      </w:pPr>
      <w:rPr>
        <w:b/>
        <w:bCs/>
      </w:rPr>
      <w:tblPr/>
      <w:tcPr>
        <w:tcBorders>
          <w:top w:val="double" w:sz="6" w:space="0" w:color="39CDFF" w:themeColor="accent5" w:themeTint="BF"/>
          <w:left w:val="single" w:sz="8" w:space="0" w:color="39CDFF" w:themeColor="accent5" w:themeTint="BF"/>
          <w:bottom w:val="single" w:sz="8" w:space="0" w:color="39CDFF" w:themeColor="accent5" w:themeTint="BF"/>
          <w:right w:val="single" w:sz="8" w:space="0" w:color="39CD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DEEFF" w:themeFill="accent5" w:themeFillTint="3F"/>
      </w:tcPr>
    </w:tblStylePr>
    <w:tblStylePr w:type="band1Horz">
      <w:tblPr/>
      <w:tcPr>
        <w:tcBorders>
          <w:insideH w:val="nil"/>
          <w:insideV w:val="nil"/>
        </w:tcBorders>
        <w:shd w:val="clear" w:color="auto" w:fill="BDEE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C3878"/>
    <w:tblPr>
      <w:tblStyleRowBandSize w:val="1"/>
      <w:tblStyleColBandSize w:val="1"/>
      <w:tblBorders>
        <w:top w:val="single" w:sz="8" w:space="0" w:color="CAFD17" w:themeColor="accent6" w:themeTint="BF"/>
        <w:left w:val="single" w:sz="8" w:space="0" w:color="CAFD17" w:themeColor="accent6" w:themeTint="BF"/>
        <w:bottom w:val="single" w:sz="8" w:space="0" w:color="CAFD17" w:themeColor="accent6" w:themeTint="BF"/>
        <w:right w:val="single" w:sz="8" w:space="0" w:color="CAFD17" w:themeColor="accent6" w:themeTint="BF"/>
        <w:insideH w:val="single" w:sz="8" w:space="0" w:color="CAFD17" w:themeColor="accent6" w:themeTint="BF"/>
      </w:tblBorders>
    </w:tblPr>
    <w:tblStylePr w:type="firstRow">
      <w:pPr>
        <w:spacing w:before="0" w:after="0" w:line="240" w:lineRule="auto"/>
      </w:pPr>
      <w:rPr>
        <w:b/>
        <w:bCs/>
        <w:color w:val="FFFFFF" w:themeColor="background1"/>
      </w:rPr>
      <w:tblPr/>
      <w:tcPr>
        <w:tcBorders>
          <w:top w:val="single" w:sz="8" w:space="0" w:color="CAFD17" w:themeColor="accent6" w:themeTint="BF"/>
          <w:left w:val="single" w:sz="8" w:space="0" w:color="CAFD17" w:themeColor="accent6" w:themeTint="BF"/>
          <w:bottom w:val="single" w:sz="8" w:space="0" w:color="CAFD17" w:themeColor="accent6" w:themeTint="BF"/>
          <w:right w:val="single" w:sz="8" w:space="0" w:color="CAFD17" w:themeColor="accent6" w:themeTint="BF"/>
          <w:insideH w:val="nil"/>
          <w:insideV w:val="nil"/>
        </w:tcBorders>
        <w:shd w:val="clear" w:color="auto" w:fill="9AC601" w:themeFill="accent6"/>
      </w:tcPr>
    </w:tblStylePr>
    <w:tblStylePr w:type="lastRow">
      <w:pPr>
        <w:spacing w:before="0" w:after="0" w:line="240" w:lineRule="auto"/>
      </w:pPr>
      <w:rPr>
        <w:b/>
        <w:bCs/>
      </w:rPr>
      <w:tblPr/>
      <w:tcPr>
        <w:tcBorders>
          <w:top w:val="double" w:sz="6" w:space="0" w:color="CAFD17" w:themeColor="accent6" w:themeTint="BF"/>
          <w:left w:val="single" w:sz="8" w:space="0" w:color="CAFD17" w:themeColor="accent6" w:themeTint="BF"/>
          <w:bottom w:val="single" w:sz="8" w:space="0" w:color="CAFD17" w:themeColor="accent6" w:themeTint="BF"/>
          <w:right w:val="single" w:sz="8" w:space="0" w:color="CAFD1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EB2" w:themeFill="accent6" w:themeFillTint="3F"/>
      </w:tcPr>
    </w:tblStylePr>
    <w:tblStylePr w:type="band1Horz">
      <w:tblPr/>
      <w:tcPr>
        <w:tcBorders>
          <w:insideH w:val="nil"/>
          <w:insideV w:val="nil"/>
        </w:tcBorders>
        <w:shd w:val="clear" w:color="auto" w:fill="EDFEB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22222" w:themeFill="text1"/>
      </w:tcPr>
    </w:tblStylePr>
    <w:tblStylePr w:type="lastCol">
      <w:rPr>
        <w:b/>
        <w:bCs/>
        <w:color w:val="FFFFFF" w:themeColor="background1"/>
      </w:rPr>
      <w:tblPr/>
      <w:tcPr>
        <w:tcBorders>
          <w:left w:val="nil"/>
          <w:right w:val="nil"/>
          <w:insideH w:val="nil"/>
          <w:insideV w:val="nil"/>
        </w:tcBorders>
        <w:shd w:val="clear" w:color="auto" w:fill="22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65A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65A9B" w:themeFill="accent1"/>
      </w:tcPr>
    </w:tblStylePr>
    <w:tblStylePr w:type="lastCol">
      <w:rPr>
        <w:b/>
        <w:bCs/>
        <w:color w:val="FFFFFF" w:themeColor="background1"/>
      </w:rPr>
      <w:tblPr/>
      <w:tcPr>
        <w:tcBorders>
          <w:left w:val="nil"/>
          <w:right w:val="nil"/>
          <w:insideH w:val="nil"/>
          <w:insideV w:val="nil"/>
        </w:tcBorders>
        <w:shd w:val="clear" w:color="auto" w:fill="165A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C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C33" w:themeFill="accent2"/>
      </w:tcPr>
    </w:tblStylePr>
    <w:tblStylePr w:type="lastCol">
      <w:rPr>
        <w:b/>
        <w:bCs/>
        <w:color w:val="FFFFFF" w:themeColor="background1"/>
      </w:rPr>
      <w:tblPr/>
      <w:tcPr>
        <w:tcBorders>
          <w:left w:val="nil"/>
          <w:right w:val="nil"/>
          <w:insideH w:val="nil"/>
          <w:insideV w:val="nil"/>
        </w:tcBorders>
        <w:shd w:val="clear" w:color="auto" w:fill="FFCC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7D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7D00" w:themeFill="accent3"/>
      </w:tcPr>
    </w:tblStylePr>
    <w:tblStylePr w:type="lastCol">
      <w:rPr>
        <w:b/>
        <w:bCs/>
        <w:color w:val="FFFFFF" w:themeColor="background1"/>
      </w:rPr>
      <w:tblPr/>
      <w:tcPr>
        <w:tcBorders>
          <w:left w:val="nil"/>
          <w:right w:val="nil"/>
          <w:insideH w:val="nil"/>
          <w:insideV w:val="nil"/>
        </w:tcBorders>
        <w:shd w:val="clear" w:color="auto" w:fill="FF7D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D4D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D4D4" w:themeFill="accent4"/>
      </w:tcPr>
    </w:tblStylePr>
    <w:tblStylePr w:type="lastCol">
      <w:rPr>
        <w:b/>
        <w:bCs/>
        <w:color w:val="FFFFFF" w:themeColor="background1"/>
      </w:rPr>
      <w:tblPr/>
      <w:tcPr>
        <w:tcBorders>
          <w:left w:val="nil"/>
          <w:right w:val="nil"/>
          <w:insideH w:val="nil"/>
          <w:insideV w:val="nil"/>
        </w:tcBorders>
        <w:shd w:val="clear" w:color="auto" w:fill="D5D4D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9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9F6" w:themeFill="accent5"/>
      </w:tcPr>
    </w:tblStylePr>
    <w:tblStylePr w:type="lastCol">
      <w:rPr>
        <w:b/>
        <w:bCs/>
        <w:color w:val="FFFFFF" w:themeColor="background1"/>
      </w:rPr>
      <w:tblPr/>
      <w:tcPr>
        <w:tcBorders>
          <w:left w:val="nil"/>
          <w:right w:val="nil"/>
          <w:insideH w:val="nil"/>
          <w:insideV w:val="nil"/>
        </w:tcBorders>
        <w:shd w:val="clear" w:color="auto" w:fill="00B9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C387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C60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C601" w:themeFill="accent6"/>
      </w:tcPr>
    </w:tblStylePr>
    <w:tblStylePr w:type="lastCol">
      <w:rPr>
        <w:b/>
        <w:bCs/>
        <w:color w:val="FFFFFF" w:themeColor="background1"/>
      </w:rPr>
      <w:tblPr/>
      <w:tcPr>
        <w:tcBorders>
          <w:left w:val="nil"/>
          <w:right w:val="nil"/>
          <w:insideH w:val="nil"/>
          <w:insideV w:val="nil"/>
        </w:tcBorders>
        <w:shd w:val="clear" w:color="auto" w:fill="9AC60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CC3878"/>
    <w:tblPr>
      <w:tblStyleRowBandSize w:val="1"/>
      <w:tblStyleColBandSize w:val="1"/>
      <w:tblBorders>
        <w:top w:val="single" w:sz="8" w:space="0" w:color="595959" w:themeColor="text1" w:themeTint="BF"/>
        <w:left w:val="single" w:sz="8" w:space="0" w:color="595959" w:themeColor="text1" w:themeTint="BF"/>
        <w:bottom w:val="single" w:sz="8" w:space="0" w:color="595959" w:themeColor="text1" w:themeTint="BF"/>
        <w:right w:val="single" w:sz="8" w:space="0" w:color="595959" w:themeColor="text1" w:themeTint="BF"/>
        <w:insideH w:val="single" w:sz="8" w:space="0" w:color="595959" w:themeColor="text1" w:themeTint="BF"/>
        <w:insideV w:val="single" w:sz="8" w:space="0" w:color="595959" w:themeColor="text1" w:themeTint="BF"/>
      </w:tblBorders>
    </w:tblPr>
    <w:tcPr>
      <w:shd w:val="clear" w:color="auto" w:fill="C8C8C8" w:themeFill="text1" w:themeFillTint="3F"/>
    </w:tcPr>
    <w:tblStylePr w:type="firstRow">
      <w:rPr>
        <w:b/>
        <w:bCs/>
      </w:rPr>
    </w:tblStylePr>
    <w:tblStylePr w:type="lastRow">
      <w:rPr>
        <w:b/>
        <w:bCs/>
      </w:rPr>
      <w:tblPr/>
      <w:tcPr>
        <w:tcBorders>
          <w:top w:val="single" w:sz="18" w:space="0" w:color="595959" w:themeColor="text1" w:themeTint="BF"/>
        </w:tcBorders>
      </w:tcPr>
    </w:tblStylePr>
    <w:tblStylePr w:type="firstCol">
      <w:rPr>
        <w:b/>
        <w:bCs/>
      </w:rPr>
    </w:tblStylePr>
    <w:tblStylePr w:type="lastCol">
      <w:rPr>
        <w:b/>
        <w:bCs/>
      </w:r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MediumGrid1-Accent1">
    <w:name w:val="Medium Grid 1 Accent 1"/>
    <w:basedOn w:val="TableNormal"/>
    <w:uiPriority w:val="67"/>
    <w:rsid w:val="00CC3878"/>
    <w:tblPr>
      <w:tblStyleRowBandSize w:val="1"/>
      <w:tblStyleColBandSize w:val="1"/>
      <w:tblBorders>
        <w:top w:val="single" w:sz="8" w:space="0" w:color="2484E0" w:themeColor="accent1" w:themeTint="BF"/>
        <w:left w:val="single" w:sz="8" w:space="0" w:color="2484E0" w:themeColor="accent1" w:themeTint="BF"/>
        <w:bottom w:val="single" w:sz="8" w:space="0" w:color="2484E0" w:themeColor="accent1" w:themeTint="BF"/>
        <w:right w:val="single" w:sz="8" w:space="0" w:color="2484E0" w:themeColor="accent1" w:themeTint="BF"/>
        <w:insideH w:val="single" w:sz="8" w:space="0" w:color="2484E0" w:themeColor="accent1" w:themeTint="BF"/>
        <w:insideV w:val="single" w:sz="8" w:space="0" w:color="2484E0" w:themeColor="accent1" w:themeTint="BF"/>
      </w:tblBorders>
    </w:tblPr>
    <w:tcPr>
      <w:shd w:val="clear" w:color="auto" w:fill="B6D6F4" w:themeFill="accent1" w:themeFillTint="3F"/>
    </w:tcPr>
    <w:tblStylePr w:type="firstRow">
      <w:rPr>
        <w:b/>
        <w:bCs/>
      </w:rPr>
    </w:tblStylePr>
    <w:tblStylePr w:type="lastRow">
      <w:rPr>
        <w:b/>
        <w:bCs/>
      </w:rPr>
      <w:tblPr/>
      <w:tcPr>
        <w:tcBorders>
          <w:top w:val="single" w:sz="18" w:space="0" w:color="2484E0" w:themeColor="accent1" w:themeTint="BF"/>
        </w:tcBorders>
      </w:tcPr>
    </w:tblStylePr>
    <w:tblStylePr w:type="firstCol">
      <w:rPr>
        <w:b/>
        <w:bCs/>
      </w:rPr>
    </w:tblStylePr>
    <w:tblStylePr w:type="lastCol">
      <w:rPr>
        <w:b/>
        <w:bCs/>
      </w:rPr>
    </w:tblStylePr>
    <w:tblStylePr w:type="band1Vert">
      <w:tblPr/>
      <w:tcPr>
        <w:shd w:val="clear" w:color="auto" w:fill="6DADEA" w:themeFill="accent1" w:themeFillTint="7F"/>
      </w:tcPr>
    </w:tblStylePr>
    <w:tblStylePr w:type="band1Horz">
      <w:tblPr/>
      <w:tcPr>
        <w:shd w:val="clear" w:color="auto" w:fill="6DADEA" w:themeFill="accent1" w:themeFillTint="7F"/>
      </w:tcPr>
    </w:tblStylePr>
  </w:style>
  <w:style w:type="table" w:styleId="MediumGrid1-Accent2">
    <w:name w:val="Medium Grid 1 Accent 2"/>
    <w:basedOn w:val="TableNormal"/>
    <w:uiPriority w:val="67"/>
    <w:rsid w:val="00CC3878"/>
    <w:tblPr>
      <w:tblStyleRowBandSize w:val="1"/>
      <w:tblStyleColBandSize w:val="1"/>
      <w:tblBorders>
        <w:top w:val="single" w:sz="8" w:space="0" w:color="FFD866" w:themeColor="accent2" w:themeTint="BF"/>
        <w:left w:val="single" w:sz="8" w:space="0" w:color="FFD866" w:themeColor="accent2" w:themeTint="BF"/>
        <w:bottom w:val="single" w:sz="8" w:space="0" w:color="FFD866" w:themeColor="accent2" w:themeTint="BF"/>
        <w:right w:val="single" w:sz="8" w:space="0" w:color="FFD866" w:themeColor="accent2" w:themeTint="BF"/>
        <w:insideH w:val="single" w:sz="8" w:space="0" w:color="FFD866" w:themeColor="accent2" w:themeTint="BF"/>
        <w:insideV w:val="single" w:sz="8" w:space="0" w:color="FFD866" w:themeColor="accent2" w:themeTint="BF"/>
      </w:tblBorders>
    </w:tblPr>
    <w:tcPr>
      <w:shd w:val="clear" w:color="auto" w:fill="FFF2CC" w:themeFill="accent2" w:themeFillTint="3F"/>
    </w:tcPr>
    <w:tblStylePr w:type="firstRow">
      <w:rPr>
        <w:b/>
        <w:bCs/>
      </w:rPr>
    </w:tblStylePr>
    <w:tblStylePr w:type="lastRow">
      <w:rPr>
        <w:b/>
        <w:bCs/>
      </w:rPr>
      <w:tblPr/>
      <w:tcPr>
        <w:tcBorders>
          <w:top w:val="single" w:sz="18" w:space="0" w:color="FFD866" w:themeColor="accent2" w:themeTint="BF"/>
        </w:tcBorders>
      </w:tcPr>
    </w:tblStylePr>
    <w:tblStylePr w:type="firstCol">
      <w:rPr>
        <w:b/>
        <w:bCs/>
      </w:rPr>
    </w:tblStylePr>
    <w:tblStylePr w:type="lastCol">
      <w:rPr>
        <w:b/>
        <w:bCs/>
      </w:rPr>
    </w:tblStylePr>
    <w:tblStylePr w:type="band1Vert">
      <w:tblPr/>
      <w:tcPr>
        <w:shd w:val="clear" w:color="auto" w:fill="FFE599" w:themeFill="accent2" w:themeFillTint="7F"/>
      </w:tcPr>
    </w:tblStylePr>
    <w:tblStylePr w:type="band1Horz">
      <w:tblPr/>
      <w:tcPr>
        <w:shd w:val="clear" w:color="auto" w:fill="FFE599" w:themeFill="accent2" w:themeFillTint="7F"/>
      </w:tcPr>
    </w:tblStylePr>
  </w:style>
  <w:style w:type="table" w:styleId="MediumGrid1-Accent3">
    <w:name w:val="Medium Grid 1 Accent 3"/>
    <w:basedOn w:val="TableNormal"/>
    <w:uiPriority w:val="67"/>
    <w:rsid w:val="00CC3878"/>
    <w:tblPr>
      <w:tblStyleRowBandSize w:val="1"/>
      <w:tblStyleColBandSize w:val="1"/>
      <w:tblBorders>
        <w:top w:val="single" w:sz="8" w:space="0" w:color="FF9D40" w:themeColor="accent3" w:themeTint="BF"/>
        <w:left w:val="single" w:sz="8" w:space="0" w:color="FF9D40" w:themeColor="accent3" w:themeTint="BF"/>
        <w:bottom w:val="single" w:sz="8" w:space="0" w:color="FF9D40" w:themeColor="accent3" w:themeTint="BF"/>
        <w:right w:val="single" w:sz="8" w:space="0" w:color="FF9D40" w:themeColor="accent3" w:themeTint="BF"/>
        <w:insideH w:val="single" w:sz="8" w:space="0" w:color="FF9D40" w:themeColor="accent3" w:themeTint="BF"/>
        <w:insideV w:val="single" w:sz="8" w:space="0" w:color="FF9D40" w:themeColor="accent3" w:themeTint="BF"/>
      </w:tblBorders>
    </w:tblPr>
    <w:tcPr>
      <w:shd w:val="clear" w:color="auto" w:fill="FFDEC0" w:themeFill="accent3" w:themeFillTint="3F"/>
    </w:tcPr>
    <w:tblStylePr w:type="firstRow">
      <w:rPr>
        <w:b/>
        <w:bCs/>
      </w:rPr>
    </w:tblStylePr>
    <w:tblStylePr w:type="lastRow">
      <w:rPr>
        <w:b/>
        <w:bCs/>
      </w:rPr>
      <w:tblPr/>
      <w:tcPr>
        <w:tcBorders>
          <w:top w:val="single" w:sz="18" w:space="0" w:color="FF9D40" w:themeColor="accent3" w:themeTint="BF"/>
        </w:tcBorders>
      </w:tcPr>
    </w:tblStylePr>
    <w:tblStylePr w:type="firstCol">
      <w:rPr>
        <w:b/>
        <w:bCs/>
      </w:rPr>
    </w:tblStylePr>
    <w:tblStylePr w:type="lastCol">
      <w:rPr>
        <w:b/>
        <w:bCs/>
      </w:rPr>
    </w:tblStylePr>
    <w:tblStylePr w:type="band1Vert">
      <w:tblPr/>
      <w:tcPr>
        <w:shd w:val="clear" w:color="auto" w:fill="FFBE80" w:themeFill="accent3" w:themeFillTint="7F"/>
      </w:tcPr>
    </w:tblStylePr>
    <w:tblStylePr w:type="band1Horz">
      <w:tblPr/>
      <w:tcPr>
        <w:shd w:val="clear" w:color="auto" w:fill="FFBE80" w:themeFill="accent3" w:themeFillTint="7F"/>
      </w:tcPr>
    </w:tblStylePr>
  </w:style>
  <w:style w:type="table" w:styleId="MediumGrid1-Accent4">
    <w:name w:val="Medium Grid 1 Accent 4"/>
    <w:basedOn w:val="TableNormal"/>
    <w:uiPriority w:val="67"/>
    <w:rsid w:val="00CC3878"/>
    <w:tblPr>
      <w:tblStyleRowBandSize w:val="1"/>
      <w:tblStyleColBandSize w:val="1"/>
      <w:tblBorders>
        <w:top w:val="single" w:sz="8" w:space="0" w:color="DFDEDE" w:themeColor="accent4" w:themeTint="BF"/>
        <w:left w:val="single" w:sz="8" w:space="0" w:color="DFDEDE" w:themeColor="accent4" w:themeTint="BF"/>
        <w:bottom w:val="single" w:sz="8" w:space="0" w:color="DFDEDE" w:themeColor="accent4" w:themeTint="BF"/>
        <w:right w:val="single" w:sz="8" w:space="0" w:color="DFDEDE" w:themeColor="accent4" w:themeTint="BF"/>
        <w:insideH w:val="single" w:sz="8" w:space="0" w:color="DFDEDE" w:themeColor="accent4" w:themeTint="BF"/>
        <w:insideV w:val="single" w:sz="8" w:space="0" w:color="DFDEDE" w:themeColor="accent4" w:themeTint="BF"/>
      </w:tblBorders>
    </w:tblPr>
    <w:tcPr>
      <w:shd w:val="clear" w:color="auto" w:fill="F4F4F4" w:themeFill="accent4" w:themeFillTint="3F"/>
    </w:tcPr>
    <w:tblStylePr w:type="firstRow">
      <w:rPr>
        <w:b/>
        <w:bCs/>
      </w:rPr>
    </w:tblStylePr>
    <w:tblStylePr w:type="lastRow">
      <w:rPr>
        <w:b/>
        <w:bCs/>
      </w:rPr>
      <w:tblPr/>
      <w:tcPr>
        <w:tcBorders>
          <w:top w:val="single" w:sz="18" w:space="0" w:color="DFDEDE" w:themeColor="accent4" w:themeTint="BF"/>
        </w:tcBorders>
      </w:tcPr>
    </w:tblStylePr>
    <w:tblStylePr w:type="firstCol">
      <w:rPr>
        <w:b/>
        <w:bCs/>
      </w:rPr>
    </w:tblStylePr>
    <w:tblStylePr w:type="lastCol">
      <w:rPr>
        <w:b/>
        <w:bCs/>
      </w:rPr>
    </w:tblStylePr>
    <w:tblStylePr w:type="band1Vert">
      <w:tblPr/>
      <w:tcPr>
        <w:shd w:val="clear" w:color="auto" w:fill="EAE9E9" w:themeFill="accent4" w:themeFillTint="7F"/>
      </w:tcPr>
    </w:tblStylePr>
    <w:tblStylePr w:type="band1Horz">
      <w:tblPr/>
      <w:tcPr>
        <w:shd w:val="clear" w:color="auto" w:fill="EAE9E9" w:themeFill="accent4" w:themeFillTint="7F"/>
      </w:tcPr>
    </w:tblStylePr>
  </w:style>
  <w:style w:type="table" w:styleId="MediumGrid1-Accent5">
    <w:name w:val="Medium Grid 1 Accent 5"/>
    <w:basedOn w:val="TableNormal"/>
    <w:uiPriority w:val="67"/>
    <w:rsid w:val="00CC3878"/>
    <w:tblPr>
      <w:tblStyleRowBandSize w:val="1"/>
      <w:tblStyleColBandSize w:val="1"/>
      <w:tblBorders>
        <w:top w:val="single" w:sz="8" w:space="0" w:color="39CDFF" w:themeColor="accent5" w:themeTint="BF"/>
        <w:left w:val="single" w:sz="8" w:space="0" w:color="39CDFF" w:themeColor="accent5" w:themeTint="BF"/>
        <w:bottom w:val="single" w:sz="8" w:space="0" w:color="39CDFF" w:themeColor="accent5" w:themeTint="BF"/>
        <w:right w:val="single" w:sz="8" w:space="0" w:color="39CDFF" w:themeColor="accent5" w:themeTint="BF"/>
        <w:insideH w:val="single" w:sz="8" w:space="0" w:color="39CDFF" w:themeColor="accent5" w:themeTint="BF"/>
        <w:insideV w:val="single" w:sz="8" w:space="0" w:color="39CDFF" w:themeColor="accent5" w:themeTint="BF"/>
      </w:tblBorders>
    </w:tblPr>
    <w:tcPr>
      <w:shd w:val="clear" w:color="auto" w:fill="BDEEFF" w:themeFill="accent5" w:themeFillTint="3F"/>
    </w:tcPr>
    <w:tblStylePr w:type="firstRow">
      <w:rPr>
        <w:b/>
        <w:bCs/>
      </w:rPr>
    </w:tblStylePr>
    <w:tblStylePr w:type="lastRow">
      <w:rPr>
        <w:b/>
        <w:bCs/>
      </w:rPr>
      <w:tblPr/>
      <w:tcPr>
        <w:tcBorders>
          <w:top w:val="single" w:sz="18" w:space="0" w:color="39CDFF" w:themeColor="accent5" w:themeTint="BF"/>
        </w:tcBorders>
      </w:tcPr>
    </w:tblStylePr>
    <w:tblStylePr w:type="firstCol">
      <w:rPr>
        <w:b/>
        <w:bCs/>
      </w:rPr>
    </w:tblStylePr>
    <w:tblStylePr w:type="lastCol">
      <w:rPr>
        <w:b/>
        <w:bCs/>
      </w:rPr>
    </w:tblStylePr>
    <w:tblStylePr w:type="band1Vert">
      <w:tblPr/>
      <w:tcPr>
        <w:shd w:val="clear" w:color="auto" w:fill="7BDDFF" w:themeFill="accent5" w:themeFillTint="7F"/>
      </w:tcPr>
    </w:tblStylePr>
    <w:tblStylePr w:type="band1Horz">
      <w:tblPr/>
      <w:tcPr>
        <w:shd w:val="clear" w:color="auto" w:fill="7BDDFF" w:themeFill="accent5" w:themeFillTint="7F"/>
      </w:tcPr>
    </w:tblStylePr>
  </w:style>
  <w:style w:type="table" w:styleId="MediumGrid1-Accent6">
    <w:name w:val="Medium Grid 1 Accent 6"/>
    <w:basedOn w:val="TableNormal"/>
    <w:uiPriority w:val="67"/>
    <w:rsid w:val="00CC3878"/>
    <w:tblPr>
      <w:tblStyleRowBandSize w:val="1"/>
      <w:tblStyleColBandSize w:val="1"/>
      <w:tblBorders>
        <w:top w:val="single" w:sz="8" w:space="0" w:color="CAFD17" w:themeColor="accent6" w:themeTint="BF"/>
        <w:left w:val="single" w:sz="8" w:space="0" w:color="CAFD17" w:themeColor="accent6" w:themeTint="BF"/>
        <w:bottom w:val="single" w:sz="8" w:space="0" w:color="CAFD17" w:themeColor="accent6" w:themeTint="BF"/>
        <w:right w:val="single" w:sz="8" w:space="0" w:color="CAFD17" w:themeColor="accent6" w:themeTint="BF"/>
        <w:insideH w:val="single" w:sz="8" w:space="0" w:color="CAFD17" w:themeColor="accent6" w:themeTint="BF"/>
        <w:insideV w:val="single" w:sz="8" w:space="0" w:color="CAFD17" w:themeColor="accent6" w:themeTint="BF"/>
      </w:tblBorders>
    </w:tblPr>
    <w:tcPr>
      <w:shd w:val="clear" w:color="auto" w:fill="EDFEB2" w:themeFill="accent6" w:themeFillTint="3F"/>
    </w:tcPr>
    <w:tblStylePr w:type="firstRow">
      <w:rPr>
        <w:b/>
        <w:bCs/>
      </w:rPr>
    </w:tblStylePr>
    <w:tblStylePr w:type="lastRow">
      <w:rPr>
        <w:b/>
        <w:bCs/>
      </w:rPr>
      <w:tblPr/>
      <w:tcPr>
        <w:tcBorders>
          <w:top w:val="single" w:sz="18" w:space="0" w:color="CAFD17" w:themeColor="accent6" w:themeTint="BF"/>
        </w:tcBorders>
      </w:tcPr>
    </w:tblStylePr>
    <w:tblStylePr w:type="firstCol">
      <w:rPr>
        <w:b/>
        <w:bCs/>
      </w:rPr>
    </w:tblStylePr>
    <w:tblStylePr w:type="lastCol">
      <w:rPr>
        <w:b/>
        <w:bCs/>
      </w:rPr>
    </w:tblStylePr>
    <w:tblStylePr w:type="band1Vert">
      <w:tblPr/>
      <w:tcPr>
        <w:shd w:val="clear" w:color="auto" w:fill="DBFE64" w:themeFill="accent6" w:themeFillTint="7F"/>
      </w:tcPr>
    </w:tblStylePr>
    <w:tblStylePr w:type="band1Horz">
      <w:tblPr/>
      <w:tcPr>
        <w:shd w:val="clear" w:color="auto" w:fill="DBFE64" w:themeFill="accent6" w:themeFillTint="7F"/>
      </w:tcPr>
    </w:tblStylePr>
  </w:style>
  <w:style w:type="table" w:styleId="MediumGrid2">
    <w:name w:val="Medium Grid 2"/>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222222" w:themeColor="text1"/>
        <w:left w:val="single" w:sz="8" w:space="0" w:color="222222" w:themeColor="text1"/>
        <w:bottom w:val="single" w:sz="8" w:space="0" w:color="222222" w:themeColor="text1"/>
        <w:right w:val="single" w:sz="8" w:space="0" w:color="222222" w:themeColor="text1"/>
        <w:insideH w:val="single" w:sz="8" w:space="0" w:color="222222" w:themeColor="text1"/>
        <w:insideV w:val="single" w:sz="8" w:space="0" w:color="222222" w:themeColor="text1"/>
      </w:tblBorders>
    </w:tblPr>
    <w:tcPr>
      <w:shd w:val="clear" w:color="auto" w:fill="C8C8C8" w:themeFill="text1" w:themeFillTint="3F"/>
    </w:tcPr>
    <w:tblStylePr w:type="firstRow">
      <w:rPr>
        <w:b/>
        <w:bCs/>
        <w:color w:val="222222" w:themeColor="text1"/>
      </w:rPr>
      <w:tblPr/>
      <w:tcPr>
        <w:shd w:val="clear" w:color="auto" w:fill="E9E9E9" w:themeFill="text1"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D2D2D2" w:themeFill="text1" w:themeFillTint="33"/>
      </w:tcPr>
    </w:tblStylePr>
    <w:tblStylePr w:type="band1Vert">
      <w:tblPr/>
      <w:tcPr>
        <w:shd w:val="clear" w:color="auto" w:fill="909090" w:themeFill="text1" w:themeFillTint="7F"/>
      </w:tcPr>
    </w:tblStylePr>
    <w:tblStylePr w:type="band1Horz">
      <w:tblPr/>
      <w:tcPr>
        <w:tcBorders>
          <w:insideH w:val="single" w:sz="6" w:space="0" w:color="222222" w:themeColor="text1"/>
          <w:insideV w:val="single" w:sz="6" w:space="0" w:color="222222" w:themeColor="text1"/>
        </w:tcBorders>
        <w:shd w:val="clear" w:color="auto" w:fill="90909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165A9B" w:themeColor="accent1"/>
        <w:left w:val="single" w:sz="8" w:space="0" w:color="165A9B" w:themeColor="accent1"/>
        <w:bottom w:val="single" w:sz="8" w:space="0" w:color="165A9B" w:themeColor="accent1"/>
        <w:right w:val="single" w:sz="8" w:space="0" w:color="165A9B" w:themeColor="accent1"/>
        <w:insideH w:val="single" w:sz="8" w:space="0" w:color="165A9B" w:themeColor="accent1"/>
        <w:insideV w:val="single" w:sz="8" w:space="0" w:color="165A9B" w:themeColor="accent1"/>
      </w:tblBorders>
    </w:tblPr>
    <w:tcPr>
      <w:shd w:val="clear" w:color="auto" w:fill="B6D6F4" w:themeFill="accent1" w:themeFillTint="3F"/>
    </w:tcPr>
    <w:tblStylePr w:type="firstRow">
      <w:rPr>
        <w:b/>
        <w:bCs/>
        <w:color w:val="222222" w:themeColor="text1"/>
      </w:rPr>
      <w:tblPr/>
      <w:tcPr>
        <w:shd w:val="clear" w:color="auto" w:fill="E2EEFB" w:themeFill="accent1"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C4DEF6" w:themeFill="accent1" w:themeFillTint="33"/>
      </w:tcPr>
    </w:tblStylePr>
    <w:tblStylePr w:type="band1Vert">
      <w:tblPr/>
      <w:tcPr>
        <w:shd w:val="clear" w:color="auto" w:fill="6DADEA" w:themeFill="accent1" w:themeFillTint="7F"/>
      </w:tcPr>
    </w:tblStylePr>
    <w:tblStylePr w:type="band1Horz">
      <w:tblPr/>
      <w:tcPr>
        <w:tcBorders>
          <w:insideH w:val="single" w:sz="6" w:space="0" w:color="165A9B" w:themeColor="accent1"/>
          <w:insideV w:val="single" w:sz="6" w:space="0" w:color="165A9B" w:themeColor="accent1"/>
        </w:tcBorders>
        <w:shd w:val="clear" w:color="auto" w:fill="6DAD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FFCC33" w:themeColor="accent2"/>
        <w:left w:val="single" w:sz="8" w:space="0" w:color="FFCC33" w:themeColor="accent2"/>
        <w:bottom w:val="single" w:sz="8" w:space="0" w:color="FFCC33" w:themeColor="accent2"/>
        <w:right w:val="single" w:sz="8" w:space="0" w:color="FFCC33" w:themeColor="accent2"/>
        <w:insideH w:val="single" w:sz="8" w:space="0" w:color="FFCC33" w:themeColor="accent2"/>
        <w:insideV w:val="single" w:sz="8" w:space="0" w:color="FFCC33" w:themeColor="accent2"/>
      </w:tblBorders>
    </w:tblPr>
    <w:tcPr>
      <w:shd w:val="clear" w:color="auto" w:fill="FFF2CC" w:themeFill="accent2" w:themeFillTint="3F"/>
    </w:tcPr>
    <w:tblStylePr w:type="firstRow">
      <w:rPr>
        <w:b/>
        <w:bCs/>
        <w:color w:val="222222" w:themeColor="text1"/>
      </w:rPr>
      <w:tblPr/>
      <w:tcPr>
        <w:shd w:val="clear" w:color="auto" w:fill="FFF9EB" w:themeFill="accent2"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FFF4D6" w:themeFill="accent2" w:themeFillTint="33"/>
      </w:tcPr>
    </w:tblStylePr>
    <w:tblStylePr w:type="band1Vert">
      <w:tblPr/>
      <w:tcPr>
        <w:shd w:val="clear" w:color="auto" w:fill="FFE599" w:themeFill="accent2" w:themeFillTint="7F"/>
      </w:tcPr>
    </w:tblStylePr>
    <w:tblStylePr w:type="band1Horz">
      <w:tblPr/>
      <w:tcPr>
        <w:tcBorders>
          <w:insideH w:val="single" w:sz="6" w:space="0" w:color="FFCC33" w:themeColor="accent2"/>
          <w:insideV w:val="single" w:sz="6" w:space="0" w:color="FFCC33" w:themeColor="accent2"/>
        </w:tcBorders>
        <w:shd w:val="clear" w:color="auto" w:fill="FFE59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FF7D00" w:themeColor="accent3"/>
        <w:left w:val="single" w:sz="8" w:space="0" w:color="FF7D00" w:themeColor="accent3"/>
        <w:bottom w:val="single" w:sz="8" w:space="0" w:color="FF7D00" w:themeColor="accent3"/>
        <w:right w:val="single" w:sz="8" w:space="0" w:color="FF7D00" w:themeColor="accent3"/>
        <w:insideH w:val="single" w:sz="8" w:space="0" w:color="FF7D00" w:themeColor="accent3"/>
        <w:insideV w:val="single" w:sz="8" w:space="0" w:color="FF7D00" w:themeColor="accent3"/>
      </w:tblBorders>
    </w:tblPr>
    <w:tcPr>
      <w:shd w:val="clear" w:color="auto" w:fill="FFDEC0" w:themeFill="accent3" w:themeFillTint="3F"/>
    </w:tcPr>
    <w:tblStylePr w:type="firstRow">
      <w:rPr>
        <w:b/>
        <w:bCs/>
        <w:color w:val="222222" w:themeColor="text1"/>
      </w:rPr>
      <w:tblPr/>
      <w:tcPr>
        <w:shd w:val="clear" w:color="auto" w:fill="FFF2E6" w:themeFill="accent3"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FFE5CC" w:themeFill="accent3" w:themeFillTint="33"/>
      </w:tcPr>
    </w:tblStylePr>
    <w:tblStylePr w:type="band1Vert">
      <w:tblPr/>
      <w:tcPr>
        <w:shd w:val="clear" w:color="auto" w:fill="FFBE80" w:themeFill="accent3" w:themeFillTint="7F"/>
      </w:tcPr>
    </w:tblStylePr>
    <w:tblStylePr w:type="band1Horz">
      <w:tblPr/>
      <w:tcPr>
        <w:tcBorders>
          <w:insideH w:val="single" w:sz="6" w:space="0" w:color="FF7D00" w:themeColor="accent3"/>
          <w:insideV w:val="single" w:sz="6" w:space="0" w:color="FF7D00" w:themeColor="accent3"/>
        </w:tcBorders>
        <w:shd w:val="clear" w:color="auto" w:fill="FFBE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D5D4D4" w:themeColor="accent4"/>
        <w:left w:val="single" w:sz="8" w:space="0" w:color="D5D4D4" w:themeColor="accent4"/>
        <w:bottom w:val="single" w:sz="8" w:space="0" w:color="D5D4D4" w:themeColor="accent4"/>
        <w:right w:val="single" w:sz="8" w:space="0" w:color="D5D4D4" w:themeColor="accent4"/>
        <w:insideH w:val="single" w:sz="8" w:space="0" w:color="D5D4D4" w:themeColor="accent4"/>
        <w:insideV w:val="single" w:sz="8" w:space="0" w:color="D5D4D4" w:themeColor="accent4"/>
      </w:tblBorders>
    </w:tblPr>
    <w:tcPr>
      <w:shd w:val="clear" w:color="auto" w:fill="F4F4F4" w:themeFill="accent4" w:themeFillTint="3F"/>
    </w:tcPr>
    <w:tblStylePr w:type="firstRow">
      <w:rPr>
        <w:b/>
        <w:bCs/>
        <w:color w:val="222222" w:themeColor="text1"/>
      </w:rPr>
      <w:tblPr/>
      <w:tcPr>
        <w:shd w:val="clear" w:color="auto" w:fill="FBFAFA" w:themeFill="accent4"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F6F6F6" w:themeFill="accent4" w:themeFillTint="33"/>
      </w:tcPr>
    </w:tblStylePr>
    <w:tblStylePr w:type="band1Vert">
      <w:tblPr/>
      <w:tcPr>
        <w:shd w:val="clear" w:color="auto" w:fill="EAE9E9" w:themeFill="accent4" w:themeFillTint="7F"/>
      </w:tcPr>
    </w:tblStylePr>
    <w:tblStylePr w:type="band1Horz">
      <w:tblPr/>
      <w:tcPr>
        <w:tcBorders>
          <w:insideH w:val="single" w:sz="6" w:space="0" w:color="D5D4D4" w:themeColor="accent4"/>
          <w:insideV w:val="single" w:sz="6" w:space="0" w:color="D5D4D4" w:themeColor="accent4"/>
        </w:tcBorders>
        <w:shd w:val="clear" w:color="auto" w:fill="EAE9E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00B9F6" w:themeColor="accent5"/>
        <w:left w:val="single" w:sz="8" w:space="0" w:color="00B9F6" w:themeColor="accent5"/>
        <w:bottom w:val="single" w:sz="8" w:space="0" w:color="00B9F6" w:themeColor="accent5"/>
        <w:right w:val="single" w:sz="8" w:space="0" w:color="00B9F6" w:themeColor="accent5"/>
        <w:insideH w:val="single" w:sz="8" w:space="0" w:color="00B9F6" w:themeColor="accent5"/>
        <w:insideV w:val="single" w:sz="8" w:space="0" w:color="00B9F6" w:themeColor="accent5"/>
      </w:tblBorders>
    </w:tblPr>
    <w:tcPr>
      <w:shd w:val="clear" w:color="auto" w:fill="BDEEFF" w:themeFill="accent5" w:themeFillTint="3F"/>
    </w:tcPr>
    <w:tblStylePr w:type="firstRow">
      <w:rPr>
        <w:b/>
        <w:bCs/>
        <w:color w:val="222222" w:themeColor="text1"/>
      </w:rPr>
      <w:tblPr/>
      <w:tcPr>
        <w:shd w:val="clear" w:color="auto" w:fill="E5F8FF" w:themeFill="accent5"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CAF1FF" w:themeFill="accent5" w:themeFillTint="33"/>
      </w:tcPr>
    </w:tblStylePr>
    <w:tblStylePr w:type="band1Vert">
      <w:tblPr/>
      <w:tcPr>
        <w:shd w:val="clear" w:color="auto" w:fill="7BDDFF" w:themeFill="accent5" w:themeFillTint="7F"/>
      </w:tcPr>
    </w:tblStylePr>
    <w:tblStylePr w:type="band1Horz">
      <w:tblPr/>
      <w:tcPr>
        <w:tcBorders>
          <w:insideH w:val="single" w:sz="6" w:space="0" w:color="00B9F6" w:themeColor="accent5"/>
          <w:insideV w:val="single" w:sz="6" w:space="0" w:color="00B9F6" w:themeColor="accent5"/>
        </w:tcBorders>
        <w:shd w:val="clear" w:color="auto" w:fill="7BDD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C3878"/>
    <w:rPr>
      <w:rFonts w:asciiTheme="majorHAnsi" w:eastAsiaTheme="majorEastAsia" w:hAnsiTheme="majorHAnsi" w:cstheme="majorBidi"/>
      <w:color w:val="222222" w:themeColor="text1"/>
    </w:rPr>
    <w:tblPr>
      <w:tblStyleRowBandSize w:val="1"/>
      <w:tblStyleColBandSize w:val="1"/>
      <w:tblBorders>
        <w:top w:val="single" w:sz="8" w:space="0" w:color="9AC601" w:themeColor="accent6"/>
        <w:left w:val="single" w:sz="8" w:space="0" w:color="9AC601" w:themeColor="accent6"/>
        <w:bottom w:val="single" w:sz="8" w:space="0" w:color="9AC601" w:themeColor="accent6"/>
        <w:right w:val="single" w:sz="8" w:space="0" w:color="9AC601" w:themeColor="accent6"/>
        <w:insideH w:val="single" w:sz="8" w:space="0" w:color="9AC601" w:themeColor="accent6"/>
        <w:insideV w:val="single" w:sz="8" w:space="0" w:color="9AC601" w:themeColor="accent6"/>
      </w:tblBorders>
    </w:tblPr>
    <w:tcPr>
      <w:shd w:val="clear" w:color="auto" w:fill="EDFEB2" w:themeFill="accent6" w:themeFillTint="3F"/>
    </w:tcPr>
    <w:tblStylePr w:type="firstRow">
      <w:rPr>
        <w:b/>
        <w:bCs/>
        <w:color w:val="222222" w:themeColor="text1"/>
      </w:rPr>
      <w:tblPr/>
      <w:tcPr>
        <w:shd w:val="clear" w:color="auto" w:fill="F8FFE0" w:themeFill="accent6" w:themeFillTint="19"/>
      </w:tcPr>
    </w:tblStylePr>
    <w:tblStylePr w:type="lastRow">
      <w:rPr>
        <w:b/>
        <w:bCs/>
        <w:color w:val="222222" w:themeColor="text1"/>
      </w:rPr>
      <w:tblPr/>
      <w:tcPr>
        <w:tcBorders>
          <w:top w:val="single" w:sz="12" w:space="0" w:color="222222" w:themeColor="text1"/>
          <w:left w:val="nil"/>
          <w:bottom w:val="nil"/>
          <w:right w:val="nil"/>
          <w:insideH w:val="nil"/>
          <w:insideV w:val="nil"/>
        </w:tcBorders>
        <w:shd w:val="clear" w:color="auto" w:fill="FFFFFF" w:themeFill="background1"/>
      </w:tcPr>
    </w:tblStylePr>
    <w:tblStylePr w:type="firstCol">
      <w:rPr>
        <w:b/>
        <w:bCs/>
        <w:color w:val="22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22222" w:themeColor="text1"/>
      </w:rPr>
      <w:tblPr/>
      <w:tcPr>
        <w:tcBorders>
          <w:top w:val="nil"/>
          <w:left w:val="nil"/>
          <w:bottom w:val="nil"/>
          <w:right w:val="nil"/>
          <w:insideH w:val="nil"/>
          <w:insideV w:val="nil"/>
        </w:tcBorders>
        <w:shd w:val="clear" w:color="auto" w:fill="F0FEC0" w:themeFill="accent6" w:themeFillTint="33"/>
      </w:tcPr>
    </w:tblStylePr>
    <w:tblStylePr w:type="band1Vert">
      <w:tblPr/>
      <w:tcPr>
        <w:shd w:val="clear" w:color="auto" w:fill="DBFE64" w:themeFill="accent6" w:themeFillTint="7F"/>
      </w:tcPr>
    </w:tblStylePr>
    <w:tblStylePr w:type="band1Horz">
      <w:tblPr/>
      <w:tcPr>
        <w:tcBorders>
          <w:insideH w:val="single" w:sz="6" w:space="0" w:color="9AC601" w:themeColor="accent6"/>
          <w:insideV w:val="single" w:sz="6" w:space="0" w:color="9AC601" w:themeColor="accent6"/>
        </w:tcBorders>
        <w:shd w:val="clear" w:color="auto" w:fill="DBFE6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8"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909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9090" w:themeFill="text1" w:themeFillTint="7F"/>
      </w:tcPr>
    </w:tblStylePr>
  </w:style>
  <w:style w:type="table" w:styleId="MediumGrid3-Accent1">
    <w:name w:val="Medium Grid 3 Accent 1"/>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65A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65A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65A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65A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AD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ADEA" w:themeFill="accent1" w:themeFillTint="7F"/>
      </w:tcPr>
    </w:tblStylePr>
  </w:style>
  <w:style w:type="table" w:styleId="MediumGrid3-Accent2">
    <w:name w:val="Medium Grid 3 Accent 2"/>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2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C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C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C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C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5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599" w:themeFill="accent2" w:themeFillTint="7F"/>
      </w:tcPr>
    </w:tblStylePr>
  </w:style>
  <w:style w:type="table" w:styleId="MediumGrid3-Accent3">
    <w:name w:val="Medium Grid 3 Accent 3"/>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7D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7D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7D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7D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E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E80" w:themeFill="accent3" w:themeFillTint="7F"/>
      </w:tcPr>
    </w:tblStylePr>
  </w:style>
  <w:style w:type="table" w:styleId="MediumGrid3-Accent4">
    <w:name w:val="Medium Grid 3 Accent 4"/>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4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D4D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D4D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D4D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D4D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E9E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E9E9" w:themeFill="accent4" w:themeFillTint="7F"/>
      </w:tcPr>
    </w:tblStylePr>
  </w:style>
  <w:style w:type="table" w:styleId="MediumGrid3-Accent5">
    <w:name w:val="Medium Grid 3 Accent 5"/>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E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9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9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9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9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D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DFF" w:themeFill="accent5" w:themeFillTint="7F"/>
      </w:tcPr>
    </w:tblStylePr>
  </w:style>
  <w:style w:type="table" w:styleId="MediumGrid3-Accent6">
    <w:name w:val="Medium Grid 3 Accent 6"/>
    <w:basedOn w:val="TableNormal"/>
    <w:uiPriority w:val="69"/>
    <w:rsid w:val="00CC387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EB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C60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C60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C60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C60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E6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E64" w:themeFill="accent6" w:themeFillTint="7F"/>
      </w:tcPr>
    </w:tblStylePr>
  </w:style>
  <w:style w:type="table" w:styleId="TableContemporary">
    <w:name w:val="Table Contemporary"/>
    <w:basedOn w:val="TableNormal"/>
    <w:rsid w:val="00CC3878"/>
    <w:pPr>
      <w:spacing w:line="232"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rsid w:val="00CC3878"/>
    <w:rPr>
      <w:color w:val="FFFFFF" w:themeColor="background1"/>
    </w:rPr>
    <w:tblPr>
      <w:tblStyleRowBandSize w:val="1"/>
      <w:tblStyleColBandSize w:val="1"/>
    </w:tblPr>
    <w:tcPr>
      <w:shd w:val="clear" w:color="auto" w:fill="22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9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91919" w:themeFill="text1" w:themeFillShade="BF"/>
      </w:tcPr>
    </w:tblStylePr>
    <w:tblStylePr w:type="band1Vert">
      <w:tblPr/>
      <w:tcPr>
        <w:tcBorders>
          <w:top w:val="nil"/>
          <w:left w:val="nil"/>
          <w:bottom w:val="nil"/>
          <w:right w:val="nil"/>
          <w:insideH w:val="nil"/>
          <w:insideV w:val="nil"/>
        </w:tcBorders>
        <w:shd w:val="clear" w:color="auto" w:fill="191919" w:themeFill="text1" w:themeFillShade="BF"/>
      </w:tcPr>
    </w:tblStylePr>
    <w:tblStylePr w:type="band1Horz">
      <w:tblPr/>
      <w:tcPr>
        <w:tcBorders>
          <w:top w:val="nil"/>
          <w:left w:val="nil"/>
          <w:bottom w:val="nil"/>
          <w:right w:val="nil"/>
          <w:insideH w:val="nil"/>
          <w:insideV w:val="nil"/>
        </w:tcBorders>
        <w:shd w:val="clear" w:color="auto" w:fill="191919" w:themeFill="text1" w:themeFillShade="BF"/>
      </w:tcPr>
    </w:tblStylePr>
  </w:style>
  <w:style w:type="table" w:styleId="DarkList-Accent1">
    <w:name w:val="Dark List Accent 1"/>
    <w:basedOn w:val="TableNormal"/>
    <w:uiPriority w:val="70"/>
    <w:rsid w:val="00CC3878"/>
    <w:rPr>
      <w:color w:val="FFFFFF" w:themeColor="background1"/>
    </w:rPr>
    <w:tblPr>
      <w:tblStyleRowBandSize w:val="1"/>
      <w:tblStyleColBandSize w:val="1"/>
    </w:tblPr>
    <w:tcPr>
      <w:shd w:val="clear" w:color="auto" w:fill="165A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0B2C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043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04373" w:themeFill="accent1" w:themeFillShade="BF"/>
      </w:tcPr>
    </w:tblStylePr>
    <w:tblStylePr w:type="band1Vert">
      <w:tblPr/>
      <w:tcPr>
        <w:tcBorders>
          <w:top w:val="nil"/>
          <w:left w:val="nil"/>
          <w:bottom w:val="nil"/>
          <w:right w:val="nil"/>
          <w:insideH w:val="nil"/>
          <w:insideV w:val="nil"/>
        </w:tcBorders>
        <w:shd w:val="clear" w:color="auto" w:fill="104373" w:themeFill="accent1" w:themeFillShade="BF"/>
      </w:tcPr>
    </w:tblStylePr>
    <w:tblStylePr w:type="band1Horz">
      <w:tblPr/>
      <w:tcPr>
        <w:tcBorders>
          <w:top w:val="nil"/>
          <w:left w:val="nil"/>
          <w:bottom w:val="nil"/>
          <w:right w:val="nil"/>
          <w:insideH w:val="nil"/>
          <w:insideV w:val="nil"/>
        </w:tcBorders>
        <w:shd w:val="clear" w:color="auto" w:fill="104373" w:themeFill="accent1" w:themeFillShade="BF"/>
      </w:tcPr>
    </w:tblStylePr>
  </w:style>
  <w:style w:type="table" w:styleId="DarkList-Accent2">
    <w:name w:val="Dark List Accent 2"/>
    <w:basedOn w:val="TableNormal"/>
    <w:uiPriority w:val="70"/>
    <w:rsid w:val="00CC3878"/>
    <w:rPr>
      <w:color w:val="FFFFFF" w:themeColor="background1"/>
    </w:rPr>
    <w:tblPr>
      <w:tblStyleRowBandSize w:val="1"/>
      <w:tblStyleColBandSize w:val="1"/>
    </w:tblPr>
    <w:tcPr>
      <w:shd w:val="clear" w:color="auto" w:fill="FFCC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9872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5AB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5AB00" w:themeFill="accent2" w:themeFillShade="BF"/>
      </w:tcPr>
    </w:tblStylePr>
    <w:tblStylePr w:type="band1Vert">
      <w:tblPr/>
      <w:tcPr>
        <w:tcBorders>
          <w:top w:val="nil"/>
          <w:left w:val="nil"/>
          <w:bottom w:val="nil"/>
          <w:right w:val="nil"/>
          <w:insideH w:val="nil"/>
          <w:insideV w:val="nil"/>
        </w:tcBorders>
        <w:shd w:val="clear" w:color="auto" w:fill="E5AB00" w:themeFill="accent2" w:themeFillShade="BF"/>
      </w:tcPr>
    </w:tblStylePr>
    <w:tblStylePr w:type="band1Horz">
      <w:tblPr/>
      <w:tcPr>
        <w:tcBorders>
          <w:top w:val="nil"/>
          <w:left w:val="nil"/>
          <w:bottom w:val="nil"/>
          <w:right w:val="nil"/>
          <w:insideH w:val="nil"/>
          <w:insideV w:val="nil"/>
        </w:tcBorders>
        <w:shd w:val="clear" w:color="auto" w:fill="E5AB00" w:themeFill="accent2" w:themeFillShade="BF"/>
      </w:tcPr>
    </w:tblStylePr>
  </w:style>
  <w:style w:type="table" w:styleId="DarkList-Accent3">
    <w:name w:val="Dark List Accent 3"/>
    <w:basedOn w:val="TableNormal"/>
    <w:uiPriority w:val="70"/>
    <w:rsid w:val="00CC3878"/>
    <w:rPr>
      <w:color w:val="FFFFFF" w:themeColor="background1"/>
    </w:rPr>
    <w:tblPr>
      <w:tblStyleRowBandSize w:val="1"/>
      <w:tblStyleColBandSize w:val="1"/>
    </w:tblPr>
    <w:tcPr>
      <w:shd w:val="clear" w:color="auto" w:fill="FF7D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7F3E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D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D00" w:themeFill="accent3" w:themeFillShade="BF"/>
      </w:tcPr>
    </w:tblStylePr>
    <w:tblStylePr w:type="band1Vert">
      <w:tblPr/>
      <w:tcPr>
        <w:tcBorders>
          <w:top w:val="nil"/>
          <w:left w:val="nil"/>
          <w:bottom w:val="nil"/>
          <w:right w:val="nil"/>
          <w:insideH w:val="nil"/>
          <w:insideV w:val="nil"/>
        </w:tcBorders>
        <w:shd w:val="clear" w:color="auto" w:fill="BF5D00" w:themeFill="accent3" w:themeFillShade="BF"/>
      </w:tcPr>
    </w:tblStylePr>
    <w:tblStylePr w:type="band1Horz">
      <w:tblPr/>
      <w:tcPr>
        <w:tcBorders>
          <w:top w:val="nil"/>
          <w:left w:val="nil"/>
          <w:bottom w:val="nil"/>
          <w:right w:val="nil"/>
          <w:insideH w:val="nil"/>
          <w:insideV w:val="nil"/>
        </w:tcBorders>
        <w:shd w:val="clear" w:color="auto" w:fill="BF5D00" w:themeFill="accent3" w:themeFillShade="BF"/>
      </w:tcPr>
    </w:tblStylePr>
  </w:style>
  <w:style w:type="table" w:styleId="DarkList-Accent4">
    <w:name w:val="Dark List Accent 4"/>
    <w:basedOn w:val="TableNormal"/>
    <w:uiPriority w:val="70"/>
    <w:rsid w:val="00CC3878"/>
    <w:rPr>
      <w:color w:val="FFFFFF" w:themeColor="background1"/>
    </w:rPr>
    <w:tblPr>
      <w:tblStyleRowBandSize w:val="1"/>
      <w:tblStyleColBandSize w:val="1"/>
    </w:tblPr>
    <w:tcPr>
      <w:shd w:val="clear" w:color="auto" w:fill="D5D4D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6B686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09E9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09E9E" w:themeFill="accent4" w:themeFillShade="BF"/>
      </w:tcPr>
    </w:tblStylePr>
    <w:tblStylePr w:type="band1Vert">
      <w:tblPr/>
      <w:tcPr>
        <w:tcBorders>
          <w:top w:val="nil"/>
          <w:left w:val="nil"/>
          <w:bottom w:val="nil"/>
          <w:right w:val="nil"/>
          <w:insideH w:val="nil"/>
          <w:insideV w:val="nil"/>
        </w:tcBorders>
        <w:shd w:val="clear" w:color="auto" w:fill="A09E9E" w:themeFill="accent4" w:themeFillShade="BF"/>
      </w:tcPr>
    </w:tblStylePr>
    <w:tblStylePr w:type="band1Horz">
      <w:tblPr/>
      <w:tcPr>
        <w:tcBorders>
          <w:top w:val="nil"/>
          <w:left w:val="nil"/>
          <w:bottom w:val="nil"/>
          <w:right w:val="nil"/>
          <w:insideH w:val="nil"/>
          <w:insideV w:val="nil"/>
        </w:tcBorders>
        <w:shd w:val="clear" w:color="auto" w:fill="A09E9E" w:themeFill="accent4" w:themeFillShade="BF"/>
      </w:tcPr>
    </w:tblStylePr>
  </w:style>
  <w:style w:type="table" w:styleId="DarkList-Accent5">
    <w:name w:val="Dark List Accent 5"/>
    <w:basedOn w:val="TableNormal"/>
    <w:uiPriority w:val="70"/>
    <w:rsid w:val="00CC3878"/>
    <w:rPr>
      <w:color w:val="FFFFFF" w:themeColor="background1"/>
    </w:rPr>
    <w:tblPr>
      <w:tblStyleRowBandSize w:val="1"/>
      <w:tblStyleColBandSize w:val="1"/>
    </w:tblPr>
    <w:tcPr>
      <w:shd w:val="clear" w:color="auto" w:fill="00B9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005B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9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9B8" w:themeFill="accent5" w:themeFillShade="BF"/>
      </w:tcPr>
    </w:tblStylePr>
    <w:tblStylePr w:type="band1Vert">
      <w:tblPr/>
      <w:tcPr>
        <w:tcBorders>
          <w:top w:val="nil"/>
          <w:left w:val="nil"/>
          <w:bottom w:val="nil"/>
          <w:right w:val="nil"/>
          <w:insideH w:val="nil"/>
          <w:insideV w:val="nil"/>
        </w:tcBorders>
        <w:shd w:val="clear" w:color="auto" w:fill="0089B8" w:themeFill="accent5" w:themeFillShade="BF"/>
      </w:tcPr>
    </w:tblStylePr>
    <w:tblStylePr w:type="band1Horz">
      <w:tblPr/>
      <w:tcPr>
        <w:tcBorders>
          <w:top w:val="nil"/>
          <w:left w:val="nil"/>
          <w:bottom w:val="nil"/>
          <w:right w:val="nil"/>
          <w:insideH w:val="nil"/>
          <w:insideV w:val="nil"/>
        </w:tcBorders>
        <w:shd w:val="clear" w:color="auto" w:fill="0089B8" w:themeFill="accent5" w:themeFillShade="BF"/>
      </w:tcPr>
    </w:tblStylePr>
  </w:style>
  <w:style w:type="table" w:styleId="DarkList-Accent6">
    <w:name w:val="Dark List Accent 6"/>
    <w:basedOn w:val="TableNormal"/>
    <w:uiPriority w:val="70"/>
    <w:rsid w:val="00CC3878"/>
    <w:rPr>
      <w:color w:val="FFFFFF" w:themeColor="background1"/>
    </w:rPr>
    <w:tblPr>
      <w:tblStyleRowBandSize w:val="1"/>
      <w:tblStyleColBandSize w:val="1"/>
    </w:tblPr>
    <w:tcPr>
      <w:shd w:val="clear" w:color="auto" w:fill="9AC60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22222" w:themeFill="text1"/>
      </w:tcPr>
    </w:tblStylePr>
    <w:tblStylePr w:type="lastRow">
      <w:tblPr/>
      <w:tcPr>
        <w:tcBorders>
          <w:top w:val="single" w:sz="18" w:space="0" w:color="FFFFFF" w:themeColor="background1"/>
          <w:left w:val="nil"/>
          <w:bottom w:val="nil"/>
          <w:right w:val="nil"/>
          <w:insideH w:val="nil"/>
          <w:insideV w:val="nil"/>
        </w:tcBorders>
        <w:shd w:val="clear" w:color="auto" w:fill="4C62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39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39400" w:themeFill="accent6" w:themeFillShade="BF"/>
      </w:tcPr>
    </w:tblStylePr>
    <w:tblStylePr w:type="band1Vert">
      <w:tblPr/>
      <w:tcPr>
        <w:tcBorders>
          <w:top w:val="nil"/>
          <w:left w:val="nil"/>
          <w:bottom w:val="nil"/>
          <w:right w:val="nil"/>
          <w:insideH w:val="nil"/>
          <w:insideV w:val="nil"/>
        </w:tcBorders>
        <w:shd w:val="clear" w:color="auto" w:fill="739400" w:themeFill="accent6" w:themeFillShade="BF"/>
      </w:tcPr>
    </w:tblStylePr>
    <w:tblStylePr w:type="band1Horz">
      <w:tblPr/>
      <w:tcPr>
        <w:tcBorders>
          <w:top w:val="nil"/>
          <w:left w:val="nil"/>
          <w:bottom w:val="nil"/>
          <w:right w:val="nil"/>
          <w:insideH w:val="nil"/>
          <w:insideV w:val="nil"/>
        </w:tcBorders>
        <w:shd w:val="clear" w:color="auto" w:fill="739400" w:themeFill="accent6" w:themeFillShade="BF"/>
      </w:tcPr>
    </w:tblStylePr>
  </w:style>
  <w:style w:type="paragraph" w:styleId="NormalWeb">
    <w:name w:val="Normal (Web)"/>
    <w:basedOn w:val="Normal"/>
    <w:rsid w:val="00CC3878"/>
    <w:rPr>
      <w:szCs w:val="24"/>
    </w:rPr>
  </w:style>
  <w:style w:type="paragraph" w:styleId="NormalIndent">
    <w:name w:val="Normal Indent"/>
    <w:basedOn w:val="Normal"/>
    <w:rsid w:val="00CC3878"/>
    <w:pPr>
      <w:ind w:left="1304"/>
    </w:pPr>
  </w:style>
  <w:style w:type="paragraph" w:styleId="ListNumber">
    <w:name w:val="List Number"/>
    <w:basedOn w:val="Normal"/>
    <w:rsid w:val="00CC3878"/>
    <w:pPr>
      <w:numPr>
        <w:numId w:val="12"/>
      </w:numPr>
      <w:contextualSpacing/>
    </w:pPr>
  </w:style>
  <w:style w:type="paragraph" w:styleId="ListNumber2">
    <w:name w:val="List Number 2"/>
    <w:basedOn w:val="Normal"/>
    <w:rsid w:val="00CC3878"/>
    <w:pPr>
      <w:numPr>
        <w:numId w:val="13"/>
      </w:numPr>
      <w:contextualSpacing/>
    </w:pPr>
  </w:style>
  <w:style w:type="paragraph" w:styleId="ListNumber3">
    <w:name w:val="List Number 3"/>
    <w:basedOn w:val="Normal"/>
    <w:rsid w:val="00CC3878"/>
    <w:pPr>
      <w:numPr>
        <w:numId w:val="14"/>
      </w:numPr>
      <w:contextualSpacing/>
    </w:pPr>
  </w:style>
  <w:style w:type="paragraph" w:styleId="ListNumber4">
    <w:name w:val="List Number 4"/>
    <w:basedOn w:val="Normal"/>
    <w:rsid w:val="00CC3878"/>
    <w:pPr>
      <w:numPr>
        <w:numId w:val="15"/>
      </w:numPr>
      <w:contextualSpacing/>
    </w:pPr>
  </w:style>
  <w:style w:type="paragraph" w:styleId="ListNumber5">
    <w:name w:val="List Number 5"/>
    <w:basedOn w:val="Normal"/>
    <w:rsid w:val="00CC3878"/>
    <w:pPr>
      <w:numPr>
        <w:numId w:val="16"/>
      </w:numPr>
      <w:contextualSpacing/>
    </w:pPr>
  </w:style>
  <w:style w:type="paragraph" w:styleId="PlainText">
    <w:name w:val="Plain Text"/>
    <w:basedOn w:val="Normal"/>
    <w:link w:val="PlainTextChar"/>
    <w:rsid w:val="00CC3878"/>
    <w:rPr>
      <w:rFonts w:ascii="Consolas" w:hAnsi="Consolas" w:cs="Consolas"/>
      <w:sz w:val="21"/>
      <w:szCs w:val="21"/>
    </w:rPr>
  </w:style>
  <w:style w:type="character" w:customStyle="1" w:styleId="PlainTextChar">
    <w:name w:val="Plain Text Char"/>
    <w:basedOn w:val="DefaultParagraphFont"/>
    <w:link w:val="PlainText"/>
    <w:rsid w:val="00CC3878"/>
    <w:rPr>
      <w:rFonts w:ascii="Consolas" w:hAnsi="Consolas" w:cs="Consolas"/>
      <w:sz w:val="21"/>
      <w:szCs w:val="21"/>
      <w:lang w:val="pl-PL"/>
    </w:rPr>
  </w:style>
  <w:style w:type="character" w:styleId="PlaceholderText">
    <w:name w:val="Placeholder Text"/>
    <w:basedOn w:val="DefaultParagraphFont"/>
    <w:uiPriority w:val="99"/>
    <w:semiHidden/>
    <w:rsid w:val="00CC3878"/>
    <w:rPr>
      <w:color w:val="808080"/>
      <w:lang w:val="pl-PL"/>
    </w:rPr>
  </w:style>
  <w:style w:type="table" w:styleId="TableProfessional">
    <w:name w:val="Table Professional"/>
    <w:basedOn w:val="TableNormal"/>
    <w:rsid w:val="00CC3878"/>
    <w:pPr>
      <w:spacing w:line="232"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rsid w:val="00CC3878"/>
    <w:pPr>
      <w:numPr>
        <w:numId w:val="1"/>
      </w:numPr>
      <w:contextualSpacing/>
    </w:pPr>
  </w:style>
  <w:style w:type="paragraph" w:styleId="ListBullet2">
    <w:name w:val="List Bullet 2"/>
    <w:basedOn w:val="Normal"/>
    <w:rsid w:val="00CC3878"/>
    <w:pPr>
      <w:numPr>
        <w:numId w:val="2"/>
      </w:numPr>
      <w:contextualSpacing/>
    </w:pPr>
  </w:style>
  <w:style w:type="paragraph" w:styleId="ListBullet3">
    <w:name w:val="List Bullet 3"/>
    <w:basedOn w:val="Normal"/>
    <w:rsid w:val="00CC3878"/>
    <w:pPr>
      <w:numPr>
        <w:numId w:val="3"/>
      </w:numPr>
      <w:contextualSpacing/>
    </w:pPr>
  </w:style>
  <w:style w:type="paragraph" w:styleId="ListBullet4">
    <w:name w:val="List Bullet 4"/>
    <w:basedOn w:val="Normal"/>
    <w:rsid w:val="00CC3878"/>
    <w:pPr>
      <w:numPr>
        <w:numId w:val="17"/>
      </w:numPr>
      <w:contextualSpacing/>
    </w:pPr>
  </w:style>
  <w:style w:type="paragraph" w:styleId="ListBullet5">
    <w:name w:val="List Bullet 5"/>
    <w:basedOn w:val="Normal"/>
    <w:rsid w:val="00CC3878"/>
    <w:pPr>
      <w:numPr>
        <w:numId w:val="18"/>
      </w:numPr>
      <w:contextualSpacing/>
    </w:pPr>
  </w:style>
  <w:style w:type="character" w:styleId="LineNumber">
    <w:name w:val="line number"/>
    <w:basedOn w:val="DefaultParagraphFont"/>
    <w:rsid w:val="00CC3878"/>
    <w:rPr>
      <w:lang w:val="pl-PL"/>
    </w:rPr>
  </w:style>
  <w:style w:type="paragraph" w:styleId="Title">
    <w:name w:val="Title"/>
    <w:basedOn w:val="Normal"/>
    <w:next w:val="Normal"/>
    <w:link w:val="TitleChar"/>
    <w:qFormat/>
    <w:rsid w:val="00CC3878"/>
    <w:pPr>
      <w:pBdr>
        <w:bottom w:val="single" w:sz="8" w:space="4" w:color="165A9B" w:themeColor="accent1"/>
      </w:pBdr>
      <w:spacing w:after="300"/>
      <w:contextualSpacing/>
    </w:pPr>
    <w:rPr>
      <w:rFonts w:asciiTheme="majorHAnsi" w:eastAsiaTheme="majorEastAsia" w:hAnsiTheme="majorHAnsi" w:cstheme="majorBidi"/>
      <w:color w:val="061829" w:themeColor="text2" w:themeShade="BF"/>
      <w:spacing w:val="5"/>
      <w:kern w:val="28"/>
      <w:sz w:val="52"/>
      <w:szCs w:val="52"/>
    </w:rPr>
  </w:style>
  <w:style w:type="character" w:customStyle="1" w:styleId="TitleChar">
    <w:name w:val="Title Char"/>
    <w:basedOn w:val="DefaultParagraphFont"/>
    <w:link w:val="Title"/>
    <w:rsid w:val="00CC3878"/>
    <w:rPr>
      <w:rFonts w:asciiTheme="majorHAnsi" w:eastAsiaTheme="majorEastAsia" w:hAnsiTheme="majorHAnsi" w:cstheme="majorBidi"/>
      <w:color w:val="061829" w:themeColor="text2" w:themeShade="BF"/>
      <w:spacing w:val="5"/>
      <w:kern w:val="28"/>
      <w:sz w:val="52"/>
      <w:szCs w:val="52"/>
      <w:lang w:val="pl-PL"/>
    </w:rPr>
  </w:style>
  <w:style w:type="character" w:customStyle="1" w:styleId="Heading2Char">
    <w:name w:val="Heading 2 Char"/>
    <w:basedOn w:val="DefaultParagraphFont"/>
    <w:link w:val="Heading2"/>
    <w:rsid w:val="00374F47"/>
    <w:rPr>
      <w:rFonts w:eastAsiaTheme="majorEastAsia" w:cstheme="majorBidi"/>
      <w:b/>
      <w:bCs/>
      <w:sz w:val="24"/>
      <w:szCs w:val="26"/>
    </w:rPr>
  </w:style>
  <w:style w:type="character" w:customStyle="1" w:styleId="Heading3Char">
    <w:name w:val="Heading 3 Char"/>
    <w:basedOn w:val="DefaultParagraphFont"/>
    <w:link w:val="Heading3"/>
    <w:rsid w:val="00374F47"/>
    <w:rPr>
      <w:rFonts w:asciiTheme="majorHAnsi" w:eastAsiaTheme="majorEastAsia" w:hAnsiTheme="majorHAnsi" w:cstheme="majorBidi"/>
      <w:b/>
      <w:bCs/>
      <w:color w:val="165A9B" w:themeColor="accent1"/>
      <w:sz w:val="24"/>
    </w:rPr>
  </w:style>
  <w:style w:type="character" w:customStyle="1" w:styleId="Heading4Char">
    <w:name w:val="Heading 4 Char"/>
    <w:basedOn w:val="DefaultParagraphFont"/>
    <w:link w:val="Heading4"/>
    <w:semiHidden/>
    <w:rsid w:val="00CC3878"/>
    <w:rPr>
      <w:rFonts w:asciiTheme="majorHAnsi" w:eastAsiaTheme="majorEastAsia" w:hAnsiTheme="majorHAnsi" w:cstheme="majorBidi"/>
      <w:b/>
      <w:bCs/>
      <w:i/>
      <w:iCs/>
      <w:color w:val="165A9B" w:themeColor="accent1"/>
      <w:sz w:val="19"/>
      <w:lang w:val="pl-PL"/>
    </w:rPr>
  </w:style>
  <w:style w:type="character" w:customStyle="1" w:styleId="Heading5Char">
    <w:name w:val="Heading 5 Char"/>
    <w:basedOn w:val="DefaultParagraphFont"/>
    <w:link w:val="Heading5"/>
    <w:semiHidden/>
    <w:rsid w:val="00CC3878"/>
    <w:rPr>
      <w:rFonts w:asciiTheme="majorHAnsi" w:eastAsiaTheme="majorEastAsia" w:hAnsiTheme="majorHAnsi" w:cstheme="majorBidi"/>
      <w:color w:val="0B2C4D" w:themeColor="accent1" w:themeShade="7F"/>
      <w:sz w:val="19"/>
      <w:lang w:val="pl-PL"/>
    </w:rPr>
  </w:style>
  <w:style w:type="character" w:customStyle="1" w:styleId="Heading6Char">
    <w:name w:val="Heading 6 Char"/>
    <w:basedOn w:val="DefaultParagraphFont"/>
    <w:link w:val="Heading6"/>
    <w:semiHidden/>
    <w:rsid w:val="00CC3878"/>
    <w:rPr>
      <w:rFonts w:asciiTheme="majorHAnsi" w:eastAsiaTheme="majorEastAsia" w:hAnsiTheme="majorHAnsi" w:cstheme="majorBidi"/>
      <w:i/>
      <w:iCs/>
      <w:color w:val="0B2C4D" w:themeColor="accent1" w:themeShade="7F"/>
      <w:sz w:val="19"/>
      <w:lang w:val="pl-PL"/>
    </w:rPr>
  </w:style>
  <w:style w:type="character" w:customStyle="1" w:styleId="Heading7Char">
    <w:name w:val="Heading 7 Char"/>
    <w:basedOn w:val="DefaultParagraphFont"/>
    <w:link w:val="Heading7"/>
    <w:semiHidden/>
    <w:rsid w:val="00CC3878"/>
    <w:rPr>
      <w:rFonts w:asciiTheme="majorHAnsi" w:eastAsiaTheme="majorEastAsia" w:hAnsiTheme="majorHAnsi" w:cstheme="majorBidi"/>
      <w:i/>
      <w:iCs/>
      <w:color w:val="595959" w:themeColor="text1" w:themeTint="BF"/>
      <w:sz w:val="19"/>
      <w:lang w:val="pl-PL"/>
    </w:rPr>
  </w:style>
  <w:style w:type="character" w:customStyle="1" w:styleId="Heading8Char">
    <w:name w:val="Heading 8 Char"/>
    <w:basedOn w:val="DefaultParagraphFont"/>
    <w:link w:val="Heading8"/>
    <w:semiHidden/>
    <w:rsid w:val="00CC3878"/>
    <w:rPr>
      <w:rFonts w:asciiTheme="majorHAnsi" w:eastAsiaTheme="majorEastAsia" w:hAnsiTheme="majorHAnsi" w:cstheme="majorBidi"/>
      <w:color w:val="595959" w:themeColor="text1" w:themeTint="BF"/>
      <w:lang w:val="pl-PL"/>
    </w:rPr>
  </w:style>
  <w:style w:type="character" w:customStyle="1" w:styleId="Heading9Char">
    <w:name w:val="Heading 9 Char"/>
    <w:basedOn w:val="DefaultParagraphFont"/>
    <w:link w:val="Heading9"/>
    <w:semiHidden/>
    <w:rsid w:val="00CC3878"/>
    <w:rPr>
      <w:rFonts w:asciiTheme="majorHAnsi" w:eastAsiaTheme="majorEastAsia" w:hAnsiTheme="majorHAnsi" w:cstheme="majorBidi"/>
      <w:i/>
      <w:iCs/>
      <w:color w:val="595959" w:themeColor="text1" w:themeTint="BF"/>
      <w:lang w:val="pl-PL"/>
    </w:rPr>
  </w:style>
  <w:style w:type="paragraph" w:styleId="EndnoteText">
    <w:name w:val="endnote text"/>
    <w:basedOn w:val="Normal"/>
    <w:link w:val="EndnoteTextChar"/>
    <w:rsid w:val="00CC3878"/>
    <w:rPr>
      <w:sz w:val="20"/>
    </w:rPr>
  </w:style>
  <w:style w:type="character" w:customStyle="1" w:styleId="EndnoteTextChar">
    <w:name w:val="Endnote Text Char"/>
    <w:basedOn w:val="DefaultParagraphFont"/>
    <w:link w:val="EndnoteText"/>
    <w:rsid w:val="00CC3878"/>
    <w:rPr>
      <w:lang w:val="pl-PL"/>
    </w:rPr>
  </w:style>
  <w:style w:type="character" w:styleId="EndnoteReference">
    <w:name w:val="endnote reference"/>
    <w:basedOn w:val="DefaultParagraphFont"/>
    <w:rsid w:val="00CC3878"/>
    <w:rPr>
      <w:vertAlign w:val="superscript"/>
      <w:lang w:val="pl-PL"/>
    </w:rPr>
  </w:style>
  <w:style w:type="table" w:styleId="TableClassic1">
    <w:name w:val="Table Classic 1"/>
    <w:basedOn w:val="TableNormal"/>
    <w:rsid w:val="00CC3878"/>
    <w:pPr>
      <w:spacing w:line="232"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C3878"/>
    <w:pPr>
      <w:spacing w:line="232"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C3878"/>
    <w:pPr>
      <w:spacing w:line="232"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C3878"/>
    <w:pPr>
      <w:spacing w:line="232"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rong">
    <w:name w:val="Strong"/>
    <w:basedOn w:val="DefaultParagraphFont"/>
    <w:qFormat/>
    <w:rsid w:val="00CC3878"/>
    <w:rPr>
      <w:b/>
      <w:bCs/>
      <w:lang w:val="pl-PL"/>
    </w:rPr>
  </w:style>
  <w:style w:type="character" w:styleId="IntenseEmphasis">
    <w:name w:val="Intense Emphasis"/>
    <w:basedOn w:val="DefaultParagraphFont"/>
    <w:uiPriority w:val="21"/>
    <w:qFormat/>
    <w:rsid w:val="00CC3878"/>
    <w:rPr>
      <w:b/>
      <w:bCs/>
      <w:i/>
      <w:iCs/>
      <w:color w:val="165A9B" w:themeColor="accent1"/>
      <w:lang w:val="pl-PL"/>
    </w:rPr>
  </w:style>
  <w:style w:type="character" w:styleId="IntenseReference">
    <w:name w:val="Intense Reference"/>
    <w:basedOn w:val="DefaultParagraphFont"/>
    <w:uiPriority w:val="32"/>
    <w:qFormat/>
    <w:rsid w:val="00CC3878"/>
    <w:rPr>
      <w:b/>
      <w:bCs/>
      <w:smallCaps/>
      <w:color w:val="FFCC33" w:themeColor="accent2"/>
      <w:spacing w:val="5"/>
      <w:u w:val="single"/>
      <w:lang w:val="pl-PL"/>
    </w:rPr>
  </w:style>
  <w:style w:type="paragraph" w:styleId="IntenseQuote">
    <w:name w:val="Intense Quote"/>
    <w:basedOn w:val="Normal"/>
    <w:next w:val="Normal"/>
    <w:link w:val="IntenseQuoteChar"/>
    <w:uiPriority w:val="30"/>
    <w:qFormat/>
    <w:rsid w:val="00CC3878"/>
    <w:pPr>
      <w:pBdr>
        <w:bottom w:val="single" w:sz="4" w:space="4" w:color="165A9B" w:themeColor="accent1"/>
      </w:pBdr>
      <w:spacing w:before="200" w:after="280"/>
      <w:ind w:left="936" w:right="936"/>
    </w:pPr>
    <w:rPr>
      <w:b/>
      <w:bCs/>
      <w:i/>
      <w:iCs/>
      <w:color w:val="165A9B" w:themeColor="accent1"/>
    </w:rPr>
  </w:style>
  <w:style w:type="character" w:customStyle="1" w:styleId="IntenseQuoteChar">
    <w:name w:val="Intense Quote Char"/>
    <w:basedOn w:val="DefaultParagraphFont"/>
    <w:link w:val="IntenseQuote"/>
    <w:uiPriority w:val="30"/>
    <w:rsid w:val="00CC3878"/>
    <w:rPr>
      <w:b/>
      <w:bCs/>
      <w:i/>
      <w:iCs/>
      <w:color w:val="165A9B" w:themeColor="accent1"/>
      <w:sz w:val="19"/>
      <w:lang w:val="pl-PL"/>
    </w:rPr>
  </w:style>
  <w:style w:type="table" w:styleId="Table3Deffects1">
    <w:name w:val="Table 3D effects 1"/>
    <w:basedOn w:val="TableNormal"/>
    <w:rsid w:val="00CC3878"/>
    <w:pPr>
      <w:spacing w:line="232"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C3878"/>
    <w:pPr>
      <w:spacing w:line="232"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C3878"/>
    <w:pPr>
      <w:spacing w:line="232"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CC3878"/>
    <w:pPr>
      <w:spacing w:line="232"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C3878"/>
    <w:pPr>
      <w:spacing w:line="232"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C3878"/>
    <w:pPr>
      <w:spacing w:line="232"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C3878"/>
    <w:pPr>
      <w:spacing w:line="232"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C3878"/>
    <w:pPr>
      <w:spacing w:line="232"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CC3878"/>
    <w:pPr>
      <w:spacing w:line="232"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C3878"/>
    <w:pPr>
      <w:spacing w:line="232"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C3878"/>
    <w:pPr>
      <w:spacing w:line="232"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C3878"/>
    <w:pPr>
      <w:spacing w:line="232"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C3878"/>
    <w:pPr>
      <w:spacing w:line="232"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C3878"/>
    <w:pPr>
      <w:spacing w:line="232"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C3878"/>
    <w:pPr>
      <w:spacing w:line="232"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C3878"/>
    <w:pPr>
      <w:spacing w:line="232"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rsid w:val="00CC3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CC3878"/>
    <w:pPr>
      <w:spacing w:line="232"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C3878"/>
    <w:pPr>
      <w:spacing w:line="232"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C3878"/>
    <w:pPr>
      <w:spacing w:line="232"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C3878"/>
    <w:pPr>
      <w:spacing w:line="232"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C3878"/>
    <w:pPr>
      <w:spacing w:line="232"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C3878"/>
    <w:pPr>
      <w:spacing w:line="232"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C3878"/>
    <w:pPr>
      <w:spacing w:line="232"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C3878"/>
    <w:pPr>
      <w:spacing w:line="232"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rsid w:val="00CC3878"/>
    <w:pPr>
      <w:spacing w:line="232"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CC3878"/>
    <w:pPr>
      <w:numPr>
        <w:ilvl w:val="1"/>
      </w:numPr>
    </w:pPr>
    <w:rPr>
      <w:rFonts w:asciiTheme="majorHAnsi" w:eastAsiaTheme="majorEastAsia" w:hAnsiTheme="majorHAnsi" w:cstheme="majorBidi"/>
      <w:i/>
      <w:iCs/>
      <w:color w:val="165A9B" w:themeColor="accent1"/>
      <w:spacing w:val="15"/>
      <w:szCs w:val="24"/>
    </w:rPr>
  </w:style>
  <w:style w:type="character" w:customStyle="1" w:styleId="SubtitleChar">
    <w:name w:val="Subtitle Char"/>
    <w:basedOn w:val="DefaultParagraphFont"/>
    <w:link w:val="Subtitle"/>
    <w:rsid w:val="00CC3878"/>
    <w:rPr>
      <w:rFonts w:asciiTheme="majorHAnsi" w:eastAsiaTheme="majorEastAsia" w:hAnsiTheme="majorHAnsi" w:cstheme="majorBidi"/>
      <w:i/>
      <w:iCs/>
      <w:color w:val="165A9B" w:themeColor="accent1"/>
      <w:spacing w:val="15"/>
      <w:sz w:val="24"/>
      <w:szCs w:val="24"/>
      <w:lang w:val="pl-PL"/>
    </w:rPr>
  </w:style>
  <w:style w:type="table" w:styleId="TableWeb1">
    <w:name w:val="Table Web 1"/>
    <w:basedOn w:val="TableNormal"/>
    <w:rsid w:val="00CC3878"/>
    <w:pPr>
      <w:spacing w:line="232"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C3878"/>
    <w:pPr>
      <w:spacing w:line="232"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C3878"/>
    <w:pPr>
      <w:spacing w:line="232"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lutandelinje">
    <w:name w:val="Avslutande_linje"/>
    <w:qFormat/>
    <w:rsid w:val="00DF0413"/>
    <w:pPr>
      <w:pBdr>
        <w:bottom w:val="single" w:sz="6" w:space="1" w:color="auto"/>
      </w:pBdr>
      <w:spacing w:before="30" w:after="60"/>
      <w:ind w:right="5783"/>
    </w:pPr>
    <w:rPr>
      <w:sz w:val="24"/>
    </w:rPr>
  </w:style>
  <w:style w:type="paragraph" w:customStyle="1" w:styleId="StyleTitelrubrikBefore20pt">
    <w:name w:val="Style Titelrubrik + Before:  20 pt"/>
    <w:basedOn w:val="Normal"/>
    <w:rsid w:val="00507C2A"/>
    <w:rPr>
      <w:b/>
      <w:sz w:val="40"/>
    </w:rPr>
  </w:style>
  <w:style w:type="paragraph" w:styleId="Revision">
    <w:name w:val="Revision"/>
    <w:hidden/>
    <w:uiPriority w:val="99"/>
    <w:semiHidden/>
    <w:rsid w:val="003C57B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olismallar\nationella\pol_pmfs_tillgang.dotm" TargetMode="Externa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AB0AA-E1AE-4BC8-A671-A298269A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pol_pmfs_tillgang.dotm</Template>
  <TotalTime>3</TotalTime>
  <Pages>11</Pages>
  <Words>3498</Words>
  <Characters>19240</Characters>
  <Application>Microsoft Office Word</Application>
  <DocSecurity>0</DocSecurity>
  <Lines>160</Lines>
  <Paragraphs>45</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Polismyndighetens författningssamling</vt:lpstr>
      <vt:lpstr>RPSFS, författningssamling</vt:lpstr>
      <vt:lpstr>RPSFS, författningssamling</vt:lpstr>
    </vt:vector>
  </TitlesOfParts>
  <Company>Polismyndigheten</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Polismyndighetens författningssamling</dc:title>
  <dc:subject>Polismyndighetens föreskrifter och allmänna råd  om besiktning av tivolianordningar ;</dc:subject>
  <dc:creator>NN</dc:creator>
  <cp:keywords>PMFS 2026:XX, FAP 513-1, beslutsdatum X 2026., 2002-0139</cp:keywords>
  <cp:lastModifiedBy>Eftimia PAPADAKIS</cp:lastModifiedBy>
  <cp:revision>6</cp:revision>
  <cp:lastPrinted>2021-06-07T07:02:00Z</cp:lastPrinted>
  <dcterms:created xsi:type="dcterms:W3CDTF">2026-02-12T09:31:00Z</dcterms:created>
  <dcterms:modified xsi:type="dcterms:W3CDTF">2026-02-19T08:14:00Z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Dokumenttyp">
    <vt:lpwstr>PMFS</vt:lpwstr>
  </property>
  <property fmtid="{D5CDD505-2E9C-101B-9397-08002B2CF9AE}" pid="3" name="EK_Malltyp">
    <vt:lpwstr>PMFS</vt:lpwstr>
  </property>
  <property fmtid="{D5CDD505-2E9C-101B-9397-08002B2CF9AE}" pid="4" name="EK_Info">
    <vt:lpwstr>pol_info_pmfs_tillgang.dot</vt:lpwstr>
  </property>
  <property fmtid="{D5CDD505-2E9C-101B-9397-08002B2CF9AE}" pid="5" name="Pol_saved">
    <vt:lpwstr>yes</vt:lpwstr>
  </property>
  <property fmtid="{D5CDD505-2E9C-101B-9397-08002B2CF9AE}" pid="6" name="EK_Varna_Ändring_Sidhuvud">
    <vt:lpwstr>ja</vt:lpwstr>
  </property>
  <property fmtid="{D5CDD505-2E9C-101B-9397-08002B2CF9AE}" pid="7" name="EK_Varna_Ändring_Rubrik">
    <vt:lpwstr>ja</vt:lpwstr>
  </property>
  <property fmtid="{D5CDD505-2E9C-101B-9397-08002B2CF9AE}" pid="8" name="EK_saved">
    <vt:lpwstr>yes</vt:lpwstr>
  </property>
  <property fmtid="{D5CDD505-2E9C-101B-9397-08002B2CF9AE}" pid="9" name="EK_Language">
    <vt:lpwstr>3</vt:lpwstr>
  </property>
  <property fmtid="{D5CDD505-2E9C-101B-9397-08002B2CF9AE}" pid="10" name="SG_Landskod">
    <vt:lpwstr>SE</vt:lpwstr>
  </property>
  <property fmtid="{D5CDD505-2E9C-101B-9397-08002B2CF9AE}" pid="11" name="SG_PMFSId">
    <vt:lpwstr>2026:XX</vt:lpwstr>
  </property>
  <property fmtid="{D5CDD505-2E9C-101B-9397-08002B2CF9AE}" pid="12" name="Prodok_saved">
    <vt:lpwstr>yes</vt:lpwstr>
  </property>
  <property fmtid="{D5CDD505-2E9C-101B-9397-08002B2CF9AE}" pid="13" name="EK_Beslutare_Standard">
    <vt:lpwstr>Petra Lundh</vt:lpwstr>
  </property>
  <property fmtid="{D5CDD505-2E9C-101B-9397-08002B2CF9AE}" pid="14" name="EK_PubliceringsInfo">
    <vt:lpwstr>ja</vt:lpwstr>
  </property>
  <property fmtid="{D5CDD505-2E9C-101B-9397-08002B2CF9AE}" pid="15" name="EK_Styrdok_klassning">
    <vt:lpwstr>Styrdokument</vt:lpwstr>
  </property>
  <property fmtid="{D5CDD505-2E9C-101B-9397-08002B2CF9AE}" pid="16" name="SG_Dokumentbet">
    <vt:lpwstr>2026:XX</vt:lpwstr>
  </property>
  <property fmtid="{D5CDD505-2E9C-101B-9397-08002B2CF9AE}" pid="17" name="SG_Sak">
    <vt:lpwstr>föreskrifter och allmänna råd om om besiktning av tivolianordningar</vt:lpwstr>
  </property>
  <property fmtid="{D5CDD505-2E9C-101B-9397-08002B2CF9AE}" pid="18" name="SG_Beslutsdatum">
    <vt:lpwstr>X 2026.</vt:lpwstr>
  </property>
  <property fmtid="{D5CDD505-2E9C-101B-9397-08002B2CF9AE}" pid="19" name="SG_FAPId">
    <vt:lpwstr>513-1</vt:lpwstr>
  </property>
  <property fmtid="{D5CDD505-2E9C-101B-9397-08002B2CF9AE}" pid="20" name="SG_Titel">
    <vt:lpwstr>Polismyndighetens författningssamling</vt:lpwstr>
  </property>
  <property fmtid="{D5CDD505-2E9C-101B-9397-08002B2CF9AE}" pid="21" name="SG_Handläggare">
    <vt:lpwstr>NN</vt:lpwstr>
  </property>
  <property fmtid="{D5CDD505-2E9C-101B-9397-08002B2CF9AE}" pid="22" name="SG_Division">
    <vt:lpwstr>Nationella operativa avdelningen</vt:lpwstr>
  </property>
  <property fmtid="{D5CDD505-2E9C-101B-9397-08002B2CF9AE}" pid="23" name="SG_Beslutande">
    <vt:lpwstr>Petra Lundh</vt:lpwstr>
  </property>
  <property fmtid="{D5CDD505-2E9C-101B-9397-08002B2CF9AE}" pid="24" name="SG_Bemyndigande">
    <vt:lpwstr>11 § förordningen om besiktning av tivolianordningar</vt:lpwstr>
  </property>
  <property fmtid="{D5CDD505-2E9C-101B-9397-08002B2CF9AE}" pid="25" name="Pol_kopplad_mall">
    <vt:lpwstr>pol_pmfs_tillgang.dotm</vt:lpwstr>
  </property>
  <property fmtid="{D5CDD505-2E9C-101B-9397-08002B2CF9AE}" pid="26" name="EK_Org_kort">
    <vt:lpwstr>pol</vt:lpwstr>
  </property>
  <property fmtid="{D5CDD505-2E9C-101B-9397-08002B2CF9AE}" pid="27" name="EK_Datum_Publ_Kontroll">
    <vt:lpwstr>2026-02-02</vt:lpwstr>
  </property>
  <property fmtid="{D5CDD505-2E9C-101B-9397-08002B2CF9AE}" pid="28" name="EK_RemoteStart">
    <vt:lpwstr>ja</vt:lpwstr>
  </property>
  <property fmtid="{D5CDD505-2E9C-101B-9397-08002B2CF9AE}" pid="29" name="SG_ISSNnr">
    <vt:lpwstr>2002-0139</vt:lpwstr>
  </property>
  <property fmtid="{D5CDD505-2E9C-101B-9397-08002B2CF9AE}" pid="30" name="SG_AnsvUtgivare">
    <vt:lpwstr>Gunilla Hedwall</vt:lpwstr>
  </property>
  <property fmtid="{D5CDD505-2E9C-101B-9397-08002B2CF9AE}" pid="31" name="SG_UtkomFranTrycket">
    <vt:lpwstr/>
  </property>
  <property fmtid="{D5CDD505-2E9C-101B-9397-08002B2CF9AE}" pid="32" name="EK_PLS_ALLMRAD_Normerad">
    <vt:lpwstr>ja</vt:lpwstr>
  </property>
  <property fmtid="{D5CDD505-2E9C-101B-9397-08002B2CF9AE}" pid="33" name="EK_PLN_ALLMRAD_Normerad">
    <vt:lpwstr>ja</vt:lpwstr>
  </property>
</Properties>
</file>