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Tai mašininis vertimas.</w:t>
      </w:r>
    </w:p>
    <w:p w14:paraId="48A46481" w14:textId="77777777">
      <w:pPr>
        <w:pStyle w:val="P68B1DB1-Title1"/>
        <w:spacing w:before="0"/>
        <w:ind w:left="0"/>
      </w:pPr>
    </w:p>
    <w:p w14:paraId="5DDBFD33" w14:textId="3AD4A40E">
      <w:pPr>
        <w:pStyle w:val="P68B1DB1-Title1"/>
        <w:spacing w:before="0"/>
        <w:ind w:left="0"/>
      </w:pPr>
      <w:r>
        <w:t xml:space="preserve">Su Direktyva (ES) 2015/1535 susijusi jurisprudencija</w:t>
      </w:r>
    </w:p>
    <w:p w14:paraId="5AFCD03C" w14:textId="77777777">
      <w:pPr>
        <w:pStyle w:val="BodyText"/>
      </w:pPr>
    </w:p>
    <w:p w14:paraId="55805DA1" w14:textId="3A3D4AA9">
      <w:pPr>
        <w:pStyle w:val="BodyText"/>
      </w:pPr>
      <w:r>
        <w:t xml:space="preserve">Šiame dokumente nurodomi pagrindiniai Europos Sąjungos Teisingumo Teismo sprendimai ir nutartys dėl Direktyvos (ES) 2015/1535, kuria nustatoma informacijos apie techninius reglamentus ir informacinės visuomenės paslaugų taisykles teikimo tvarka, taikymo srities ir taikymo. Jos tikslas – būti gairėmis valstybių narių administracijoms, pramonei ir piliečiams.</w:t>
      </w:r>
    </w:p>
    <w:p w14:paraId="4F3E66AE" w14:textId="77777777">
      <w:pPr>
        <w:pStyle w:val="BodyText"/>
        <w:rPr>
          <w:sz w:val="22"/>
          <w:szCs w:val="18"/>
        </w:rPr>
      </w:pPr>
    </w:p>
    <w:p w14:paraId="53D6EBA0" w14:textId="77777777">
      <w:pPr>
        <w:pStyle w:val="BodyText"/>
      </w:pPr>
      <w:r>
        <w:t xml:space="preserve">Kadangi šis dokumentas nėra baigtinis, kai kurie susiję sprendimai gali būti neįtraukti.</w:t>
      </w:r>
    </w:p>
    <w:p w14:paraId="771A43E5" w14:textId="77777777">
      <w:pPr>
        <w:pStyle w:val="BodyText"/>
      </w:pPr>
    </w:p>
    <w:p w14:paraId="45186CE0" w14:textId="45ABA22D">
      <w:pPr>
        <w:pStyle w:val="BodyText"/>
      </w:pPr>
      <w:r>
        <w:t xml:space="preserve">Sprendimai pateikiami chronologine tvarka, o dokumentą sudaro keturios dalys:</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Sprendimai, kurių ištraukos buvo pateiktos šiame dokumente, yra susiję su vėlesnėmis direktyvomis, nustatančiomis informacijos apie techninius reglamentus teikimo tvarką. Toliau pateiktoje lygiavertiškumo lentelėje parodytas jų pagrindinių nuostatų tęstinumas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Pagrindinių nuostatų lygiavertiškumo lentelė </w:t>
      </w:r>
    </w:p>
    <w:p w14:paraId="74F41B86" w14:textId="7258661E">
      <w:pPr>
        <w:pStyle w:val="P68B1DB1-Normal5"/>
        <w:spacing w:after="0" w:line="240" w:lineRule="auto"/>
        <w:jc w:val="center"/>
        <w:rPr>
          <w:bCs/>
        </w:rPr>
      </w:pPr>
      <w:r>
        <w:t xml:space="preserve">Direktyvos (ES) 2015/1535, 98/34/EB ir 83/189/EEB</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Nuostatų turinys</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Direktyva (ES)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Direktyva 98/34/EB</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Direktyva 83/189/EEB</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„Produktų“ apibrėžtis</w:t>
            </w:r>
          </w:p>
        </w:tc>
        <w:tc>
          <w:tcPr>
            <w:tcW w:w="2457" w:type="dxa"/>
          </w:tcPr>
          <w:p w14:paraId="4A418F3D" w14:textId="11CADE6C">
            <w:pPr>
              <w:pStyle w:val="P68B1DB1-Normal7"/>
              <w:spacing w:line="240" w:lineRule="auto"/>
            </w:pPr>
            <w:r>
              <w:t xml:space="preserve">1 straipsnio 1 dalies a punktas</w:t>
            </w:r>
          </w:p>
        </w:tc>
        <w:tc>
          <w:tcPr>
            <w:tcW w:w="2315" w:type="dxa"/>
          </w:tcPr>
          <w:p w14:paraId="5020F0EC" w14:textId="29FBC8B8">
            <w:pPr>
              <w:pStyle w:val="P68B1DB1-Normal7"/>
              <w:spacing w:line="240" w:lineRule="auto"/>
            </w:pPr>
            <w:r>
              <w:t xml:space="preserve">1 straipsnio 1 dalis</w:t>
            </w:r>
          </w:p>
        </w:tc>
        <w:tc>
          <w:tcPr>
            <w:tcW w:w="2315" w:type="dxa"/>
          </w:tcPr>
          <w:p w14:paraId="1AC77ECE" w14:textId="6BC392C6">
            <w:pPr>
              <w:pStyle w:val="P68B1DB1-Normal7"/>
              <w:spacing w:line="240" w:lineRule="auto"/>
            </w:pPr>
            <w:r>
              <w:t xml:space="preserve">1 straipsnio 7 dalis</w:t>
            </w:r>
          </w:p>
        </w:tc>
      </w:tr>
      <w:tr w14:paraId="4F3F95AF" w14:textId="77777777">
        <w:trPr>
          <w:trHeight w:val="599"/>
        </w:trPr>
        <w:tc>
          <w:tcPr>
            <w:tcW w:w="3119" w:type="dxa"/>
          </w:tcPr>
          <w:p w14:paraId="42CDA066" w14:textId="77777777">
            <w:pPr>
              <w:pStyle w:val="P68B1DB1-Normal7"/>
              <w:spacing w:line="240" w:lineRule="auto"/>
            </w:pPr>
            <w:r>
              <w:t xml:space="preserve">„Paslaugų“ apibrėžtis</w:t>
            </w:r>
          </w:p>
        </w:tc>
        <w:tc>
          <w:tcPr>
            <w:tcW w:w="2457" w:type="dxa"/>
          </w:tcPr>
          <w:p w14:paraId="658F3867" w14:textId="6E2F4A98">
            <w:pPr>
              <w:pStyle w:val="P68B1DB1-Normal7"/>
              <w:spacing w:line="240" w:lineRule="auto"/>
            </w:pPr>
            <w:r>
              <w:t xml:space="preserve">1 straipsnio 1 dalies b punktas</w:t>
            </w:r>
          </w:p>
        </w:tc>
        <w:tc>
          <w:tcPr>
            <w:tcW w:w="2315" w:type="dxa"/>
          </w:tcPr>
          <w:p w14:paraId="4273AEF8" w14:textId="51C8B937">
            <w:pPr>
              <w:pStyle w:val="P68B1DB1-Normal7"/>
              <w:spacing w:line="240" w:lineRule="auto"/>
            </w:pPr>
            <w:r>
              <w:t xml:space="preserve">1 straipsnio 2 dalis</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„Techninės specifikacijos“ apibrėžtis</w:t>
            </w:r>
          </w:p>
        </w:tc>
        <w:tc>
          <w:tcPr>
            <w:tcW w:w="2457" w:type="dxa"/>
          </w:tcPr>
          <w:p w14:paraId="1CD6781C" w14:textId="4816FB95">
            <w:pPr>
              <w:pStyle w:val="P68B1DB1-Normal7"/>
              <w:spacing w:line="240" w:lineRule="auto"/>
            </w:pPr>
            <w:r>
              <w:t xml:space="preserve">1 straipsnio 1 dalies c punktas</w:t>
            </w:r>
          </w:p>
        </w:tc>
        <w:tc>
          <w:tcPr>
            <w:tcW w:w="2315" w:type="dxa"/>
          </w:tcPr>
          <w:p w14:paraId="6ACA8AFC" w14:textId="5CBBFC47">
            <w:pPr>
              <w:pStyle w:val="P68B1DB1-Normal7"/>
              <w:spacing w:line="240" w:lineRule="auto"/>
            </w:pPr>
            <w:r>
              <w:t xml:space="preserve">1 straipsnio 3 dalis</w:t>
            </w:r>
          </w:p>
        </w:tc>
        <w:tc>
          <w:tcPr>
            <w:tcW w:w="2315" w:type="dxa"/>
          </w:tcPr>
          <w:p w14:paraId="7742C3F4" w14:textId="668574B6">
            <w:pPr>
              <w:pStyle w:val="P68B1DB1-Normal7"/>
              <w:spacing w:line="240" w:lineRule="auto"/>
            </w:pPr>
            <w:r>
              <w:t xml:space="preserve">1 straipsnio 1 dalis</w:t>
            </w:r>
          </w:p>
        </w:tc>
      </w:tr>
      <w:tr w14:paraId="39DCA993" w14:textId="77777777">
        <w:trPr>
          <w:trHeight w:val="599"/>
        </w:trPr>
        <w:tc>
          <w:tcPr>
            <w:tcW w:w="3119" w:type="dxa"/>
          </w:tcPr>
          <w:p w14:paraId="412D2403" w14:textId="77777777">
            <w:pPr>
              <w:pStyle w:val="P68B1DB1-Normal7"/>
              <w:spacing w:line="240" w:lineRule="auto"/>
            </w:pPr>
            <w:r>
              <w:t xml:space="preserve">„Kitų reikalavimų“ apibrėžtis</w:t>
            </w:r>
          </w:p>
        </w:tc>
        <w:tc>
          <w:tcPr>
            <w:tcW w:w="2457" w:type="dxa"/>
          </w:tcPr>
          <w:p w14:paraId="7BCB4CC5" w14:textId="4C804DFA">
            <w:pPr>
              <w:pStyle w:val="P68B1DB1-Normal7"/>
              <w:spacing w:line="240" w:lineRule="auto"/>
            </w:pPr>
            <w:r>
              <w:t xml:space="preserve">1 straipsnio 1 dalies d punktas</w:t>
            </w:r>
          </w:p>
        </w:tc>
        <w:tc>
          <w:tcPr>
            <w:tcW w:w="2315" w:type="dxa"/>
          </w:tcPr>
          <w:p w14:paraId="414D1EEC" w14:textId="18CAA0FE">
            <w:pPr>
              <w:pStyle w:val="P68B1DB1-Normal7"/>
              <w:spacing w:line="240" w:lineRule="auto"/>
            </w:pPr>
            <w:r>
              <w:t xml:space="preserve">1 straipsnio 4 dalis</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„Paslaugų taisyklės“ apibrėžtis</w:t>
            </w:r>
          </w:p>
        </w:tc>
        <w:tc>
          <w:tcPr>
            <w:tcW w:w="2457" w:type="dxa"/>
          </w:tcPr>
          <w:p w14:paraId="136F7BB7" w14:textId="4AA67A90">
            <w:pPr>
              <w:pStyle w:val="P68B1DB1-Normal7"/>
              <w:spacing w:line="240" w:lineRule="auto"/>
            </w:pPr>
            <w:r>
              <w:t xml:space="preserve">1 straipsnio 1 dalies e punktas</w:t>
            </w:r>
          </w:p>
        </w:tc>
        <w:tc>
          <w:tcPr>
            <w:tcW w:w="2315" w:type="dxa"/>
          </w:tcPr>
          <w:p w14:paraId="36E9CD4F" w14:textId="1B75247A">
            <w:pPr>
              <w:pStyle w:val="P68B1DB1-Normal7"/>
              <w:spacing w:line="240" w:lineRule="auto"/>
            </w:pPr>
            <w:r>
              <w:t xml:space="preserve">1 straipsnio 5 dalis</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Sąvoka „techninis reglamentas“</w:t>
            </w:r>
          </w:p>
        </w:tc>
        <w:tc>
          <w:tcPr>
            <w:tcW w:w="2457" w:type="dxa"/>
          </w:tcPr>
          <w:p w14:paraId="46C85599" w14:textId="1342B29E">
            <w:pPr>
              <w:pStyle w:val="P68B1DB1-Normal7"/>
              <w:spacing w:line="240" w:lineRule="auto"/>
            </w:pPr>
            <w:r>
              <w:t xml:space="preserve">1 straipsnio 1 dalies f punktas</w:t>
            </w:r>
          </w:p>
        </w:tc>
        <w:tc>
          <w:tcPr>
            <w:tcW w:w="2315" w:type="dxa"/>
          </w:tcPr>
          <w:p w14:paraId="0E88B9E2" w14:textId="31F951B8">
            <w:pPr>
              <w:pStyle w:val="P68B1DB1-Normal7"/>
              <w:spacing w:line="240" w:lineRule="auto"/>
            </w:pPr>
            <w:r>
              <w:t xml:space="preserve">1 straipsnio 11 dalis</w:t>
            </w:r>
          </w:p>
        </w:tc>
        <w:tc>
          <w:tcPr>
            <w:tcW w:w="2315" w:type="dxa"/>
          </w:tcPr>
          <w:p w14:paraId="2E4FCAC6" w14:textId="1930FF48">
            <w:pPr>
              <w:pStyle w:val="P68B1DB1-Normal7"/>
              <w:spacing w:line="240" w:lineRule="auto"/>
            </w:pPr>
            <w:r>
              <w:t xml:space="preserve">1 straipsnio 5 dalis</w:t>
            </w:r>
          </w:p>
        </w:tc>
      </w:tr>
      <w:tr w14:paraId="0C829266" w14:textId="77777777">
        <w:trPr>
          <w:trHeight w:val="599"/>
        </w:trPr>
        <w:tc>
          <w:tcPr>
            <w:tcW w:w="3119" w:type="dxa"/>
          </w:tcPr>
          <w:p w14:paraId="2E36B6FC" w14:textId="77777777">
            <w:pPr>
              <w:pStyle w:val="P68B1DB1-Normal7"/>
              <w:spacing w:line="240" w:lineRule="auto"/>
            </w:pPr>
            <w:r>
              <w:t xml:space="preserve">Pranešimo pareiga</w:t>
            </w:r>
          </w:p>
        </w:tc>
        <w:tc>
          <w:tcPr>
            <w:tcW w:w="2457" w:type="dxa"/>
          </w:tcPr>
          <w:p w14:paraId="04169FF7" w14:textId="77777777">
            <w:pPr>
              <w:pStyle w:val="P68B1DB1-Normal7"/>
              <w:spacing w:line="240" w:lineRule="auto"/>
            </w:pPr>
            <w:r>
              <w:t xml:space="preserve">5 straipsnio 1 dalies pirmas sakinys</w:t>
            </w:r>
          </w:p>
        </w:tc>
        <w:tc>
          <w:tcPr>
            <w:tcW w:w="2315" w:type="dxa"/>
          </w:tcPr>
          <w:p w14:paraId="730385F8" w14:textId="77777777">
            <w:pPr>
              <w:pStyle w:val="P68B1DB1-Normal7"/>
              <w:spacing w:line="240" w:lineRule="auto"/>
            </w:pPr>
            <w:r>
              <w:t xml:space="preserve">8 straipsnio 1 dalies pirmas sakinys</w:t>
            </w:r>
          </w:p>
        </w:tc>
        <w:tc>
          <w:tcPr>
            <w:tcW w:w="2315" w:type="dxa"/>
          </w:tcPr>
          <w:p w14:paraId="6937609F" w14:textId="5A2377E0">
            <w:pPr>
              <w:pStyle w:val="P68B1DB1-Normal8"/>
              <w:spacing w:line="240" w:lineRule="auto"/>
            </w:pPr>
            <w:r>
              <w:t xml:space="preserve">8 straipsnio 1 dalis</w:t>
            </w:r>
          </w:p>
        </w:tc>
      </w:tr>
      <w:tr w14:paraId="4472DE96" w14:textId="77777777">
        <w:trPr>
          <w:trHeight w:val="599"/>
        </w:trPr>
        <w:tc>
          <w:tcPr>
            <w:tcW w:w="3119" w:type="dxa"/>
          </w:tcPr>
          <w:p w14:paraId="08371658" w14:textId="2AE2569B">
            <w:pPr>
              <w:pStyle w:val="P68B1DB1-Normal7"/>
              <w:spacing w:line="240" w:lineRule="auto"/>
            </w:pPr>
            <w:r>
              <w:t xml:space="preserve">Pranešimas apie pagrindines arba susijusias nuostatas</w:t>
            </w:r>
          </w:p>
        </w:tc>
        <w:tc>
          <w:tcPr>
            <w:tcW w:w="2457" w:type="dxa"/>
          </w:tcPr>
          <w:p w14:paraId="4460E5CA" w14:textId="77777777">
            <w:pPr>
              <w:pStyle w:val="P68B1DB1-Normal7"/>
              <w:spacing w:line="240" w:lineRule="auto"/>
            </w:pPr>
            <w:r>
              <w:t xml:space="preserve">5 straipsnio 1 dalies antras sakinys</w:t>
            </w:r>
          </w:p>
        </w:tc>
        <w:tc>
          <w:tcPr>
            <w:tcW w:w="2315" w:type="dxa"/>
          </w:tcPr>
          <w:p w14:paraId="545C5C96" w14:textId="77777777">
            <w:pPr>
              <w:pStyle w:val="P68B1DB1-Normal7"/>
              <w:spacing w:line="240" w:lineRule="auto"/>
            </w:pPr>
            <w:r>
              <w:t xml:space="preserve">8 straipsnio 1 dalies antras sakinys</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Pakartotinis pranešimas atidėjimo laikotarpiu</w:t>
            </w:r>
          </w:p>
        </w:tc>
        <w:tc>
          <w:tcPr>
            <w:tcW w:w="2457" w:type="dxa"/>
          </w:tcPr>
          <w:p w14:paraId="65494BDB" w14:textId="77777777">
            <w:pPr>
              <w:pStyle w:val="P68B1DB1-Normal7"/>
              <w:spacing w:line="240" w:lineRule="auto"/>
            </w:pPr>
            <w:r>
              <w:t xml:space="preserve">5 straipsnio 1 dalies trečias sakinys</w:t>
            </w:r>
          </w:p>
        </w:tc>
        <w:tc>
          <w:tcPr>
            <w:tcW w:w="2315" w:type="dxa"/>
          </w:tcPr>
          <w:p w14:paraId="47F0091E" w14:textId="77777777">
            <w:pPr>
              <w:pStyle w:val="P68B1DB1-Normal7"/>
              <w:spacing w:line="240" w:lineRule="auto"/>
            </w:pPr>
            <w:r>
              <w:t xml:space="preserve">8 straipsnio 1 dalies trečias sakinys</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Atidėjimo laikotarpis</w:t>
            </w:r>
          </w:p>
        </w:tc>
        <w:tc>
          <w:tcPr>
            <w:tcW w:w="2457" w:type="dxa"/>
          </w:tcPr>
          <w:p w14:paraId="0FDAA36A" w14:textId="77777777">
            <w:pPr>
              <w:pStyle w:val="P68B1DB1-Normal7"/>
              <w:spacing w:line="240" w:lineRule="auto"/>
            </w:pPr>
            <w:r>
              <w:t xml:space="preserve">6 straipsnis</w:t>
            </w:r>
          </w:p>
        </w:tc>
        <w:tc>
          <w:tcPr>
            <w:tcW w:w="2315" w:type="dxa"/>
          </w:tcPr>
          <w:p w14:paraId="51BBC4E4" w14:textId="77777777">
            <w:pPr>
              <w:pStyle w:val="P68B1DB1-Normal7"/>
              <w:spacing w:line="240" w:lineRule="auto"/>
            </w:pPr>
            <w:r>
              <w:t xml:space="preserve">9 straipsnis</w:t>
            </w:r>
          </w:p>
        </w:tc>
        <w:tc>
          <w:tcPr>
            <w:tcW w:w="2315" w:type="dxa"/>
          </w:tcPr>
          <w:p w14:paraId="2B7D3F30" w14:textId="77777777">
            <w:pPr>
              <w:pStyle w:val="P68B1DB1-Normal8"/>
              <w:spacing w:line="240" w:lineRule="auto"/>
            </w:pPr>
            <w:r>
              <w:t xml:space="preserve">9 straipsnis</w:t>
            </w:r>
          </w:p>
        </w:tc>
      </w:tr>
      <w:tr w14:paraId="31FCCE62" w14:textId="77777777">
        <w:trPr>
          <w:trHeight w:val="599"/>
        </w:trPr>
        <w:tc>
          <w:tcPr>
            <w:tcW w:w="3119" w:type="dxa"/>
          </w:tcPr>
          <w:p w14:paraId="067F46A1" w14:textId="77777777">
            <w:pPr>
              <w:pStyle w:val="P68B1DB1-Normal7"/>
              <w:spacing w:line="240" w:lineRule="auto"/>
            </w:pPr>
            <w:r>
              <w:t xml:space="preserve">Pranešimo ir neveikimo pareigų išimtys</w:t>
            </w:r>
          </w:p>
        </w:tc>
        <w:tc>
          <w:tcPr>
            <w:tcW w:w="2457" w:type="dxa"/>
          </w:tcPr>
          <w:p w14:paraId="5BC53094" w14:textId="77777777">
            <w:pPr>
              <w:pStyle w:val="P68B1DB1-Normal7"/>
              <w:spacing w:line="240" w:lineRule="auto"/>
            </w:pPr>
            <w:r>
              <w:t xml:space="preserve">7 straipsnis</w:t>
            </w:r>
          </w:p>
        </w:tc>
        <w:tc>
          <w:tcPr>
            <w:tcW w:w="2315" w:type="dxa"/>
          </w:tcPr>
          <w:p w14:paraId="36E59068" w14:textId="77777777">
            <w:pPr>
              <w:pStyle w:val="P68B1DB1-Normal7"/>
              <w:spacing w:line="240" w:lineRule="auto"/>
            </w:pPr>
            <w:r>
              <w:t xml:space="preserve">10 straipsnis</w:t>
            </w:r>
          </w:p>
        </w:tc>
        <w:tc>
          <w:tcPr>
            <w:tcW w:w="2315" w:type="dxa"/>
          </w:tcPr>
          <w:p w14:paraId="1FE1BC2D" w14:textId="77777777">
            <w:pPr>
              <w:pStyle w:val="P68B1DB1-Normal8"/>
              <w:spacing w:line="240" w:lineRule="auto"/>
            </w:pPr>
            <w:r>
              <w:t xml:space="preserve">10 straipsnis</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 xml:space="preserve">Atsakomybės apribojimas</w:t>
      </w:r>
    </w:p>
    <w:p w14:paraId="0CB71D4E" w14:textId="7BF1CD8D">
      <w:pPr>
        <w:jc w:val="both"/>
        <w:rPr>
          <w:rFonts w:ascii="Times New Roman" w:hAnsi="Times New Roman" w:cs="Times New Roman"/>
          <w:sz w:val="24"/>
          <w:szCs w:val="24"/>
        </w:rPr>
        <w:pStyle w:val="P68B1DB1-Normal7"/>
      </w:pPr>
      <w:r>
        <w:t xml:space="preserve">Šiame dokumente pateikta informacija ir gairėmis siekiama padėti geriau suprasti Direktyvos (ES) 2015/1535 pranešimo taisykles.</w:t>
      </w:r>
    </w:p>
    <w:p w14:paraId="67EC004B" w14:textId="434F8650">
      <w:pPr>
        <w:jc w:val="both"/>
        <w:rPr>
          <w:rFonts w:ascii="Times New Roman" w:hAnsi="Times New Roman" w:cs="Times New Roman"/>
          <w:sz w:val="24"/>
          <w:szCs w:val="24"/>
        </w:rPr>
        <w:pStyle w:val="P68B1DB1-Normal7"/>
      </w:pPr>
      <w:r>
        <w:t xml:space="preserve">Tai yra tik rekomendacinė priemonė. Tik direktyvos tekstas turi teisinę galią ir gali sukurti asmenų ir valstybių narių teises ir pareigas. Šis dokumentas nesukuria jokios vykdytinos teisės ar lūkesčių.</w:t>
      </w:r>
    </w:p>
    <w:p w14:paraId="63D425FC" w14:textId="2836B58B">
      <w:pPr>
        <w:jc w:val="both"/>
        <w:rPr>
          <w:rFonts w:ascii="Times New Roman" w:hAnsi="Times New Roman" w:cs="Times New Roman"/>
          <w:sz w:val="24"/>
          <w:szCs w:val="24"/>
        </w:rPr>
        <w:pStyle w:val="P68B1DB1-Normal7"/>
      </w:pPr>
      <w:r>
        <w:t xml:space="preserve">Privalomas Europos Sąjungos teisės aktų aiškinimas priklauso išimtinei Europos Sąjungos Teisingumo Teismo kompetencijai. Šiame dokumente išreikštos nuomonės nedaro poveikio pozicijai, kurios Komisija gali laikytis Teisingumo Teisme.</w:t>
      </w:r>
    </w:p>
    <w:p w14:paraId="5CC222EA" w14:textId="4A13BEE2">
      <w:pPr>
        <w:jc w:val="both"/>
        <w:rPr>
          <w:rFonts w:ascii="Times New Roman" w:hAnsi="Times New Roman" w:cs="Times New Roman"/>
          <w:sz w:val="24"/>
          <w:szCs w:val="24"/>
        </w:rPr>
        <w:pStyle w:val="P68B1DB1-Normal7"/>
      </w:pPr>
      <w:r>
        <w:t xml:space="preserve">Kadangi šis dokumentas atspindi jo rengimo metu buvusią teismų praktiką, jis turėtų būti laikomas „gyva priemone“, kurią galima tobulinti, ir jo turinys gali būti keičiamas be įspėjimo.</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Klasifikavimas kaip techninis reglamentas</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sąvoka „techninis reglamentas“ apima keturias priemonių kategorijas, t. y. i) „technines specifikacijas“, kaip tai suprantama pagal Direktyvos 98/34 1 straipsnio 3 punktą, ii) „kitus reikalavimus“, kaip apibrėžta šios direktyvos 1 straipsnio 4 punkte, iii) „paslaugų taisykles“, kaip tai suprantama pagal šios direktyvos 1 straipsnio 5 dalį, ir iv) „valstybių narių įstatymus ir kitus teisės aktus, draudžiančius gaminį gaminti, įvežti, parduoti ar naudoti arba draudžiančius teikti paslaugą ar ja naudotis, arba steigti paslaugų teikėjo įmonę“.</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(2016 m. vasario 2 d.</w:t>
        </w:r>
      </w:hyperlink>
      <w:r>
        <w:t xml:space="preserve"> Sprendimo </w:t>
      </w:r>
      <w:r>
        <w:rPr>
          <w:i/>
        </w:rPr>
        <w:t>Ince</w:t>
      </w:r>
      <w:r>
        <w:t xml:space="preserve">, C-336/14, EU:C:2016:72, 70 punktas)</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Bendrieji techninių </w:t>
      </w:r>
      <w:bookmarkEnd w:id="6"/>
      <w:r>
        <w:t xml:space="preserve">reglamentų kriterijai</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„Techninis reglamentas – techninės specifikacijos ir kiti reikalavimai arba paslaugų taisyklės, įskaitant atitinkamas administracines nuostatas, kurių privaloma laikytis de jure arba de facto parduodant, teikiant paslaugą, steigiant paslaugų teikėją arba naudojant valstybėje narėje ar didžiojoje jos dalyje, taip pat valstybių narių įstatymai ir kiti teisės aktai, išskyrus numatytus 7 straipsnyje, draudžiantys gaminį gaminti, įvežti, parduoti ar naudoti arba draudžiantys teikti paslaugą ar ja naudotis, arba steigti paslaugų teikėjo verslą.“</w:t>
      </w:r>
    </w:p>
    <w:p w14:paraId="56CBE257" w14:textId="77777777">
      <w:pPr>
        <w:pStyle w:val="BodyText"/>
      </w:pPr>
    </w:p>
    <w:p w14:paraId="66B70B28" w14:textId="1278CE54">
      <w:pPr>
        <w:pStyle w:val="P68B1DB1-Normal7"/>
        <w:spacing w:after="0" w:line="240" w:lineRule="auto"/>
        <w:jc w:val="right"/>
      </w:pPr>
      <w:r>
        <w:t xml:space="preserve">(direktyvos (ES) 2015/1535 1 straipsnio 1 dalies f punkto pirmas sakinys)</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1996 m. balandžio 30 d.</w:t>
        </w:r>
      </w:hyperlink>
      <w:r>
        <w:rPr>
          <w:rFonts w:ascii="Times New Roman" w:hAnsi="Times New Roman" w:cs="Times New Roman" w:eastAsia="Times New Roman"/>
          <w:b/>
          <w:i/>
          <w:szCs w:val="20"/>
        </w:rPr>
        <w:t xml:space="preserve"> Sprendimo CIA Security International SA, C-194/94, EU:C:1996:172, 29 punktas.</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Taisyklė gali būti kvalifikuojama kaip „techninis reglamentas“, tik jeigu ji turi savarankišką teisinę galią. Taip nėra pagrindų įstatymo, kuris neturi teisinės galios privatiems asmenims, atveju.</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Šiuo atžvilgiu svarbu konstatuoti, kad nuostata kvalifikuojama kaip techninis reglamentas Direktyvos 83/189 prasme, jei ji turi teisinę galią. Jeigu pagal nacionalinę teisę ši taisyklė yra tik pagrindas, leidžiantis priimti administracinius reglamentus, kuriuose yra suinteresuotiesiems asmenims privalomų taisyklių, todėl savaime neturi teisinių pasekmių privatiems asmenims, ji nėra techninis reglamentas direktyvos prasme (žr. 1994 m. liepos 12 d. Sprendimo Komisija prieš Vokietiją, C-317/92, Rink. p. 1–2039, 26 punktą). Šiuo klausimu reikia priminti, kad pagal Direktyvos 83/189 8 straipsnio 1 dalies pirmą pastraipą valstybės narės kartu su techninio reglamento projektu turi pranešti apie įgalinančią priemonę, kuria remiantis jis buvo priimtas, jei apie tokį tekstą reikėtų žinoti, kad būtų galima įvertinti techninio reglamento projekto poveikį.“</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1997 m. kovo 20 d.</w:t>
        </w:r>
      </w:hyperlink>
      <w:r>
        <w:rPr>
          <w:rFonts w:ascii="Times New Roman" w:hAnsi="Times New Roman" w:cs="Times New Roman" w:eastAsia="Times New Roman"/>
          <w:b/>
          <w:i/>
          <w:szCs w:val="20"/>
        </w:rPr>
        <w:t xml:space="preserve"> Sprendimo Bic Benelux, C-13/96, EU:C:1997:173, 19 ir 20 punktai.</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Priežastys, dėl kurių priimta nacionalinė priemonė, neturi reikšmės kvalifikuojant šią priemonę kaip „techninį reglamentą“. Direktyvos tikslas – vykdant prevencinę stebėseną apsaugoti laisvą prekių judėjimą, kuris yra vienas iš Bendrijos pagrindų.</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Direktyvoje 83/189 nėra pagrindo aiškinti, kad ji taikoma tik nacionalinėms priemonėms, kurias galima suderinti tik remiantis Sutarties 100a straipsniu. Šios direktyvos tikslas – vykdant prevencinę stebėseną apsaugoti laisvą prekių judėjimą, kuris yra vienas iš Bendrijos pagrindų. Tokia kontrolė yra būtina, nes techniniai reglamentai, kuriems taikoma ši direktyva, gali tiesiogiai ar netiesiogiai, faktiškai ar potencialiai trukdyti Bendrijos vidaus prekybai prekėmis. Tokios kliūtys gali kilti priėmus nacionalinius techninius reglamentus, net jei jie nedubliuoja kilmės valstybėje narėje paženklintų ženklų, neatsižvelgiant į priežastis, dėl kurių jie buvo priimti.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Todėl tai, kad nacionalinė priemonė buvo priimta siekiant apsaugoti aplinką arba kad ja neįgyvendinamas techninis standartas, kuris pats savaime gali sudaryti laisvo judėjimo kliūtį, nereiškia, kad nagrinėjama priemonė negali būti techninis reglamentas Direktyvos 83/189 prasme.“</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2000 m. lapkričio 16 d.</w:t>
        </w:r>
      </w:hyperlink>
      <w:r>
        <w:rPr>
          <w:rFonts w:ascii="Times New Roman" w:hAnsi="Times New Roman" w:cs="Times New Roman" w:eastAsia="Times New Roman"/>
          <w:b/>
          <w:i/>
          <w:szCs w:val="20"/>
        </w:rPr>
        <w:t xml:space="preserve"> Sprendimo Donkersteeg, C-37/99, EU:C:2000:636, 30–34 punktai.</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Išsamios gyvūnų vakcinacijos taisyklės yra „techninė specifikacija“. Tačiau tai bus „techninis reglamentas“, apie kurį reikia pranešti tik tuo atveju, jei jo laikymasis yra privalomas de jure arba de facto. Taip nėra tuo atveju, kai pažeidus taisyklę nenustatoma jokių prekybos atitinkamais produktais ar jų naudojimo apribojimų.</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pagal šios direktyvos 1 straipsnio 1 dalį, kiek tai susiję su žemės ūkio produktais, „techninė specifikacija“ yra ta, kuri pateikiama dokumente, kuriame nustatytos reikalaujamos produkto savybės arba jo gamybos metodai ir procedūros.</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VBZA 2 straipsnio 1 dalyje įtvirtinta taisyklė yra techninė specifikacija direktyvos 1 straipsnio 1 dalies prasme. Kaip teisingai teigia Komisija, kadangi tikslios ir išsamios vakcinacijos nuo Aujeskio ligos taisyklės yra susijusios su atitinkamo žemės ūkio produkto gamyba siaurąja prasme ir jų turi būti laikomasi per visą gamybos ciklą, ši taisyklė apibrėžia šio produkto gamybos „procedūrą“.</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Vis dėlto tam, kad pagrindinėje byloje nagrinėjama taisyklė būtų kvalifikuojama kaip techninė taisyklė šios direktyvos prasme, pagal jos 1 straipsnio 5 dalį joje turi būti pateiktos techninės specifikacijos, „kurių de jure ar de facto privaloma laikytis parduodant ar naudojant valstybėje narėje ar didžiojoje jos dalyje, išskyrus vietos valdžios institucijų nustatytas specifikacijas“.</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Reikia pažymėti, kaip tai padarė Nyderlandų vyriausybė, kad VBZA 2 straipsnio 1 dalyje įtvirtinta taisyklė nenustato jokių apribojimų nei prekybai atitinkamais produktais, nei jų naudojimui, jei, pažeidžiant šią taisyklę, kiaulės nebuvo vakcinuotos nuo Aujeskio ligos.</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Todėl į antrąjį klausimą reikia atsakyti taip, kad tokia nuostata, kaip nagrinėjama pagrindinėje byloje, pagal kurią reikalaujama, kad kiekvienas ūkininkas savo ūkyje vakcinuotų kiaules nuo Aujeskio ligos, nėra techninis reglamentas, apie kurį turėjo būti pranešta Komisijai prieš jį priimant.“</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2020 m. gruodžio 3 d.</w:t>
        </w:r>
      </w:hyperlink>
      <w:r>
        <w:rPr>
          <w:rFonts w:ascii="Times New Roman" w:hAnsi="Times New Roman" w:cs="Times New Roman" w:eastAsia="Times New Roman"/>
          <w:b/>
          <w:i/>
          <w:szCs w:val="20"/>
        </w:rPr>
        <w:t xml:space="preserve"> Sprendimo Star Taxi App, C-62/19, EU:C:2020:980, 60 ir 61 punktai.</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Tam, kad nacionalinė priemonė būtų kvalifikuojama kaip „techninis reglamentas“, ji turi būti de jure arba de facto privaloma atitinkamos paslaugos teikimui ar naudojimui valstybėje narėje arba didžiojoje jos dalyje.</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iš Direktyvos 2015/1535 1 straipsnio 1 dalies f punkto pirmos pastraipos matyti, kad „techninis reglamentas“ – tai „techninės specifikacijos ir kiti reikalavimai arba paslaugų taisyklės, įskaitant atitinkamas administracines nuostatas, kurių privaloma laikytis de jure ar de facto parduodant, teikiant paslaugą, steigiant paslaugų teikėją arba naudojant valstybėje narėje ar didžiojoje jos dalyje, taip pat valstybių narių įstatymai ir kiti teisės aktai, išskyrus numatytus 7 straipsnyje, draudžiantys gaminį gaminti, įvežti, parduoti ar naudoti arba draudžiantys teikti paslaugą ar ja naudotis, arba steigti paslaugų teikėjo įmonę“.</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Iš to matyti, jog tam, kad nacionalinės teisės aktai, susiję su informacinės visuomenės paslauga, galėtų būti kvalifikuojami kaip „techninis reglamentas“, jis turi būti ne tik laikomas „paslaugų taisykle“, kaip tai suprantama pagal Direktyvos 2015/1535 1 straipsnio 1 dalies e punktą, bet ir de jure ar de facto privalomas, be kita ko, kai atitinkama paslauga teikiama arba naudojama valstybėje narėje ar didžiojoje jos dalyje.“</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Techninės</w:t>
      </w:r>
      <w:bookmarkEnd w:id="15"/>
      <w:r>
        <w:t xml:space="preserve"> specifikacijos</w:t>
      </w:r>
      <w:bookmarkEnd w:id="16"/>
      <w:bookmarkEnd w:id="17"/>
    </w:p>
    <w:p w14:paraId="241DC1E1" w14:textId="77777777">
      <w:pPr>
        <w:pStyle w:val="BodyText"/>
      </w:pPr>
    </w:p>
    <w:p w14:paraId="24A39E18" w14:textId="77777777">
      <w:pPr>
        <w:pStyle w:val="P68B1DB1-BodyText11"/>
        <w:ind w:left="567"/>
      </w:pPr>
      <w:r>
        <w:t xml:space="preserve">„techninė specifikacija“ – dokumente pateikta specifikacija, kurioje nustatomos reikalaujamos gaminio charakteristikos, pvz., kokybės lygiai, eksploatacinės savybės, sauga ar matmenys, įskaitant gaminiui taikomus reikalavimus dėl parduodamo gaminio pavadinimo, terminologijos, simbolių, bandymų ir bandymų metodų, pakavimo, žymėjimo arba ženklinimo etiketėmis ir atitikties vertinimo procedūrų.</w:t>
      </w:r>
    </w:p>
    <w:p w14:paraId="33F4D1E4" w14:textId="77777777">
      <w:pPr>
        <w:pStyle w:val="P68B1DB1-BodyText11"/>
        <w:ind w:left="567"/>
      </w:pPr>
    </w:p>
    <w:p w14:paraId="5224E321" w14:textId="77777777">
      <w:pPr>
        <w:pStyle w:val="P68B1DB1-BodyText11"/>
        <w:ind w:left="567"/>
        <w:rPr>
          <w:iCs/>
        </w:rPr>
      </w:pPr>
      <w:r>
        <w:t xml:space="preserve">Terminas „techninė specifikacija“ taip pat apima žemės ūkio produktų, kaip nurodyta Sutarties dėl Europos Sąjungos veikimo (SESV) 38 straipsnio 1 dalies antroje pastraipoje, žmonėms ir gyvūnams vartoti skirtų produktų ir vaistų, kaip apibrėžta Europos Parlamento ir Tarybos direktyvos 2001/83/EB (1) 1 straipsnyje, gamybos metodus ir procesus, taip pat su kitais produktais susijusius gamybos metodus ir procesus, jei jie turi įtakos jų savybėms;“</w:t>
      </w:r>
    </w:p>
    <w:p w14:paraId="6C2A57E1" w14:textId="77777777">
      <w:pPr>
        <w:pStyle w:val="BodyText"/>
        <w:ind w:left="567"/>
        <w:rPr>
          <w:i/>
          <w:iCs/>
        </w:rPr>
      </w:pPr>
    </w:p>
    <w:p w14:paraId="2F7A4C59" w14:textId="62E0EC95">
      <w:pPr>
        <w:pStyle w:val="BodyText"/>
        <w:ind w:left="1440"/>
        <w:jc w:val="right"/>
      </w:pPr>
      <w:r>
        <w:t xml:space="preserve">(Direktyvos (ES) 2015/1535 1 straipsnio 1 dalies c punktas)</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1996 m. sausio 11 d.</w:t>
        </w:r>
      </w:hyperlink>
      <w:r>
        <w:rPr>
          <w:rFonts w:ascii="Times New Roman" w:hAnsi="Times New Roman" w:cs="Times New Roman" w:eastAsia="Times New Roman"/>
          <w:b/>
          <w:i/>
          <w:szCs w:val="20"/>
        </w:rPr>
        <w:t xml:space="preserve"> Sprendimo Komisija/Nyderlandai, C-273/94, EU:C:1996:4, 13 punktas.</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Nacionalinė taisyklė, kuria konkrečiam gaminiui nustatoma nuo galiojančio techninio reglamento leidžianti nukrypti nuostata, yra „techninis reglamentas“, jei ja nustatomos alternatyvios „techninės specifikacijos“, kurių turi laikytis bet kuris asmuo, norintis pasinaudoti nukrypti leidžiančia nuostata.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Reglamento, kuriuo nukrypstama nuo kito tam pačiam gaminiui jau galiojančio techninio reglamento, taikymas konkrečiam produktui, kaip antai margarinui, yra techninis reglamentas direktyvos 1 straipsnio 5 dalies prasme, nes juo nustatomos techninės specifikacijos, kaip jos suprantamos pagal 1 straipsnio 1 dalį, kurių privaloma laikytis de jure arba de facto, kai šis produktas parduodamas ar naudojamas. Jei margarinas gaminamas nesilaikant Margarino dekreto nuostatų, jis gali būti gaminamas tik naudojant ginčijamu įsakymu leidžiamus pakaitalus. Šių pakaitalų naudojimą riboja ne tik ginčijamame užsakyme numatytos sąlygos, bet ir vieninteliai produktų, kurie gali būti naudojami pagal Margarine dekretą, pakaitalai. Todėl apie ginčijamą įsakymą turėjo būti pranešta pagal direktyvą.“</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t>1996</w:t>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m. balandžio 30 d.</w:t>
      </w:r>
      <w:r>
        <w:t xml:space="preserve"> </w:t>
      </w:r>
      <w:r>
        <w:rPr>
          <w:b/>
          <w:bCs/>
          <w:i/>
          <w:iCs/>
          <w:color w:val="0000FF"/>
          <w:sz w:val="22"/>
          <w:szCs w:val="18"/>
          <w:u w:val="single"/>
        </w:rPr>
        <w:fldChar w:fldCharType="end"/>
        <w:t xml:space="preserve">Sprendimo CIA Security International SA, C-194/94, EU:C:1996:172, 30 punktas.</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Taisyklė turi būti kvalifikuojama kaip „techninis reglamentas“, jeigu pagal ją reikalaujama, kad atitinkamos įmonės pateiktų prašymą iš anksto patvirtinti savo įrangą, net jei numatytos administracinės taisyklės nebuvo priimtos.</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taisyklė turi būti kvalifikuojama kaip techninis reglamentas Direktyvos 83/189 prasme, jeigu, kaip per posėdį teigė Belgijos vyriausybė, pagal ją reikalaujama, kad atitinkamos įmonės prašytų išankstinio savo įrangos patvirtinimo, net jei numatytos administracinės taisyklės nebuvo priimtos.“</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t xml:space="preserve">1996 </w:t>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m. rugsėjo 16 d.</w:t>
      </w:r>
      <w:r>
        <w:rPr>
          <w:b/>
          <w:bCs/>
          <w:i/>
          <w:iCs/>
          <w:color w:val="0000FF"/>
          <w:sz w:val="24"/>
          <w:szCs w:val="20"/>
          <w:u w:val="single"/>
        </w:rPr>
        <w:fldChar w:fldCharType="end"/>
        <w:t xml:space="preserve">Sprendimo Komisija/Italija, C-279/94, EU:C:1997:396, 34 punktas.</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Nuostata, kuria nustatomos įkvepiamų asbesto skaidulų koncentracijos darbo vietose ribos, nėra „techninė specifikacija“, nes joje neapibrėžiamos reikalaujamos gaminio savybės.</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Tačiau pagal direktyvos 1 straipsnio 5 punktą „techninis reglamentas“ turi būti suprantamas kaip „techninės specifikacijos, įskaitant atitinkamas administracines nuostatas, kurių privaloma laikytis de jure ar de facto parduodant ar naudojant valstybėje narėje“. Pagal direktyvos 1 straipsnio 1 punktą „techninė specifikacija“ yra specifikacija, pateikta dokumente, kuriame nustatomos reikalaujamos gaminio savybės, pvz., kokybės, veiksmingumo ir saugos lygiai. Įstatymo Nr. 257/92 3 straipsnio 1 dalyje nustatytos įkvepiamųjų asbesto skaidulų koncentracijos darbo vietose ribos. Kadangi šioje nuostatoje neapibrėžiama reikalaujama produkto savybė, ji iš esmės nepatenka į techninės specifikacijos apibrėžtį ir todėl negali būti laikoma techniniu reglamentu, apie kurį turi būti pranešta Komisijai pagal direktyvos 8 straipsnio 1 dalies pirmą pastraipą. Nors Įstatymo Nr. 257/92 3 straipsnyje nustatytų įkvepiamųjų asbesto plaušelių koncentracijos ribinių verčių laikymasis gali turėti pasekmių aptariamo produkto savybėms, kaip numatyta direktyvos 1 straipsnio 1 punkte, Komisija neįrodė, kaip taip galėtų būti.“</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1996 m. rugsėjo 17 d.</w:t>
        </w:r>
      </w:hyperlink>
      <w:r>
        <w:t xml:space="preserve"> Sprendimo Komisija/Italija, C-289/94, EU:C:1996:330, 32 punktas.</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Dekretas, kuriuo reglamentuojama moliuskams auginti skirto vandens kokybė, yra „techninis reglamentas“, apie kurį turi būti pranešta, nes jis daro tiesioginį poveikį prekybai atitinkamais produktais.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Nors Dekretas Nr. 256 susijęs su tam tikrais vandens, skirto valgomiesiems moliuskams, kokybės aspektais, jame, kaip teisingai pažymėjo Komisija, nustatomas labai glaudus ryšys tarp vandens, naudojamo tokiam auginimui, kokybės ir prekybos moliuskamis, skirtais žmonėms vartoti. Taigi gali būti prekiaujama tik moliuskais, išaugintais vandenyse, kurie atitinka Nutarime Nr. 256 nustatytas technines specifikacijas. Taigi šių privalomų specifikacijų laikymasis daro tiesioginį poveikį prekybai moliuskais, todėl Dekretas Nr. 256 turi būti laikomas techniniu reglamentu, apie kurį turi būti pranešta pagal Direktyvos 83/189 8 straipsnį.“</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1999 m. gegužės 11 d.</w:t>
        </w:r>
      </w:hyperlink>
      <w:r>
        <w:t xml:space="preserve"> Sprendimo Albers ir kt., C-425/97–4277/97, EU:C:1999:243, 16 ir 17 punktai.</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Taisyklės, kuriomis draudžiama skirti tam tikrus vaistus galvijams, yra „techninės specifikacijos“, nes jose apibrėžiami žemės ūkio produktų gamybos metodai.</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taisyklės, kuriomis, kaip ir šioje byloje, siekiama užkirsti kelią simpatikominių medžiagų skyrimui vyresniems nei 14 savaičių penimiems galvijams, yra techninės specifikacijos Direktyvos 83/189 1 straipsnio 1 dalies prasme.</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Tokios taisyklės apibrėžia žmonėms vartoti skirtų žemės ūkio produktų, kaip apibrėžta EB sutarties 38 straipsnio 1 dalyje (po pakeitimo – EB 32 straipsnio 1 dalis), gamybos metodus ir tvarką.“</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2000 m. sausio 22 d.</w:t>
        </w:r>
      </w:hyperlink>
      <w:r>
        <w:t xml:space="preserve"> Sprendimo Canal Satélite Digital, C-390/99, EU:C:2002:34, 45–47 punktai.</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Nacionalinė taisyklė, pagal kurią reikalaujama iš anksto registruoti ir sertifikuoti palydovinių televizijos signalų skaitmeninio perdavimo ir priėmimo įrangą prieš ją parduodant, yra „techninis reglamentas“, nes joje apibrėžiamos atitinkamų produktų savybės.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Teisingumo Teismas jau yra nusprendęs, kad nacionalinės nuostatos, kuriose tik nustatytos įmonių įsisteigimo sąlygos, kaip antai nuostatos, pagal kurias veiklai vykdyti reikalingas išankstinis leidimas, nėra techniniai reglamentai Direktyvos 83/189 1 straipsnio 9 punkto prasme. Techniniai reglamentai, kaip jie suprantami pagal šią nuostatą, yra specifikacijos, apibrėžiančios produktų savybes, o ne specifikacijos, susijusios su ūkio subjektais (1996 m. liepos 12 d. Sprendimo CIA Security, C-194/94, Rink. p. I-2201, 25 punktas; 2001 m. gruodžio 12 d. Sprendimo Van der Burg, C-278/99, Rink. p. I-2015, 20 punktas).</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Tačiau nacionalinė nuostata turi būti kvalifikuojama kaip techninis reglamentas Direktyvos 83/189 1 straipsnio 9 punkto prasme, jeigu ji įpareigoja atitinkamas įmones prašyti išankstinio jų įrangos patvirtinimo (minėto sprendimo CIA Security 30 punktas).</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Iš to išplaukia, kad nacionalinės teisės nuostata, pagal kurią sąlyginės prieigos paslaugų operatoriai įpareigojami įeiti į televizijos signalų skaitmeninio perdavimo ir priėmimo per palydovą įrangą, dekoderius ar sistemas, kurias jie siūlo pateikti į registrą, ir gauti išankstinį šių produktų sertifikavimą prieš galėdami jais prekiauti, yra „techninis reglamentas“ Direktyvos 83/189 1 straipsnio 9 punkto prasme.“</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2000 m. rugsėjo 26 d.</w:t>
        </w:r>
      </w:hyperlink>
      <w:r>
        <w:t xml:space="preserve"> Sprendimo Unilever Italia, C-443/98, EU:C:2000:496, 25 ir 26 punktai.</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Nuostata dėl alyvuogių aliejaus kilmės ženklinimo yra „techninė specifikacija“, nes tai yra produkto ženklinimo reikalavimas.</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Šiuo klausimu pakanka pažymėti, kad pagal Direktyvos 83/189 1 straipsnio 1 dalį joje kaip „produktai“ laikomi ir pramonės, ir žemės ūkio produktai, ir kad pagal to paties straipsnio 2 dalį „technine specifikacija“ laikoma bet kuri specifikacija, pateikta dokumente, kuriame nustatytos reikalaujamos produkto savybės, įskaitant produktui taikomus ženklinimo reikalavimus. Nacionalinės teisės aktai, kuriuose numatytos tokios specifikacijos, yra techninės specifikacijos Direktyvos 83/189 prasme, neatsižvelgiant į priežastis, dėl kurių jos buvo priimtos (šiuo klausimu žr. 1997 m. liepos 12 d. Sprendimo Bic Benelux prieš Belgijos valstybę, C-13/96, Rink. p. I-1753, 19 punktą).</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Taigi ginčijamame įstatyme, kuriuo reglamentuojamas alyvuogių aliejaus kilmės ženklinimas, yra taisyklių, kurios turi būti laikomos „techninėmis specifikacijomis“ Direktyvos 83/189 prasme.“</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2000 m. spalio 12 d.</w:t>
        </w:r>
      </w:hyperlink>
      <w:r>
        <w:t xml:space="preserve"> Sprendimo Snellers, C-314/98, EU:C:2000:557, 37–39 punktai.</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„Techninė specifikacija“ turi būti susijusi su pačiu produktu. Reglamente, kuriame nustatyti datos, nuo kurios laikoma, kad transporto priemonę pirmą kartą leista eksploatuoti viešuosiuose keliuose, nustatymo kriterijai registracijos liudijimo išdavimo tikslais, neapibrėžiamos jokios savybės, kurių reikalaujama iš paties produkto, todėl jis negali būti laikomas „techniniu reglamentu“.</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teisės aktai, kuriais, kaip antai nagrinėjama pagrindinėje byloje, siekiama nustatyti datą, kada transporto priemonę pirmą kartą leista naudoti viešuosiuose keliuose, nėra techninės specifikacijos, kaip tai suprantama pagal Direktyvą 83/189, todėl jos negali būti laikomos techniniais reglamentais, patenkančiais į šios direktyvos taikymo sritį.</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Direktyvos 83/189 1 straipsnio 1 dalyje numatyta, kad, kiek tai susiję su tokiais produktais, kaip nagrinėjamieji pagrindinėje byloje, techninė specifikacija, kaip ji suprantama pagal šią direktyvą, yra „specifikacija, pateikta dokumente, kuriame nustatytos reikalaujamos produkto savybės“. Todėl Direktyvos 83/189 techninėse specifikacijose turi būti daroma nuoroda į patį produktą; be to, tai patvirtina neišsamus atitinkamų specifikacijų sąrašas, kaip pavyzdys pateiktas šios direktyvos 1 straipsnio 1 dalyje.</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Reglamente nustatyti tam tikri kriterijai, pagal kuriuos nustatoma data, kada transporto priemonei, kaip tai suprantama pagal Wegenverkeerswet, pirmą kartą buvo leista naudotis viešuoju keliu registracijos liudijimui parengti. Todėl reglamente neapibrėžiama jokia reikalaujama produkto savybė.“</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2000 m. lapkričio 16 d.</w:t>
        </w:r>
      </w:hyperlink>
      <w:r>
        <w:rPr>
          <w:rFonts w:ascii="Times New Roman" w:hAnsi="Times New Roman" w:cs="Times New Roman" w:eastAsia="Times New Roman"/>
          <w:b/>
          <w:i/>
          <w:szCs w:val="20"/>
        </w:rPr>
        <w:t xml:space="preserve"> Sprendimo Donkersteeg, C-37/99, EU:C:2000:636, 30 ir 31 punktai.</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Žemės ūkio produktų „techninė specifikacija“ – tai tekstas, apibrėžiantis reikiamas jų charakteristikas arba gamybos metodus. Taisyklė, kuria nustatomos gyvulių vakcinacijos sąlygos, yra gamybos taisyklė, taigi ir „techninė specifikacija“.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Kaip priminta šio sprendimo 20 punkte, pagal direktyvos 1 straipsnio 1 dalį, kiek tai susiję su žemės ūkio produktais, „techninė specifikacija“ yra dokumente, kuriame nustatytos reikalaujamos produkto savybės arba jo gamybos metodai ir procedūros.</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VBZA 2 straipsnio 1 dalyje įtvirtinta taisyklė yra techninė specifikacija direktyvos 1 straipsnio 1 dalies prasme. Kaip teisingai teigia Komisija, kadangi tikslios ir išsamios vakcinacijos nuo Aujeskio ligos taisyklės yra susijusios su atitinkamo žemės ūkio produkto gamyba siaurąja prasme ir jų turi būti laikomasi per visą gamybos ciklą, ši taisyklė apibrėžia šio produkto gamybos „procedūrą“.</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2001 m. kovo 8 d.</w:t>
        </w:r>
      </w:hyperlink>
      <w:r>
        <w:t xml:space="preserve"> Sprendimo Van der Burg, C-278/99, EU:C:2001:143, 20 punktas.</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Reglamentas, kuriuo tik draudžiama komercinė reklama, tačiau kuriame nenustatytos reikalaujamos produkto savybės, nėra „techninė specifikacija“, todėl negali būti laikomas „techniniu reglamentu“.</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Pagal Direktyvos 83/189 1 straipsnio 1 dalį šioje direktyvoje „techninė specifikacija“ – tai specifikacija, pateikta dokumente, kuriame nustatytos reikalaujamos produkto savybės“. Taigi Direktyvos 83/189 techninėse specifikacijose turi būti daroma nuoroda į patį produktą (žr. 2000 m. gruodžio 12 d. Sprendimo Snellers Auto’s prieš Algemeen Directeur van de Dienst Wegverkeer, C-314/98, Rink. p. I-0000, 38 punktą). Tačiau teisės aktuose, kaip antai Dekreto C.11.1 straipsnio 1 dalyje, pagal kurią tik draudžiamas prekybos būdas, nenustatomos reikalaujamos produkto savybės.“</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2002 m. birželio 6 d.</w:t>
        </w:r>
      </w:hyperlink>
      <w:r>
        <w:t xml:space="preserve"> Sprendimo Sapod Audic, C-159/00, EU:C:2002:343, 30–33 punktai.</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Nacionalinės teisės nuostata, kurioje numatyta pareiga identifikuoti pakuotę, yra „techninis reglamentas“, apie kurį turi būti pranešta, nes joje numatyta pareiga ženklinti arba paženklinti šią pakuotę.</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Taigi, kadangi neatrodo, kad Dekreto Nr. 92–377 4 straipsnio antroje pastraipoje numatyta pareiga identifikuoti pakuotę reikštų pareigą ženklinti ar paženklinti šią pakuotę, ši pareiga nebūtinai reiškia pačią prekę ar jos pakuotę. Taip aiškinant šią nuostatą negalima teigti, kad ji nustato reikalaujamas produkto savybes, kaip tai suprantama pagal Direktyvos 83/189 1 straipsnio 1 dalį, todėl negali būti laikoma technine specifikacija (žr., be kita ko, 2001 m. gruodžio 12 d. Sprendimo Van der Burg, C-278/99, Rink. p. I-2015, 20 punktą).</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31.Nepaisant to, reikia pažymėti, kad pagal EB 234 straipsnyje numatytą kompetencijos pasidalijimą nacionalinis teismas turi išaiškinti nacionalinę teisę, šiuo atveju – Dekreto Nr. 92–377 4 straipsnio antrąją pastraipą.</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Todėl Teisingumo Teismas taip pat turi išnagrinėti galimybę, atsižvelgdamas į visas faktines ir teisines aplinkybes, kurias turi pateikti prašymą priimti prejudicinį sprendimą pateikęs teismas, padaryti išvadą, kad Dekreto Nr. 92–377 4 straipsnio antra pastraipa turi būti aiškinama taip, kad ja gamintojams nustatoma pareiga ženklinti ar ženklinti pakuotę, tačiau nenurodyta, kokiu žymeniu turi būti ženklinama.</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Tokiu atveju reikėtų konstatuoti, kad ši nuostata iš tikrųjų yra techninė specifikacija Direktyvos 83/189 prasme, todėl, kadangi įpareigojimas nustatomas dekretu parduodant supakuotus produktus visoje nacionalinėje teritorijoje, ši nuostata yra techninis reglamentas.“</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2005 m. rugsėjo 8</w:t>
        </w:r>
      </w:hyperlink>
      <w:r>
        <w:t xml:space="preserve"> d. Sprendimo Komisija/Portugalija, C-500/03, EU:C:2005:515, 30 punktas.</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„Techninė specifikacija“ yra taisyklė, kuria nustatomas didžiausias pramoginių laivų ilgis bei aukštis ir ribojamas jų varomoji galia.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(Kadangi teismo sprendimas prieinamas tik prancūzų ir portugalų kalbomis, šis tekstas yra vertimas.)</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Iš šio reglamento 2 straipsnio 1 punkto formuluotės matyti, kad jame pateikiamos techninės specifikacijos, kaip jos suprantamos pagal Direktyvos 98/34 1 straipsnio 3 punktą, kurios yra techniniai reglamentai, kaip tai suprantama pagal šią direktyvą. Šiame reglamente nustatyti reikalavimai susiję su didžiausiu ilgiu ir aukščiu, taip pat su navigacijai naudojamų pramoginių laivų varomosios galios ribojimu. Šie techniniai apribojimai taikomi visoms viešosioms viešosioms vandens lagūnoms Portugalijoje, išskyrus Douro upės lagūnas.“</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2007 m. lapkričio 8 d.</w:t>
        </w:r>
      </w:hyperlink>
      <w:r>
        <w:t xml:space="preserve"> Sprendimo Schwibbert, C-20/05, EU:C:2007:652, 35–37 punktai.</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Nacionalinės nuostatos, nustatančios pareigą žymėti gaminius skiriamuoju žymeniu, kad jais būtų prekiaujama valstybėje narėje, yra „techninė specifikacija“, nes tai yra reikalavimai, susiję su produktų žymėjimu ir ženklinimu.</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Kaip yra nusprendęs Teisingumo Teismas, techninės specifikacijos sąvoka suponuoja, kad nacionalinėje priemonėje daroma nuoroda į patį produktą ar jo pakuotę ir taip nustatoma viena iš reikalaujamų produkto savybių (šiuo klausimu žr. 2001 m. gruodžio 12 d. Sprendimo van der Burg, C-278/99, Rink. p. I-2015, 20 punktą; Sprendimas Canal Satélite Digital, C-390/99, Rink. p. I-607, 45 punktas; taip pat minėtų sprendimų Sapod Audic 30 punktas ir Lindberg57 punktas.</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Šioje byloje reikia pripažinti, kaip savo išvados 46 ir 48 punktuose nurodė generalinė advokatė, kad skiriamuoju žymeniu „SIAE“, kuriuo siekiama informuoti vartotojus ir nacionalinės valdžios institucijas, jog reprodukcijos yra teisėtos, žymima pati laikmena, kurioje saugomas intelektinis kūrinys, t. y. pats gaminys. Taigi neteisinga teigti, kaip tai daro Societą Italiana degli Autori ed Editori ir Italijos vyriausybė, kad šis žymuo susijęs tik su intelektiniu kūriniu.</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Todėl toks skiriamasis žymuo yra „techninė specifikacija“ Direktyvos 98/34 1 straipsnio 3 punkto prasme, nes jam taikomi atitinkamiems gaminiams skirti reikalavimai, susiję su žymėjimu ir ženklinimu etiketėmis. Taigi, kadangi šios specifikacijos laikymasis yra privalomas de jure prekiaujant šiais produktais, ši specifikacija yra „techninis reglamentas“, kaip tai suprantama pagal šios direktyvos 1 straipsnio 11 punktą (šiuo klausimu žr. 1997 m. liepos 12 d. Sprendimo Bic Benelux, C-13/96, Rink. p. I-1753, 23 punktą).“</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2011 m. balandžio 14 d.</w:t>
        </w:r>
      </w:hyperlink>
      <w:r>
        <w:t xml:space="preserve"> Sprendimo Vlaamse Dierenartsenvereniging ir Janssens, C-42/10, C-45/10 ir C-57/10, EU:C:2011:253, 68–70 punktai.</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Direktyva netaikoma naminių gyvūnėlių pasams, kurie negali būti laikomi „produktais“, nes dėl jų negali būti sudaromi komerciniai sandoriai. Todėl nacionalinės nuostatos dėl naminių gyvūnėlių pasų nėra „techninės specifikacijos“, kurios turi būti pateiktos Komisijai.</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Teisingumo Teismas turėjo progą priminti, kad į laisvo prekių judėjimo taikymo sritį patenka tik tie produktai, kurie gali būti įvertinti pinigais ir dėl kurių gali būti sudaromi komerciniai sandoriai (šiuo klausimu, be kita ko, žr. 1968 m. liepos 12 d. Sprendimo Komisija prieš Italiją, 7/68, Rink. p. 617, 626 punktą ir 2006 m. liepos 12 d. Sprendimo Komisija prieš Graikiją, C-65/05, Rink. p. I-10341, 23–25 punktus).</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Neginčijama, kad naminių gyvūnėlių pasai negali būti komercinių sandorių objektas, nes jie turi nekartojamą numerį ir pagal juos identifikuojamas konkretus gyvūnėlis.</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Todėl šie pasai negali būti laikomi „produktais“, kaip tai suprantama pagal Teisingumo Teismo jurisprudenciją; joms taip pat negali būti taikoma Direktyva 98/34. Todėl specifikacijos, kaip antai numatytos pagrindinėje byloje nagrinėjamuose Belgijos teisės aktuose, negali būti kvalifikuojamos kaip techninės specifikacijos, apie kurias pagal šios direktyvos 8 straipsnį turi būti iš anksto pranešta Komisijai, o priešingu atveju jų negali taikyti prašymą priimti prejudicinį sprendimą pateikęs teismas (šiuo klausimu žr. 2007 m. liepos 12 d. Sprendimo Schwibbert, C-20/05, Rink. p. I-9447, 33 ir 44 punktus ir juose nurodytą teismo praktiką).“</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2011 m. birželio 9 d.</w:t>
        </w:r>
      </w:hyperlink>
      <w:r>
        <w:t xml:space="preserve"> Sprendimo Intercommunale Intermosane ir Fédération de l’industrie et du gaz, C-361/10, EU:C:2011:382, 14–18 punktai.</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Nacionalinės nuostatos, nustatančios minimalius elektros įrenginių konstrukcijos ir darbuotojų saugos reikalavimus, nėra „techninės specifikacijos“, nes jose nustatomi bendrieji saugos ir apsaugos tikslai, tiesiogiai nenurodant produkto ar jo pakuotės ir neapibrėžiant jo savybių.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reikia nustatyti, ar pagrindinėje byloje nagrinėjamos nacionalinės nuostatos priklauso pirmajai techninių reglamentų kategorijai, numatytai Direktyvos 98/34 1 straipsnio 11 punkte, t. y. sąvokai „techninė specifikacija“.</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Iš teismo praktikos matyti, kad ši sąvoka, apibrėžta minėto 1 straipsnio 3 punkte, reiškia, kad nacionalinė priemonė būtinai turi daryti nuorodą į patį gaminį ar jo pakuotę ir todėl nustato vieną iš reikalaujamų gaminio požymių (žr. minėto Sprendimo Schwibbert35 punktą ir nurodytą teismo praktiką).</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Kalbant apie pagrindinėje byloje nagrinėjamas nacionalines nuostatas, reikia pažymėti, kad šiose nuostatose numatytais tam tikriems elektros įrenginiams konstruoti keliamais reikalavimais siekiama užtikrinti šių įrenginių saugumą, kad būtų apsaugoti juos naudojantys darbuotojai.</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Tačiau konstatuotina, kad šiuose minimaliuose reikalavimuose įtvirtinti bendri saugumui ir apsaugai keliami reikalavimai ir tikslai nebūtinai daro nuorodą į atitinkamą gaminį ar pačią jo pakuotę ir todėl nenustato šio gaminio požymių.</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Todėl pagrindinėje byloje nagrinėjamose nacionalinėse nuostatose nėra techninių specifikacijų, kaip jos suprantamos pagal Direktyvą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2012 m. liepos 19 d.</w:t>
        </w:r>
      </w:hyperlink>
      <w:r>
        <w:t xml:space="preserve"> Sprendimo Fortuna ir kt., C-213/11, C-214/11 ir C-217/11, EU:C:2012:495, 28–30 punktai.</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Nacionalinės nuostatos, kuriomis ribojamas pigių lošimų automatų eksploatavimas ne kazino, nėra „techniniai reglamentai“, nes jose nenurodomos lošimų automatų ar jų pakuočių savybės.</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tam, kad nacionalinė priemonė patektų į pirmąją techninių reglamentų kategoriją, nurodytą Direktyvos 98/34 1 straipsnio 11 punkte, t. y. į sąvoką „techninė specifikacija“, ji būtinai turi apimti patį gaminį arba jo pakuotę ir taip nustatyti vieną iš reikalaujamų gaminio savybių (žr. minėto Sprendimo Intercommunale Intermosane ir Fédération de l’industrie et du gaz 15 punktą).</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Tačiau pakanka pažymėti, kad Azartinių lošimų įstatymo pereinamojo laikotarpio nuostatos skirtos leidimams vykdyti lošimų mažų laimėjimų automatais veiklą. Jos netaikomos patiems mažų laimėjimų lošimo automatams ar jų pakuotei, taigi nenustato jų požymių.</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Todėl pagrindinėje byloje nagrinėjamose nacionalinėse nuostatose nėra techninių specifikacijų, kaip jos suprantamos pagal Direktyvą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2014 m. liepos 10 d.</w:t>
        </w:r>
      </w:hyperlink>
      <w:r>
        <w:rPr>
          <w:b/>
          <w:i/>
        </w:rPr>
        <w:t xml:space="preserve">Sprendimo Ivansson ir kt.</w:t>
      </w:r>
      <w:r>
        <w:rPr>
          <w:sz w:val="25"/>
        </w:rPr>
        <w:t>,</w:t>
      </w:r>
      <w:r>
        <w:rPr>
          <w:b/>
          <w:i/>
        </w:rPr>
        <w:t xml:space="preserve"> C-307/13, EU:C:2014:2058, 19–23 punktai</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Taisyklė, nustatanti bendrą naminių paukščių komforto ir auginimo patalpų kokybės tikslą, nėra „techninė specifikacija“, nes ja nenustatomos produkto savybės ir ji nėra pakankamai tiksli gamybos metodui apibrėžti.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Reikia priminti, kad pagal teismo praktiką ši [techninės specifikacijos] sąvoka reiškia, kad nacionalinėje priemonėje būtinai turi būti nurodytas pats produktas ar jo pakuotė ir taip nustatyta viena iš reikalaujamų produkto savybių (šiuo klausimu žr. Sprendimo Fortuna ir kt., EU:C:2012:495, 28 punktą).</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Be to, kalbant apie žemės ūkio gaminius, Teisingumo Teismas pažymėjo, kad „techninės specifikacijos“ sąvoka reiškia specifikaciją, esančią dokumente, kuriame nustatytos gaminio charakteristikos ar jo gamybos metodai ir procesai (šiuo klausimu žr. Sprendimo Donkersteeg, C-37/99, EU:C:2000:636, 30 punktą).</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Taigi reikia konstatuoti, pirma, kad nors Dekreto (1988:539) 9 straipsnis susijęs su įrenginių, kuriuose auginamos dedeklės vištos, t. y. narvų komfortu ir kokybe, vis dėlto šioje nuostatoje neapibrėžtos, kaip pažymėjo Lenkijos vyriausybė, charakteristikos, kurias turi turėti pagrindinėje byloje nagrinėjami gaminiai.</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Antra, darant prielaidą, kad ši nuostata galėtų būti laikoma susijusia su gamybos metodu, nes, kaip nurodyta pirmesniame punkte, ji taikoma dedeklių vištų auginimui narvuose, vis dėlto reikia pažymėti, kad šioje nuostatoje tik bendrai nurodytas lizdų, laktų ir smėlio vonių egzistavimo šiuose įrenginiuose reikalavimas, konkrečiai nenustačius įvairių šios auginimo sistemos aspektų. Iš tiesų Dekreto (1988:539) 9 straipsnyje nėra jokios nuorodos, susijusios, pavyzdžiui, su matmenimis, skaičiumi, temperatūra, priežiūra, šių įrenginių veikimu, kalbant apie dedeklių vištų laikymą šviesoje, ar šėrimo ir girdymo įrengimais. Kadangi nėra jokio patikslinimo Dekreto (1988:539) 9 straipsnyje, jis negali būti laikomas nustatančiu gamybos metodą ar procesą.</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Be to, reikia pažymėti, kad DSF 9 straipsnio pirmoje pastraipoje nurodant, kad „laikymo sistema turi būti tokia, kad vištų mirtingumas ir elgesio sutrikimai būtų nedideli“, be jokios kitos nuorodos, DSF 9 straipsnio pirmoje pastraipoje tik nurodyti bendrieji tikslai, susiję su vištų, skirtų kiaušinių gamybai, gerove, nebūtinai nurodant atitinkamą produktą, taigi ir nenurodant šio produkto savybių (pagal analogiją žr. Sprendimo Intercommunale Intermosane ir Fédération de l’Industrie et du gaz, C-361/10, EU:C:2011:382, 17 punktą).“</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2016 m. spalio 27 d.</w:t>
        </w:r>
      </w:hyperlink>
      <w:r>
        <w:t xml:space="preserve"> Sprendimo James Elliott Construction, C-613/14, EU:C:2016:821, 67 punktas.</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Nacionalinės nuostatos, nustatančios numanomas sutarties sąlygas, susijusias su parduodamų produktų kokybe, nėra „techninės specifikacijos“, nes jose neapibrėžiamos nagrinėjamojo produkto savybės.</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Nagrinėjamu atveju, pirma, matyti, kad tokios nuostatos, kaip nagrinėjamos pagrindinėje byloje, arba kaip jas aiškina Airijos teismai, nepatenka į sąvoką „techninė specifikacija“, kaip ji suprantama pagal Direktyvos 98/34 1 straipsnio 3 punktą. Ši sąvoka apima tik nacionalines priemones, kuriose daroma nuoroda į pačią prekę ar jos pakuotę ir taip nustatoma viena iš reikalaujamų produkto savybių (2014 m. liepos 10 d. Sprendimo Ivansson ir kt., C 307/13</w:t>
        <w:noBreakHyphen/>
        <w:t xml:space="preserve">, EU:C:2014:2058, 19 punktas ir jame nurodyta jurisprudencija). Akivaizdu, kad taip nėra reikalavimo, kuris paprastai taikomas visų produktų pardavimui, atveju, nebent šalys susitartų kitaip.“</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2017 m. vasario 1 d.</w:t>
        </w:r>
      </w:hyperlink>
      <w:r>
        <w:t xml:space="preserve"> Sprendimo Município de Palmela, C-144/16, EU:C:2017:76, 30 punktas.</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Reglamentas, pagal kurį reikalaujama laisvalaikio zonoje pateikti informaciją apie didžiausią šios vietovės pajėgumą, nėra „techninė specifikacija“, nes jame nenustatytos gaminio savybės.</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tokia nuostata nepatenka į techninių specifikacijų kategoriją, kaip ji suprantama pagal Direktyvos 98/34 1 straipsnio 3 punktą, nes neginčijama, kad nuostatos, kuriose nustatyti saugos ir apsaugos reikalavimai ir bendrieji tikslai, nebūtinai nurodant patį gaminį ar jo pakuotę ir nenustatant jo savybių, nėra techninės specifikacijos (šiuo klausimu žr. 2011 m. birželio 9 d. Sprendimo Intercommunale Intermosane ir Fédération de l’industrie et du gaz, C-361/10, EU:C:2011:382, 17 ir 18 punktus).“</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2018 m. rugsėjo 26 d.</w:t>
        </w:r>
      </w:hyperlink>
      <w:r>
        <w:t xml:space="preserve"> Sprendimo Van Gennip ir kt., C-137/17, EU:C:2018:771, 38 punktas.</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Nacionalinės nuostatos, pagal kurias prekyba produktais priklauso nuo leidimą turinčio pirkėjo, nepatenka į sąvoką „techninė specifikacija“, nes jose neapibrėžiamos paties produkto ar jo pakuotės savybės.</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Pirma, kiek tai susiję su sąvoka „techninė specifikacija“, reikia priminti, kad ši sąvoka reiškia, jog nacionalinėje priemonėje būtinai daroma nuoroda į pačią prekę ar jos pakuotę, todėl joje nustatyta viena iš reikalaujamų produkto savybių, kaip antai matmenys, prekinis pavadinimas, ženklinimas ar žymėjimas (2014 m. liepos 10 d. Sprendimo Ivansson ir kt., C 307/13</w:t>
        <w:noBreakHyphen/>
        <w:t xml:space="preserve">, EU:C:2014:2058, 19 punktas ir jame nurodyta jurisprudencija). Tačiau, kaip generalinis advokatas nurodė išvados 74 punkte, Belgijos teisės aktuose nedaroma nuorodos į pirotechnikos gaminius ar jų pakuotę, todėl šiuose teisės aktuose nenustatyta nė vieno iš reikalaujamų gaminio požymių. Todėl šie teisės aktai nėra „techninė specifikacija“, kaip tai suprantama pagal Direktyvos 98/34 1 straipsnio 3 punktą.“</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2020 m. gegužės 28 d.</w:t>
        </w:r>
      </w:hyperlink>
      <w:r>
        <w:t xml:space="preserve"> Sprendimo ECO-WIND Construction, C-727/17, EU:C:2020:393, 36 ir 37 punktai.</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Reglamentas, kuriuo nustatomas minimalus atstumas įrengiant vėjo jėgaines, nėra „techninė specifikacija“, nes jame nenustatytos produkto savybės.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dėl to, kad tas pats reikalavimas gali būti kvalifikuojamas kaip techninis reglamentas, remiantis tuo, kad jis patenka į „techninių specifikacijų“ kategoriją, reikia pažymėti, kad techninė specifikacija reiškia, jog nacionalinėje priemonėje, kurioje ji nustatyta, daroma nuoroda į pačią produktą ar jo pakuotę, todėl joje numatyta viena iš reikalaujamų šio produkto savybių (2005 m. balandžio 21 d. Sprendimo Lindberg, C-267/03, EU:C:2005:246, 57 punktas ir 2012 m. liepos 19 d. Sprendimo Fortuna ir kt., C-213/11, C-214/11 ir C-217/11, EU:C:2012:495, 28 punktas).</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Šiuo atveju pagrindinėje byloje nagrinėjamomis teisės normomis tik reglamentuojamas vėjo jėgainių įrengimas, nustatant minimalų privalomą atstumą, kurio reikia laikytis jas statant. Todėl šiuose teisės aktuose neminimas pats gaminys, šiuo atveju vėjo generatorius, todėl jame nenumatyta viena iš savybių, reikalaujamų šiam gaminiui, kaip tai suprantama pagal Direktyvos 2015/1535 1 straipsnio 1 dalies f punktą, siejamą su šios direktyvos 1 straipsnio 1 dalies c punktu.“</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2020 m. spalio 22 d.</w:t>
        </w:r>
      </w:hyperlink>
      <w:r>
        <w:t xml:space="preserve"> Sprendimo Sportingbet ir Internet Opportunity Entertainment, C-275/19, EU:C:2020:856, 42 ir 43 punktai.</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Nacionalinės teisės aktai, pagal kuriuos azartinius lošimus gali vykdyti tik valstybė ir pagal kuriuos licencijos turi būti išduodamos tik valstybinėms įmonėms, nėra „techninė specifikacija“, nes juose neapibrėžiamos reikalaujamos produkto savybės.</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Pagal Direktyvos 83/189 1 straipsnio 1 punktą „techninė specifikacija“ šioje direktyvoje suprantama kaip dokumente pateikti tokių gaminio charakteristikų, kaip kokybės lygiai, darbiniai parametrai, sauga ar matmenys, taip pat terminijos, simbolių, bandymų ir jų metodų, pakavimo, žymėjimo ar ženklinimo etiketėmis reikalavimai (šiuo klausimu žr. 2001 m. kovo 8 d. Sprendimo van der Burg, C-278/99, EU:C:2001:143, 20 punktą).</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Kadangi Dekreto įstatymo Nr. 422/89 3 ir 9 straipsniuose nustatytos koncesijos azartiniams lošimams ar azartiniams lošimams taisyklės ir šios veiklos vykdymo sąlygos bei zonos, neatrodo, kad šios nuostatos būtų susijusios su produkto savybėmis, kaip tai suprantama pagal Direktyvos 83/189 1 straipsnio 1 dalį, todėl jų negalima laikyti „techniniais reglamentais“ šios direktyvos 1 straipsnio 5 dalies prasme.“</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Kiti reikalavimai</w:t>
      </w:r>
      <w:bookmarkEnd w:id="46"/>
      <w:bookmarkEnd w:id="47"/>
    </w:p>
    <w:p w14:paraId="48370E42" w14:textId="77777777">
      <w:pPr>
        <w:pStyle w:val="BodyText"/>
      </w:pPr>
    </w:p>
    <w:p w14:paraId="032AC50F" w14:textId="77777777">
      <w:pPr>
        <w:pStyle w:val="P68B1DB1-BodyText11"/>
        <w:ind w:left="567"/>
        <w:rPr>
          <w:i/>
        </w:rPr>
      </w:pPr>
      <w:r>
        <w:t xml:space="preserve">„kiti reikalavimai – gaminiui keliami reikalavimai, išskyrus technines specifikacijas, kuriais siekiama apsaugoti visų pirma vartotojus arba aplinką ir kurie turi įtakos jo gyvavimo ciklui po jo pateikimo rinkai, pavyzdžiui, naudojimo, perdirbimo, pakartotinio naudojimo ar šalinimo sąlygos, kai tokios sąlygos gali turėti didelės įtakos gaminio sudėčiai ar pobūdžiui arba jo pardavimui;“</w:t>
      </w:r>
    </w:p>
    <w:p w14:paraId="1AD68414" w14:textId="77777777">
      <w:pPr>
        <w:pStyle w:val="BodyText"/>
        <w:ind w:left="567"/>
        <w:rPr>
          <w:i/>
          <w:iCs/>
        </w:rPr>
      </w:pPr>
    </w:p>
    <w:p w14:paraId="3295AC84" w14:textId="258D2B2D">
      <w:pPr>
        <w:pStyle w:val="BodyText"/>
        <w:ind w:left="1440"/>
        <w:jc w:val="right"/>
      </w:pPr>
      <w:r>
        <w:t xml:space="preserve">(Direktyvos (ES) 2015/1535 1 straipsnio 1 dalies d punktas)</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2005 m. balandžio 21 d.</w:t>
        </w:r>
      </w:hyperlink>
      <w:r>
        <w:t xml:space="preserve"> Sprendimo Lindberg, C-267/03, EU:C:2005:246, 68–78 punktai.</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Nacionalinis tam tikrų azartinių lošimų draudimas gali būti laikomas „kitu reikalavimu“, jeigu jis gali turėti įtakos produkto sudėčiai, pobūdžiui ar prekybai juo. Tačiau jei draudimas neleidžia naudoti produkto, jis apibūdinamas kaip draudimo nuostata (žr. šio dokumento I dalies e poskyrį „Draudimo nuostatos“).</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reikia konstatuoti, kad atrodo, jog nacionalinė priemonė, kaip antai pagrindinėje byloje nagrinėjamas draudimas, patenka į Direktyvoje 94/10 į Direktyvą 83/189 įterptą sąvoką „kiti reikalavimai“, siekiant išplėsti jos taikymo sritį, todėl ji nepatenka į techninių specifikacijų kategoriją.</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Iš tikrųjų kalbama apie gaminiui, tai yra lošimų automatams, keliamą reikalavimą, kuriuo iš esmės siekiama apsaugoti vartotojus, šiuo atveju – žaidėjus.</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Tokiomis aplinkybėmis toks draudimas, koks numatytas atitinkamose pakeisto Loterijų įstatymo nuostatose, yra susijęs su gaminio naudojimu Direktyvos 83/189 1 straipsnio 9 punkto prasme.</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Be to, pagrindinėje byloje lošimų automatams keliamas reikalavimas yra susijęs ne su jų patiekimu į rinką, bet su į rinką jau patekusio gaminio būvio ciklu Direktyvos 83/189 1 straipsnio 3 punkte įtvirtintos sąvokos „kitas reikalavimas“ prasme.</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Tam, kad būtų laikomas „kitu reikalavimu“ Direktyvos 1 straipsnio 3 punkto prasme, reikalavimas, kaip antai pagrindinėje byloje nagrinėjamas draudimas naudoti lošimų automatus, turi sudaryti „sąlygą“, šiuo atveju susijusią su nagrinėjamo gaminio naudojimu, galinčią stipriai paveikti gaminio sudėtį, rūšį arba prekybą juo.</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Tačiau kyla klausimas, ar minėtas draudimas turi būti laikomas su nagrinėjamo gaminio naudojimu susijusia „sąlyga“, ar, priešingai, kalbama apie nacionalinę priemonę, priskiriamą Direktyvos 83/189 1 straipsnio 9 punkte nurodytai trečiajai techninių reglamentų kategorijai, kuria šią direktyvą taip pat papildė Direktyva 94/10, tai yra kategorijai, sudarytai iš „Valstybės narės teisinių nuostatų, kuriomis draudžiamas gaminio naudojimas“.</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Tokios nacionalinės priemonės, kokia nagrinėjama pagrindinėje byloje, priskyrimas vienai iš šių dviejų techninių reglamentų kategorijų priklauso nuo šia priemone įtvirtinto draudimo apimties.</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Šiuo atžvilgiu svarbu tai, kad Direktyvos 83/189 1 straipsnio 9 punkte apibrėžta minėta trečioji techninių reglamentų kategorija, priešingai nei antroji kategorija, kurią sudaro kiti reikalavimai to paties straipsnio 3 punkto prasme, nereikalauja, kad nagrinėjamas draudimas darytų didelę įtaką šio gaminio sudėčiai, rūšiai ar prekybai juo.</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Kadangi ši trečioji techninių reglamentų kategorija susijusi, inter alia, su naudojimo draudimu, turi būti kalbama apie priemonę, kurios apimtis aiškiai peržengia tik tam tikrų gaminio naudojimo būdų nustatymą ir todėl neapsiriboja vien tik pastarojo naudojimo draudimu.</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Kaip generalinis advokatas nurodė išvados 70 punkte, ši techninių reglamentų kategorija ypač taikytina tokioms nacionalinėms priemonėms, kurios leidžia vien tik nežymų nagrinėjamo gaminio naudojimą, kurio protingai galima tikėtis. Prašymą priimti prejudicinį sprendimą pateikęs teismas turi patikrinti, ar tai taikytina draudimui, kurį įtvirtina nacionalinė nuostata nagrinėjamoje byloje.</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Jeigu remiantis šiuo patikrinimu pasitvirtina, kad taip nėra pagrindinės bylos atveju, minėta nacionalinė nuostata gali būti laikoma „kitu reikalavimu“, jeigu nustatoma, jog būtina de jure atsižvelgti į tokį reikalavimą naudojant gaminį susijusioje valstybėje narėje Direktyvos 83/189 1 straipsnio 9 punkto prasme. Tačiau tokiu atveju prašymą priimti prejudicinį sprendimą pateikęs teismas taip pat turi patikrinti, ar nagrinėjamas draudimas gali turėti didelės įtakos produkto sudėčiai ar pobūdžiui arba prekybai juo, kaip tai suprantama pagal 1 straipsnio 3 dalį.“</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2011 m. birželio 9 d.</w:t>
        </w:r>
      </w:hyperlink>
      <w:r>
        <w:t xml:space="preserve"> Sprendimo Intercommunale Intermosane ir Fédération de l’industrie et du gaz, C-361/10, EU:C:2011:382, 20 ir 21 punktai.</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Nacionalinės nuostatos, nustatančios minimalius elektros įrenginių konstrukcijos ir darbuotojų saugos reikalavimus, negali būti laikomos „kitais reikalavimais“, nes jų bendras pobūdis neleidžia daryti didelės įtakos atitinkamų produktų sudėčiai, pobūdžiui ar prekybai jais.</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Pagal teismo praktiką tam, kad minėtose nuostatose numatytus minimalius reikalavimus galima būtų laikyti „kitu reikalavimu“, kaip suprantama pagal Direktyvos 98/34 1 straipsnio 4 punktą, jie turi sudaryti „sąlygas“, galinčias daryti didelę įtaką atitinkamo gaminio sudėčiai, pobūdžiui ar prekybai juo (šiuo klausimu žr. minėto Sprendimo Lindberg72 punktą).</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Atsižvelgiant į minėtų reikalavimų bendrą pobūdį, jie negali būti laikomi tokiomis sąlygomis ir todėl negali būti kvalifikuojami kaip „kiti reikalavimai“ direktyvos 1 straipsnio 4 dalies prasme.“</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2012 m. liepos 19 d.</w:t>
        </w:r>
      </w:hyperlink>
      <w:r>
        <w:t xml:space="preserve"> Sprendimo Fortuna ir kt., C-213/11, C-214/11 ir C-217/11, EU:C:2012:495, 35, 36 ir 40 punktai.</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Nacionalinės nuostatos, kuriomis ribojamas lošimo automatų eksploatavimas ne kazino, gali būti laikomos „kitais reikalavimais“, taigi ir „techninėmis taisyklėmis“, jeigu jos daro didelę įtaką atitinkamų produktų pobūdžiui ar prekybai jais.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Teisingumo Teismas yra nusprendęs, jog tam, kad nagrinėjamos nacionalinės priemonės būtų kvalifikuojamos kaip „kiti reikalavimai“, kaip tai suprantama pagal Direktyvos 98/34 1 straipsnio 4 punktą, jos turi būti „sąlygos“, galinčios daryti didelę įtaką atitinkamo gaminio sudėčiai, pobūdžiui ar prekybai (šiuo klausimu žr. minėtų sprendimų Lindberg 72 punktą ir Intercommunale Intermosane ir Fédération de l’industrie et du gaz 20 punktą).</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Šiuo klausimu reikia pažymėti, kad Azartinių lošimų įstatymo pereinamojo laikotarpio nuostatomis nustatomos sąlygos, galinčios turėti įtakos prekybai mažų laimėjimų lošimo automatais. Draudimas išduoti, pratęsti ar iš dalies pakeisti leidimus, susijusius su lošimais mažų laimėjimų automatais ne kazino, gali daryti tiesioginį poveikį prekybai mažų laimėjimų lošimo automatais.“</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į pateiktus klausimus reikia atsakyti, kad Direktyvos 98/34 1 straipsnio 11 punktas turi būti aiškinamas taip, kad nacionalinės teisės nuostatos, kaip antai Azartinių lošimų įstatymo nuostatos, dėl kurių gali būti apribotas ar net palaipsniui neįmanomas lošimo mažų laimėjimų automatais organizavimas bet kurioje kitoje vietoje nei lošimo namai ir lošimo salonai, gali būti „techniniai reglamentai“, kaip tai suprantama pagal šią nuostatą, kurių projektai turi būti paskelbti, kaip tai suprantama pagal šios direktyvos 8 straipsnio 1 dalies pirmą pastraipą, jeigu nustatoma, kad šios nuostatos yra sąlygos, galinčios daryti didelę įtaką atitinkamo produkto pobūdžiui ar prekybai, o tai turi patikrinti prašymą priimti prejudicinį sprendimą pateikęs teismas.“</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2014 m. liepos 10 d.</w:t>
        </w:r>
      </w:hyperlink>
      <w:r>
        <w:rPr>
          <w:b/>
          <w:i/>
        </w:rPr>
        <w:t xml:space="preserve">Sprendimo Ivansson ir kt.</w:t>
      </w:r>
      <w:r>
        <w:rPr>
          <w:sz w:val="25"/>
        </w:rPr>
        <w:t>,</w:t>
      </w:r>
      <w:r>
        <w:rPr>
          <w:b/>
          <w:i/>
        </w:rPr>
        <w:t xml:space="preserve"> C-307/13, EU:C:2014:2058, 26–28 punktai</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Taisyklė, nustatanti bendrą naminių paukščių komforto ir auginimo patalpų kokybės tikslą, nėra „kitas reikalavimas“, nes jos bendras pobūdis neturėtų turėti įtakos galutinio produkto sudėčiai, pobūdžiui ar prekybai.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Teisingumo Teismas jau yra nusprendęs, jog tam, kad nagrinėjamos nacionalinės priemonės būtų kvalifikuojamos kaip „kiti reikalavimai“, kaip tai suprantama pagal Direktyvos 98/34 1 straipsnio 4 punktą, jos turi būti „sąlygos“, galinčios turėti didelės įtakos atitinkamo gaminio sudėčiai, pobūdžiui ar prekybai juo (žr. Sprendimo Fortuna ir kt., EU:C:2012:495, 35 punktą ir jame nurodytą teismo praktiką).</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Teisingumo Teismas taip pat nusprendė, kad kai nacionalinės priemonės nuostatos yra bendro pobūdžio, jos negali sudaryti tokių sąlygų, todėl negali būti laikomos „kitais reikalavimais“, kaip jie suprantami pagal šio 1 straipsnio 4 punktą (šiuo klausimu žr. Sprendimo Intercommunale Intermosane ir Fédération de l’Industrie et du gaz, EU:C:2011:382, 21 punktą).</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Todėl labai bendro pobūdžio DSF 9 straipsnio formuluotė, kaip nurodyta šio sprendimo 22 ir 23 punktuose, neleidžia manyti, kad ši nuostata nustato atitinkamų produktų sudėties, pobūdžio ar prekybos jais sąlygas.“</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2015 m. birželio 11 d.</w:t>
        </w:r>
      </w:hyperlink>
      <w:r>
        <w:t xml:space="preserve"> Sprendimo Berlington Hungary ir kt., C-98/14, EU:C:2015:386, 98 ir 99 punktai.</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Nacionalinės nuostatos, draudžiančios lošimo automatus eksploatuoti ne kazino, yra „kiti reikalavimai“, nes jos gali daryti didelę įtaką tokių automatų pobūdžiui ar prekybai jais.</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Teisingumo Teismas jau yra nusprendęs, kad nacionalinė priemonė, pagal kurią organizuoti tam tikrus azartinius lošimus leidžiama tik kazino, yra „techninis reglamentas“, kaip tai suprantama pagal šios direktyvos 1 straipsnio 11 punktą, nes ji gali daryti didelę įtaką šiame kontekste naudojamų produktų pobūdžiui ar prekybai (šiuo klausimu žr. Sprendimo Komisija/Graikija, C-65/05, EU:C:2006:673, 61 punktą ir Sprendimo Fortuna ir kt., C-213/11, C-214/11 ir C-217/11, EU:C:2012:495, 24 ir 40 punktus).</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Vis dėlto draudimas eksploatuoti lošimo automatus ne kazino, kaip antai nustatytas 2012 m. pakeitimo įstatymu, gali turėti didelės įtakos šių automatų, kurie yra prekės, kurioms gali būti taikomas SESV 34 straipsnis, pobūdžiui ar prekybai jais (žr. Sprendimo Läärä ir kt., C-124/97, EU:C:1999:435, 20 ir 24 punktus), nes sumažėja prekybos vietų, kuriose jie gali būti naudojami.“</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2016 m. spalio 13 d.</w:t>
        </w:r>
      </w:hyperlink>
      <w:r>
        <w:t xml:space="preserve"> Sprendimo Naczelnik Urzędu Celnego I w Ł., C-303/15, EU:C:2016:771, 25–30 punktai.</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Nuostata, pagal kurią lošimo veikla siejama su kazino veiklos leidimo turėjimu, nėra „kitas reikalavimas“. Iš tiesų, nors nuostatos, pagal kurias organizuoti azartinius lošimus leidžiama tik kazino, gali daryti didelį poveikį susijusių produktų rinkodarai, nes sumažėja jų platinimo kanalų, tačiau taisyklės, kuriomis reglamentuojamos įmonių įsisteigimo sąlygos, neturėtų turėti didelio poveikio naudojamų produktų pobūdžiui ar prekybai jais.</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Galiausiai, siekiant nustatyti, ar Azartinių lošimų įstatymo 6 straipsnio 1 dalis patenka į Direktyvos 98/34 1 straipsnio 4 dalies arba šios direktyvos 1 straipsnio 11 punkto taikymo sritį, reikia patikrinti, ar tokia nuostata gali daryti didelę įtaką atitinkamo gaminio, šiuo atveju lošimo automatų, sudėčiai, pobūdžiui ar prekybai juo kaip atitinkamo gaminio naudojimo „sąlyga“, ar tai yra nacionalinė priemonė, priklausanti šios direktyvos 1 straipsnio 11 punkte nurodytai draudimų kategorijai.</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Šiuo klausimu primintina, kad Azartinių lošimų įstatymo 14 straipsnio 1 dalyje ribojamas lošimų rulete, kortomis, kauliukais ir automatais organizavimas, leidžiant tai daryti tik lošimo namuose. Apie šią nuostatą Komisijai pranešta kaip apie „techninį reglamentą“, atsižvelgiant į tai, kad Teisingumo Teismas jau yra nusprendęs, viena vertus, kad nacionalinė priemonė, pagal kurią tam tikrus azartinius lošimus gali organizuoti tik lošimo namai, yra „techninis reglamentas“ pagal Direktyvos 98/34 1 straipsnio 11 punktą, nes ji gali gerokai paveikti šiomis aplinkybėmis naudojamų gaminių esmines savybes arba jų pardavimą, ir, kita vertus, kad draudimas eksploatuoti tam tikrus gaminius ne lošimo namuose gali gerokai paveikti šių gaminių pardavimą, nes dėl jo sumažėja eksploatavimo vietų (šiuo klausimu žr. 2015 m. birželio 11 d. Sprendimo Berlington Hungary ir kt., C-98/14, EU:C:2015:386, 98 ir 99 punktus).</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Vis dėlto apie šio įstatymo 6 straipsnio 1 dalį, kurioje numatyta, kad norint organizuoti lošimus rulete, kortomis, kauliukais ir automatais būtina turėti licenciją vykdyti lošimo namų veiklą, nebuvo pranešta.</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28.Komisijos argumentui, kad glaudus ryšys tarp dviejų atitinkamų nacionalinės teisės nuostatų neleidžia atskirti Azartinių lošimų įstatymo 14 straipsnio 1 dalies nuo šio įstatymo 6 straipsnio 1 dalies, negalima pritarti. Kaip savo išvados 38–44 punktuose pažymėjo generalinis advokatas, minėto įstatymo 6 straipsnio 1 dalis ir jo 14 straipsnio 1 dalis turi skirtingas funkcijas ir taikymo sritis. Šio įstatymo 6 straipsnio 1 dalies aprašomasis elementas, kurio paskirtis – įvardyti šioje byloje nagrinėjamą leidimą kaip leidimą „vykdyti lošimo namų veiklą“, nekeičia šios išvados.</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Taigi konstatuotina, kad Azartinių lošimų įstatymo 6 straipsnio 1 dalis negali būti laikoma „kitu reikalavimu“, kaip jis suprantamas pagal Direktyvos 98/34 1 straipsnio 4 punktą, nes pagal šią nacionalinę nuostatą reikalavimas turėti leidimą organizuoti azartinius lošimus yra tokių lošimų organizavimo sąlyga, skirtingai nei šio įstatymo 14 straipsnio 1 dalis, kurioje nustatytos atitinkamų gaminių sąlygos, draudžiant juos eksploatuoti ne lošimo namuose.</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Be to, pagal suformuotą jurisprudenciją nacionalinės teisės nuostatos, kuriose tik nustatytos įmonių įsisteigimo ar paslaugų teikimo sąlygos, kaip antai nuostatos, pagal kurias verslo veiklai vykdyti reikalingas išankstinis leidimas, nėra techniniai reglamentai, kaip jie suprantami pagal Direktyvos 98/34 1 straipsnio 11 punktą (šiuo klausimu žr. 2016 m. vasario 4 d. Sprendimo Ince, C-336/14, EU:C:2016:72, 76 punktą ir jame nurodytą jurisprudenciją).“</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2016 m. spalio 27 d.</w:t>
        </w:r>
      </w:hyperlink>
      <w:r>
        <w:t xml:space="preserve"> Sprendimo James Elliott Construction, C-613/14, EU:C:2016:821, 67–69 punktai.</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Nacionalinės nuostatos, nustatančios numanomas sutartines sąlygas, susijusias su parduodamų produktų prekine kokybe, tinkamumu naudoti ar kokybe, nėra „kiti reikalavimai“, nes dėl jų bendro pobūdžio mažai tikėtina, kad jos turės didelės įtakos atitinkamų produktų sudėčiai, pobūdžiui ar prekybai jais.</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Nagrinėjamu atveju, pirma, matyti, kad tokios nuostatos, kaip nagrinėjamos pagrindinėje byloje, arba kaip jas aiškina Airijos teismai, nepatenka į sąvoką „techninė specifikacija“, kaip ji suprantama pagal Direktyvos 98/34 1 straipsnio 3 punktą. Ši sąvoka apima tik nacionalines priemones, kuriose daroma nuoroda į pačią prekę ar jos pakuotę ir taip nustatoma viena iš reikalaujamų produkto savybių (2014 m. liepos 10 d. Sprendimo Ivansson ir kt., C-307/13, EU:C:2014:2058, 19 punktas ir jame nurodyta jurisprudencija). Tačiau taip akivaizdžiai nėra reikalavimo, taikomo, nebent šalys susitaria kitaip, bendrai visų produktų pardavimui, atveju.</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Antra, dėl tos pačios priežasties šios nuostatos negali būti laikomos „kitais reikalavimais“, kaip tai suprantama pagal Direktyvos 98/34 1 straipsnio 4 punktą.</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Šiuo klausimu Teisingumo Teismas patikslino, jog tam, kad nagrinėjamos nacionalinės priemonės būtų kvalifikuojamos kaip „kiti reikalavimai“, kaip tai suprantama pagal šią nuostatą, jos turi būti sąlygos, galinčios turėti didelės įtakos atitinkamo produkto sudėčiai, pobūdžiui ar prekybai juo, nes bendro pobūdžio reikalavimai negali būti laikomi tokiomis sąlygomis ir todėl negali būti kvalifikuojami kaip „kiti reikalavimai“ (žr. 2014 m. liepos 10 d. Sprendimo Ivansson ir kt., C-307/13, EU:C:2014:2058, 26 ir 27 punktus ir juose nurodytą jurisprudenciją).“</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2017 m. vasario 1 d.</w:t>
        </w:r>
      </w:hyperlink>
      <w:r>
        <w:t xml:space="preserve"> Sprendimo Município de Palmela, C-144/16, EU:C:2017:76, 23 ir 33 punktai.</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Nuostata, nustatanti pakavimo reikalavimus, taikomus gaminiui vartotojų apsaugos sumetimais, yra „kitas reikalavimas“, nes ji susijusi su gaminių gyvavimo ciklu po pateikimo rinkai ir daro didelę įtaką jų sudėčiai ir prekybai.</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Kita vertus, reglamentas, pagal kurį reikalaujama, kad informacija apie didžiausią laisvalaikio ploto pajėgumą būtų rodomas keliose šios vietovės vietose, dėl savo bendro pobūdžio nėra „kitas reikalavimas“.</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Dėl EJR reglamento, iš dalies pakeisto Dekretu įstatymu Nr. 119/2009, 16 straipsnio 1 ir 2 dalių reikia konstatuoti, kad, kaip nurodo prašymą priimti prejudicinį sprendimą pateikęs teismas, šis straipsnis yra techninis reglamentas, kaip jis suprantamas pagal direktyvas 83/189 ir 98/34, tiek, kiek juo siekiant apsaugoti vartotojus nustatomi gaminiui taikomi reikalavimai, kuriais reguliuojamas jo eksploatavimo ciklas jį pateikus į rinką ir daroma didelė įtaka tokio gaminio sudėčiai ir pardavimui. Todėl ši nuostata patenka į „kitų reikalavimų“ kategoriją Direktyvos 83/189 1 straipsnio 3 punkto ir Direktyvos 98/34 1 straipsnio 4 punkto prasme.“</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tokia nuostata, kaip nagrinėjama pagrindinėje byloje, nėra „kitas reikalavimas“, kaip tai suprantama pagal Direktyvos 98/34 1 straipsnio 4 punktą, atsižvelgiant į joje nustatytų reikalavimų bendrą pobūdį (šiuo klausimu žr. 2011 m. birželio 9 d. Sprendimo Intercommunale Intermosane ir Fédération de l’industrie et du gaz, C 361/10</w:t>
        <w:noBreakHyphen/>
        <w:t xml:space="preserve">, EU:C:2011:382, 21 punktą). Kita vertus, jame nėra jokių draudimų, dėl kurių ji galėtų patekti į šios direktyvos 1 straipsnio 11 dalyje nurodytų draudimų kategoriją.“</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t xml:space="preserve">2018 </w:t>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m. rugsėjo 26 d.</w:t>
      </w:r>
      <w:r>
        <w:rPr>
          <w:b/>
          <w:bCs/>
          <w:i/>
          <w:iCs/>
          <w:color w:val="0000FF"/>
          <w:sz w:val="22"/>
          <w:szCs w:val="22"/>
          <w:u w:val="single"/>
        </w:rPr>
        <w:fldChar w:fldCharType="end"/>
        <w:t xml:space="preserve">Sprendimo Van Gennip ir kt., C-137/17, EU:C:2018:771, 39 ir 40 punktai.</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Nacionalinės teisės nuostatos, pagal kurias prekybai produktais taikoma sąlyga, kad pirkėjas turėtų leidimą, nepatenka į sąvoką „kiti reikalavimai“, nes tai yra sąlyga, taikoma ne produktams, o pirkėjams.</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dėl „kitų reikalavimų“ kategorijos reikia priminti, jog tam, kad nacionalinė priemonė būtų kvalifikuojama kaip „kiti reikalavimai“, kaip tai suprantama pagal Direktyvos 98/34 1 straipsnio 4 punktą, ji turi būti „sąlyga“, galinti turėti didelės įtakos atitinkamo gaminio sudėčiai, pobūdžiui ar prekybai (2016 m. spalio 13 d. Sprendimo M. ir S., C-303/15, EU:C:2016:771, 20 punktas ir jame nurodyta jurisprudencija).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Šiuo klausimu pažymėtina, kad, kaip nurodė generalinis advokatas išvados 76 punkte, Belgijos teisės aktuose pirotechnikos gaminių, kuriuose yra daugiau nei 1 kg pirotechninių mišinių, pardavimui taikomas reikalavimas gauti leidimą yra nustatytas pirkėjui. Taigi reikalaujamas leidimas yra reikalavimas ne atitinkamam produktui, o potencialiems pirkėjams ir netiesiogiai pirotechnikos gaminius parduodantiems ūkio subjektams (šiuo klausimu žr. 2005 m. balandžio 21 d. Sprendimo Lindberg, C-267/03, EU:C:2005:246, 87 punktą ir 2016 m. spalio 13 d. Sprendimo M. ir S., C-303/15, EU:C:2016:771, 29 punktą).“</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2020 m. gegužės 28 d.</w:t>
        </w:r>
      </w:hyperlink>
      <w:r>
        <w:t xml:space="preserve"> Sprendimo ECO-WIND Construction, C-727/17, EU:C:2020:393, 40 ir 41 punktai.</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Reglamentas, kuriuo nustatomas minimalus atstumas įrengiant vėjo jėgaines, nepatenka į „kitų reikalavimų“ kategoriją, nes jo poveikis atitinkamų gaminių prekybai nėra pakankamai tiesioginis.</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iš suformuotos jurisprudencijos matyti, kad šiai kategorijai priklauso teisės aktai, kuriuose numatyta sąlyga, galinti turėti didelės įtakos gaminio sudėčiai, pobūdžiui ar prekybai (2005 m. balandžio 21 d. Sprendimo Lindberg, C-267/03, EU:C:2005:246, 69–72 punktai ir 2012 m. liepos 19 d. Sprendimo Fortuna ir kt., C-213/11, C-214/11 ir C-217/11, EU:C:2012:495, 35 punktas), šie „kiti reikalavimai“, apimantys reikalavimus, kylančius dėl atsižvelgimo į nagrinėjamo produkto gyvavimo ciklą po jo pateikimo rinkai, ir visų pirma susijusius su jo naudojimu.</w:t>
      </w:r>
    </w:p>
    <w:p w14:paraId="15144425" w14:textId="77777777">
      <w:pPr>
        <w:pStyle w:val="P68B1DB1-BodyText19"/>
        <w:ind w:left="567"/>
        <w:rPr>
          <w:iCs/>
        </w:rPr>
      </w:pPr>
    </w:p>
    <w:p w14:paraId="45870460" w14:textId="6B88BEBE">
      <w:pPr>
        <w:pStyle w:val="P68B1DB1-BodyText19"/>
        <w:ind w:left="567"/>
        <w:rPr>
          <w:iCs/>
        </w:rPr>
      </w:pPr>
      <w:r>
        <w:t xml:space="preserve">41. Nagrinėjamu atveju, kaip ir šio sprendimo 37 punkte pateiktame vertinime, reikia pažymėti, jog reikalavimas, kad įrengiant vėjo jėgainę būtų laikomasi minimalaus atstumo tarp jos ir gyvenamosios paskirties pastatų, neturi tiesioginio ryšio su gaminio, kaip antai vėjo turbinų, sudėtimi, pobūdžiu ar prekyba juo. Šiuo klausimu pažymėtina, kad net jei dėl šio reikalavimo būtų apribotos vėjo jėgainėms įrengti tinkamos vietos ir todėl būtų daromas poveikis prekybai vėjo generatoriais, šis poveikis nebūtų pakankamai tiesioginis, kad šis reikalavimas patektų į „kitų reikalavimų“ kategoriją, numatytą Direktyvos 2015/1535 1 straipsnio 1 dalies f punkte.“</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2022 m. lapkričio 4 d.</w:t>
        </w:r>
      </w:hyperlink>
      <w:r>
        <w:rPr>
          <w:rFonts w:ascii="Times New Roman" w:hAnsi="Times New Roman" w:cs="Times New Roman" w:eastAsia="Times New Roman"/>
          <w:b/>
          <w:i/>
          <w:szCs w:val="20"/>
        </w:rPr>
        <w:t xml:space="preserve"> Sprendimo Phytofar, C</w:t>
        <w:noBreakHyphen/>
        <w:t xml:space="preserve">658/21, EU:C:2022:925, 36–42 punktai.</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Teisės aktai, draudžiantys asmenims, neturintiems leidimo specialistams naudoti pesticidus, kurių sudėtyje yra glifosato, gali būti laikomi „kitu reikalavimu“, nes jie gali daryti didelę įtaką prekybai glifosatu. Šios įtakos reikšmė vertinama atsižvelgiant į atitinkamų produktų pirkimo apimtį ir pardavimo įpročių pokyčius.</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Šiuo atveju iš 2017 m. liepos 14 d. nutarimo preambulės matyti, kad jame nustatytu draudimu siekiama apsaugoti žmonių sveikatą ir aplinką.</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Toliau reikia pažymėti, kad šis draudimas taikomas pesticidų, kurių sudėtyje yra glifosato, gyvavimo ciklui po to, kai jie pateikiami rinkai, nustatant šių gaminių naudojimo sąlygą, kad privačiai naudojamoje žemėje juos gali naudoti tik specialistai, turintys fitosanitarinius leidimus.</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Galiausiai reikia konstatuoti, kad tokia draudimo priemonė gali daryti įtaką atitinkamų prekių prekybai.</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Iš tiesų dėl šios priemonės išnyksta potencialių pesticidų, kurių sudėtyje yra glifosato, pirkėjų kategorija, t. y. privatūs asmenys, norintys patys naudoti tokius pesticidus ir apsieiti be specialistų, turinčių reikalaujamą fitosanitarinį leidimą, paslaugų. Todėl toks galimybės naudoti pesticidus, kurių sudėtyje yra glifosato, apribojimas daro poveikį jų prekybai (pagal analogiją žr. 2016 m. spalio 13 d. Sprendimo M. ir S., C-303/15, EU:C:2016:771, 26 punktą ir jame nurodytą jurisprudenciją).</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Vis dėlto, kaip Komisija nurodo rašytinėse pastabose, tam, kad 2017 m. liepos 14 d. nutarimu įvestą priemonę būtų galima priskirti prie „kitų reikalavimų“ kategorijos „techninių reglamentų“, kaip tai suprantama pagal Direktyvos 2015/1535 1 straipsnio 1 dalies d ir f punktus, būtina, kad ši priemonė „žymiai“ paveiktų prekybą pesticidais, kurių sudėtyje yra glifosato.</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Prašymą priimti prejudicinį sprendimą pateikęs teismas turi patikrinti, ar taip yra nagrinėjamu atveju.</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Atlikdamas šį vertinimą prašymą priimti prejudicinį sprendimą pateikęs teismas gali atsižvelgti, be kita ko, į bendrą pesticidų, kurių sudėtyje yra glifosato, pardavimo apimtį Flandrijos regione ir į kiekvienos pirkėjų kategorijos pirkimo įpročių pokyčius, remiantis jų pirkimų dažnumu ir nupirkto gaminio kiekiu, taip pat į pirkimo vietų ir platinimo kanalų pokyčius. Šiomis aplinkybėmis šis teismas gali atsižvelgti į tai, kiek, viena vertus, profesionalių naudotojų reikalavimas pakeičia privačių asmenų, kurie naudojasi profesionalių naudotojų paslaugomis, poreikius ir, kita vertus, pavieniai naudotojai dabar gauna pesticidus be glifosato, o ne tuos, kurių sudėtyje yra šios medžiagos.“</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2023 m. kovo 9 d.</w:t>
        </w:r>
      </w:hyperlink>
      <w:r>
        <w:rPr>
          <w:rFonts w:ascii="Times New Roman" w:hAnsi="Times New Roman" w:cs="Times New Roman" w:eastAsia="Times New Roman"/>
          <w:b/>
          <w:i/>
          <w:szCs w:val="20"/>
        </w:rPr>
        <w:t xml:space="preserve"> Sprendimo Vapo Atlantic, C-604/21, EU:C:2023:175, 40 ir 41 punktai.</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Nacionalinės teisės aktai, pagal kuriuos reikalaujama, kad variklių degalus vartoti išleidžiantys ūkio subjektai prisidėtų prie biodegalų įtraukimo į variklių degalus tikslų įgyvendinimo ir už kurių pažeidimą gali būti taikomos finansinės sankcijos, gali daryti didelę įtaką prekybai degalais. Todėl tai yra „kitas reikalavimas“.</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Šiuo atveju prašymą priimti prejudicinį sprendimą pateikusio teismo pateikti klausimai susiję su nacionalinės teisės aktu, kuriuo reikalaujama, kad ūkio subjektai, išleidžiantys naudoti automobilių degalus (išskyrus SND ir gamtines dujas), prisidėtų prie biodegalų įmaišymo į per metus išleistų naudoti automobilių degalų kiekį tikslų įgyvendinimo (2020 m. reikėjo įmaišyti 10 % biodegalų). Nors tokiame teisės akte nenurodoma automobilių degalų rūšis, nenustatoma procentinė biodegalų dalis, kuri turi būti fiziškai įmaišyta į automobilių degalus, taip pat nenurodoma biodegalų, kurie turi būti įmaišyti į automobilių degalus, rūšis, jame įtvirtintas aplinkos apsaugos tikslais priimtas reikalavimas skirtas pateiktų rinkai automobilių degalų gyvavimo ciklui ir gali daryti reikšmingą įtaką šių produktų prekybai, nes nesilaikant jame įtvirtintos pareigos įmaišyti biodegalų gali būti nurodyta sumokėti finansinę kompensaciją.</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Iš to matyti, kad nacionalinės teisės aktas, kuriame nustatytas 10 % biodegalų įtraukimo į ekonominės veiklos vykdytojo vartoti išleistus degalus 2020 m. tikslas, patenka į sąvoką „kiti reikalavimai“, kaip ji suprantama pagal Direktyvos 98/34 1 straipsnio 4 punktą, ir todėl yra „techninis reglamentas“, kaip tai suprantama pagal šios direktyvos 1 straipsnio 11 punktą.“</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Paslaugų teikimo taisyklės</w:t>
      </w:r>
      <w:bookmarkEnd w:id="5"/>
      <w:bookmarkEnd w:id="68"/>
      <w:bookmarkEnd w:id="69"/>
    </w:p>
    <w:p w14:paraId="19E12A03" w14:textId="77777777">
      <w:pPr>
        <w:pStyle w:val="BodyText"/>
      </w:pPr>
    </w:p>
    <w:p w14:paraId="6D8B2150" w14:textId="77777777">
      <w:pPr>
        <w:pStyle w:val="P68B1DB1-BodyText11"/>
        <w:ind w:left="567"/>
        <w:rPr>
          <w:iCs/>
        </w:rPr>
      </w:pPr>
      <w:r>
        <w:t xml:space="preserve">„paslaugų taisyklė – bendro pobūdžio reikalavimas, susijęs su paslaugų teikimo veiklos pradėjimu ir vykdymu, kaip apibrėžta b punkte, visų pirma nuostatos, susijusios su paslaugų teikėju, paslaugomis ir paslaugų gavėju, išskyrus taisykles, kurios nėra konkrečiai skirtos tame punkte apibrėžtoms paslaugoms. </w:t>
      </w:r>
    </w:p>
    <w:p w14:paraId="7C9B8AC3" w14:textId="77777777">
      <w:pPr>
        <w:pStyle w:val="P68B1DB1-BodyText11"/>
        <w:ind w:left="567"/>
        <w:rPr>
          <w:iCs/>
        </w:rPr>
      </w:pPr>
    </w:p>
    <w:p w14:paraId="46FCE36C" w14:textId="0D89DACC">
      <w:pPr>
        <w:pStyle w:val="P68B1DB1-BodyText11"/>
        <w:ind w:left="567"/>
        <w:rPr>
          <w:iCs/>
        </w:rPr>
      </w:pPr>
      <w:r>
        <w:t xml:space="preserve">Šioje apibrėžtyje: </w:t>
      </w:r>
    </w:p>
    <w:p w14:paraId="0FA17B64" w14:textId="77777777">
      <w:pPr>
        <w:pStyle w:val="P68B1DB1-BodyText11"/>
        <w:ind w:left="567"/>
        <w:rPr>
          <w:iCs/>
        </w:rPr>
      </w:pPr>
    </w:p>
    <w:p w14:paraId="5287D99C" w14:textId="40B4253E">
      <w:pPr>
        <w:pStyle w:val="P68B1DB1-BodyText11"/>
        <w:numPr>
          <w:ilvl w:val="0"/>
          <w:numId w:val="30"/>
        </w:numPr>
        <w:rPr>
          <w:iCs/>
        </w:rPr>
      </w:pPr>
      <w:r>
        <w:t xml:space="preserve">taisyklė yra laikoma konkrečiai skirta informacinės visuomenės paslaugoms, jeigu, atsižvelgiant į jos priežasčių išdėstymą ir dėstomąją dalį, visa taisykle arba jos atskiromis nuostatomis siekiama aiškiai ir tikslingai reglamentuoti tokias paslaugas; </w:t>
      </w:r>
    </w:p>
    <w:p w14:paraId="112BC54B" w14:textId="13ACB17B">
      <w:pPr>
        <w:pStyle w:val="P68B1DB1-BodyText11"/>
        <w:numPr>
          <w:ilvl w:val="0"/>
          <w:numId w:val="30"/>
        </w:numPr>
        <w:rPr>
          <w:iCs/>
        </w:rPr>
      </w:pPr>
      <w:r>
        <w:t xml:space="preserve">taisyklė nelaikoma konkrečiai skirta informacinės visuomenės paslaugoms, jei ji tokioms paslaugoms daro tik numanomą ar atsitiktinį poveikį;“</w:t>
      </w:r>
    </w:p>
    <w:p w14:paraId="573C811F" w14:textId="77777777">
      <w:pPr>
        <w:pStyle w:val="BodyText"/>
        <w:ind w:left="567"/>
        <w:rPr>
          <w:i/>
          <w:iCs/>
        </w:rPr>
      </w:pPr>
    </w:p>
    <w:p w14:paraId="2735376A" w14:textId="709F0465">
      <w:pPr>
        <w:pStyle w:val="BodyText"/>
        <w:ind w:left="1440"/>
        <w:jc w:val="right"/>
      </w:pPr>
      <w:r>
        <w:t xml:space="preserve">(Direktyvos (ES) 2015/1535 1 straipsnio 1 dalies e punktas)</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„paslauga“ – bet kokia informacinės visuomenės paslauga, t. y. paprastai už atlygį per atstumą, elektroninėmis priemonėmis ir asmenišku paslaugų gavėjo prašymu teikiama paslauga.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Šioje apibrėžtyje: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„nuotoliniu būdu“ reiškia, kad paslauga teikiama šalims nedalyvaujant vienu metu;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„elektroninėmis priemonėmis“ reiškia, kad paslauga iš pradžių siunčiama ir priimama į paskirties vietą naudojant elektroninę įrangą duomenims apdoroti (įskaitant skaitmeninį suspaudimą) ir saugoti ir visiškai perduodama, perduodama ir priimama laidais, radijo, optinėmis ar kitomis elektromagnetinėmis priemonėmis;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„asmenišku paslaugų gavėjo prašymu“ reiškia, kad paslauga teikiama perduodant duomenis individualiu prašymu.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Orientacinis paslaugų, kurioms šis apibrėžimas netaikomas, sąrašas pateikiamas I priede;“</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(Direktyvos (ES) 2015/1535 1 straipsnio 1 dalies b punktas)</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„Orientacinis paslaugų, kurioms netaikomas 1 straipsnio 1 dalies b punkto antra pastraipa, sąrašas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Paslaugos, teikiamos „ne per atstumą“</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Paslaugos, teikiamos naudojant netgi elektroninius prietaisus, kai fiziškai dalyvauja teikėjas ir gavėjas: </w:t>
      </w:r>
    </w:p>
    <w:p w14:paraId="3362CCDE" w14:textId="74A453DA">
      <w:pPr>
        <w:spacing w:after="0" w:line="240" w:lineRule="auto"/>
        <w:ind w:left="1287"/>
        <w:rPr>
          <w:rFonts w:ascii="Times New Roman" w:hAnsi="Times New Roman" w:cs="Times New Roman"/>
          <w:i/>
          <w:sz w:val="24"/>
          <w:szCs w:val="24"/>
        </w:rPr>
        <w:pStyle w:val="P68B1DB1-Normal12"/>
      </w:pPr>
      <w:r>
        <w:t xml:space="preserve">a) medicininę apžiūrą arba gydymą gydytojo chirurgijoje naudojant elektroninę įrangą, kai pacientas fiziškai yra;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susipažinimas su elektroniniu katalogu parduotuvėje su klientu vietoje; </w:t>
      </w:r>
    </w:p>
    <w:p w14:paraId="7DA6C469" w14:textId="5F31D5B1">
      <w:pPr>
        <w:spacing w:after="0" w:line="240" w:lineRule="auto"/>
        <w:ind w:left="1287"/>
        <w:rPr>
          <w:rFonts w:ascii="Times New Roman" w:hAnsi="Times New Roman" w:cs="Times New Roman"/>
          <w:i/>
          <w:sz w:val="24"/>
          <w:szCs w:val="24"/>
        </w:rPr>
        <w:pStyle w:val="P68B1DB1-Normal12"/>
      </w:pPr>
      <w:r>
        <w:t xml:space="preserve">C) lėktuvo bilietų rezervavimas kelionių agentūroje fiziškai dalyvaujant klientui kompiuterių tinklu;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elektroniniai žaidimai vaizdo galerijoje, kurioje fiziškai dalyvauja klientas.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Paslaugos, teikiamos „ne elektroninėmis priemonėmis“</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paslaugos, turinčios materialinį turinį, nors ir teikiamos elektroniniais prietaisais: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automatiniai grynųjų pinigų ar bilietų išdavimo automatai (banknotai, geležinkelio bilietai); </w:t>
      </w:r>
    </w:p>
    <w:p w14:paraId="07693B6B" w14:textId="1A59726A">
      <w:pPr>
        <w:spacing w:after="0" w:line="240" w:lineRule="auto"/>
        <w:ind w:left="1287"/>
        <w:rPr>
          <w:rFonts w:ascii="Times New Roman" w:hAnsi="Times New Roman" w:cs="Times New Roman"/>
          <w:i/>
          <w:sz w:val="24"/>
          <w:szCs w:val="24"/>
        </w:rPr>
        <w:pStyle w:val="P68B1DB1-Normal12"/>
      </w:pPr>
      <w:r>
        <w:t xml:space="preserve">b) prieiga prie kelių tinklų, automobilių stovėjimo aikštelių ir t. t., mokesčiai už naudojimąsi, net jei prie įvažiavimo ir (arba) išvykimo yra elektroninių įtaisų, kuriais kontroliuojamas įėjimas ir išėjimas ir (arba) užtikrinamas teisingas mokėjimas, </w:t>
      </w:r>
    </w:p>
    <w:p w14:paraId="6B193BE7" w14:textId="77777777">
      <w:pPr>
        <w:spacing w:after="0" w:line="240" w:lineRule="auto"/>
        <w:ind w:left="567"/>
        <w:rPr>
          <w:rFonts w:ascii="Times New Roman" w:hAnsi="Times New Roman" w:cs="Times New Roman"/>
          <w:i/>
          <w:sz w:val="24"/>
          <w:szCs w:val="24"/>
        </w:rPr>
        <w:pStyle w:val="P68B1DB1-Normal12"/>
      </w:pPr>
      <w:r>
        <w:t xml:space="preserve">– neinternetinės paslaugos: CD-ROM arba programinės įrangos platinimas diskeliuose, </w:t>
      </w:r>
    </w:p>
    <w:p w14:paraId="421C0A6C" w14:textId="77777777">
      <w:pPr>
        <w:spacing w:after="0" w:line="240" w:lineRule="auto"/>
        <w:ind w:left="567"/>
        <w:rPr>
          <w:rFonts w:ascii="Times New Roman" w:hAnsi="Times New Roman" w:cs="Times New Roman"/>
          <w:i/>
          <w:sz w:val="24"/>
          <w:szCs w:val="24"/>
        </w:rPr>
        <w:pStyle w:val="P68B1DB1-Normal12"/>
      </w:pPr>
      <w:r>
        <w:t xml:space="preserve">– paslaugos, kurios teikiamos ne elektroninėmis duomenų apdorojimo ir (arba) inventorizavimo sistemomis: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balso telefonijos paslaugos;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telefakso/telekso paslaugos;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balso telefonijos arba fakso paslaugomis;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gydytojo konsultacija telefonu ir (arba) telefaksu;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advokato konsultavimąsi telefonu ir (arba) telefaksu;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tiesioginė rinkodara telefonu ir (arba) telefaksu.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Paslaugos, teikiamos „ne asmenišku paslaugų gavėjo prašymu“</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Paslaugos, teikiamos perduodant duomenis be atskiro pageidavimo, siekiant, kad juos vienu metu priimtų neribotas atskirų gavėjų skaičius (ryšio tarp vieno ir keleto punktų perdavimas): </w:t>
      </w:r>
    </w:p>
    <w:p w14:paraId="7348FF90" w14:textId="622E29E3">
      <w:pPr>
        <w:spacing w:after="0" w:line="240" w:lineRule="auto"/>
        <w:ind w:left="1287"/>
        <w:rPr>
          <w:rFonts w:ascii="Times New Roman" w:hAnsi="Times New Roman" w:cs="Times New Roman"/>
          <w:i/>
          <w:sz w:val="24"/>
          <w:szCs w:val="24"/>
        </w:rPr>
        <w:pStyle w:val="P68B1DB1-Normal12"/>
      </w:pPr>
      <w:r>
        <w:t xml:space="preserve">a) televizijos transliavimo paslaugoms (įskaitant užsakomųjų vaizdo programų paslaugas), kurioms taikomas Direktyvos 2010/13/ES 1 straipsnio 1 dalies e punktas;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radijo transliavimo paslaugos; </w:t>
      </w:r>
    </w:p>
    <w:p w14:paraId="50FD6B17" w14:textId="6C6940F1">
      <w:pPr>
        <w:spacing w:after="0" w:line="240" w:lineRule="auto"/>
        <w:ind w:left="567" w:firstLine="720"/>
        <w:pStyle w:val="P68B1DB1-Normal12"/>
      </w:pPr>
      <w:r>
        <w:t xml:space="preserve">C) (televizinis) teletekstas.“</w:t>
      </w:r>
    </w:p>
    <w:p w14:paraId="4CB8A09D" w14:textId="49490E91">
      <w:pPr>
        <w:pStyle w:val="BodyText"/>
        <w:ind w:left="1440"/>
        <w:jc w:val="right"/>
      </w:pPr>
      <w:r>
        <w:t xml:space="preserve">(Direktyvos (ES) 2015/1535 I priedas)</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2005 m. birželio 2 d.</w:t>
        </w:r>
      </w:hyperlink>
      <w:r>
        <w:rPr>
          <w:rFonts w:ascii="Times New Roman" w:hAnsi="Times New Roman" w:cs="Times New Roman" w:eastAsia="Times New Roman"/>
          <w:b/>
          <w:i/>
          <w:szCs w:val="20"/>
        </w:rPr>
        <w:t xml:space="preserve"> Sprendimo Mediakabel BV, C-89/04, EU:C:2005:348, 38 ir 39 punktai.</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Televizijos transliavimo paslauga, kuri teikiama abonento prašymu, tačiau kurios filmų dažnumą ir laiką nustato teikėjas, nėra „informacinės visuomenės paslauga“, nes turinį pasirenka ir suplanuoja teikėjas, todėl jis neteikiamas individualiu gavėjo prašymu.</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Iš tikrųjų, jei tokia paslauga tenkina pirmuosius du „informacinės visuomenės paslaugos“ sąvokos kriterijus Direktyvos 98/34 1 straipsnio 2 punkto prasme, t. y. ji yra teikiama per atstumą ir perduodama elektroninėmis priemonėmis, ji netenkina minėtos sąvokos trečio kriterijaus, pagal kurį atitinkama paslauga turi būti teikiama „asmenišku paslaugų gavėjo prašymu“. Paslaugos „Filmtime“ atveju siūlomų filmų sąrašą sudaro paslaugos teikėjas. Šie atrinkti filmai yra siūlomi visiems abonentams tokiomis pačiomis sąlygomis – per laikraščius arba platinant informaciją televizijos ekrane – ir minėtus filmus galima žiūrėti teikėjo nustatytais tvarkaraščiais. Asmeninis raktas, suteikiantis galimybę žiūrėti filmus, yra tik vaizdų, kurių signalai vienu metu siunčiami visiems abonentams, atkodavimo būdas.</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Taigi tokia paslauga nėra asmeniškai užsakoma atskiro gavėjo, kuris šias programas galėtų laisvai pasirinkti interaktyviame kontekste. Ji turi būti laikoma užsakomųjų vaizdo programų paslauga, teikiama „nuo taško iki kelių punktų“, o ne „asmenišku paslaugų gavėjo prašymu“.</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2016 m. vasario 2 d.</w:t>
        </w:r>
      </w:hyperlink>
      <w:r>
        <w:t xml:space="preserve"> Sprendimo Ince, C-336/14, EU:C:2016:72, 75 ir 76 punktai.</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Nacionalinės nuostatos, kuriomis ribojamas internetinių azartinių lošimų siūlymas arba draudžiama tokių lošimų reklama internete, gali būti laikomos „paslaugų taisyklėmis“, nes jos susijusios su „informacinės visuomenės paslauga“. Priešingai, nuostatos, pagal kurias reikalaujama išankstinio leidimo azartinius lošimus organizuojantiems operatoriams arba draudžiama tokį leidimą išduoti privatiems ūkio subjektams, yra susijusios su įmonių steigimo sąlygomis ir todėl nėra „paslaugų taisyklės“.</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kai kurios Sutarties nuostatos dėl lošimų gali būti kvalifikuojamos kaip „paslaugų taisyklės“ tiek, kiek jos susijusios su „informacinės visuomenės paslauga“, kaip tai suprantama pagal Direktyvos 98/34 1 straipsnio 2 dalį. Šios nuostatos apima Sutarties dėl azartinių lošimų 4 straipsnio 4 dalyje numatytą draudimą siūlyti azartinius lošimus internete, šio draudimo išimtis, išvardytas šios sutarties 25 straipsnio 6 dalyje, galimybės siūlyti sporto lažybas naudojantis telekomunikacijų priemonėmis apribojimus pagal minėtos sutarties 21 straipsnio 2 dalį ir draudimą reklamuoti azartinius lošimus internete arba naudojantis telekomunikacijų priemonėmis pagal tos pačios sutarties 5 straipsnio 3 dalį.</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Tačiau Sutarties dėl azartinių lošimų nuostatos, nesusijusios su „informacinės visuomenės paslauga“, kaip ji suprantama pagal Direktyvos 98/34 1 straipsnio 2 punktą, pagal kurias nustatoma pareiga gauti leidimą organizuoti sporto lažybas arba rinkti statomas sumas ir tai, kad toks leidimas negali būti išduodamas privatiems subjektams, nėra „techniniai reglamentai“, kaip jie suprantami pagal šios direktyvos 1 straipsnio 11 punktą. Nacionalinės teisės nuostatos, kuriose numatytos tik įmonių steigimo ar paslaugų teikimo sąlygos, kaip antai nuostatos, pagal kurias veiklai vykdyti reikalingas išankstinis leidimas, nėra techniniai reglamentai, kaip jie suprantami pagal šią nuostatą (šiuo klausimu žr. Sprendimo Lindberg, C-267/03, EU:C:2005:246, 87 punktą).“</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2016 m. spalio 13 d. Teisingumo Teismo sprendimas</w:t>
        </w:r>
      </w:hyperlink>
      <w:r>
        <w:t xml:space="preserve"> Naczelnik Urzędu Celnego I w., C 303/15</w:t>
        <w:noBreakHyphen/>
        <w:t xml:space="preserve">, EU:C:2016:771, 24 punktas.</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Nuostata, pagal kurią lošimo veikla siejama su kazino veiklos leidimo turėjimu, nėra „paslaugų taisyklė“, nes ji nesusijusi su „informacinės visuomenės paslauga“.</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ši nuostata negali būti priskirta „informacinės visuomenės paslaugų taisyklių“ kategorijai, kaip ji suprantama pagal Direktyvos 98/34 1 straipsnio 5 punktą, nes ji nesusijusi su „informacinės visuomenės paslauga“, kaip tai suprantama pagal šios direktyvos 1 straipsnio 2 dalį.“</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t xml:space="preserve">2017 </w:t>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m. gruodžio 20 d.</w:t>
      </w:r>
      <w:r>
        <w:rPr>
          <w:color w:val="0000FF"/>
          <w:u w:val="single"/>
        </w:rPr>
        <w:fldChar w:fldCharType="end"/>
        <w:t xml:space="preserve">Sprendimo Falbert ir kt., C</w:t>
        <w:noBreakHyphen/>
        <w:t xml:space="preserve">255/16, EU:C:2017:983, 27–29, 32 ir 33 punktai.</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Nacionalinės nuostatos dėl lošimų ar reklamos paslaugų gali būti laikomos „paslaugų taisyklėmis“, jei jos tiesiogiai susijusios su nuotoliniu būdu, elektroninėmis priemonėmis ir individualiu gavėjo prašymu teikiamomis paslaugomis. Net jei iš šių nuostatų formuluotės neišskiriamos internetinės ir neinternetinės paslaugos, jų tikslas, susijęs su „informacinės visuomenės paslaugomis“, gali būti kildinamas iš jų konstatuojamųjų dalių arba </w:t>
      </w:r>
      <w:r>
        <w:rPr>
          <w:i/>
        </w:rPr>
        <w:t xml:space="preserve">parengiamųjų dokumentų</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Pažymėtina, kad pagal šios direktyvos 1 straipsnio 2 punktą „techninio reglamento“ kategorija apima vien su informacine visuomene susijusias paslaugų taisykles, t. y. visas per atstumą elektroninėmis priemonėmis ir asmeniniu paslaugų gavėjo prašymu teikiamas paslaugų taisykles (žr. 2016 m. spalio 13 d. Sprendimo M. ir S., C-303/15, EU:C:2016:771, 21 punktą ir 2017 m. vasario 1 d. Sprendimo Município de Palmela, C-144/16, EU:C:2017:76, 28 punktą).</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Šiuo klausimu pažymėtina, kad Įstatymo dėl žaidimų 10 straipsnio 3 dalies 3 punktas iš principo susijęs su dviem paslaugų tipais, t. y. pirma, reklamos paslaugomis, kurioms taikomos šioje nuostatoje nustatytos sankcijos, ir, antra, žaidimų paslaugomis, kurioms taikomas reklamos draudimas ir kurios yra pagrindinis Įstatymo dėl žaidimų, vertinamo bendrai, dalykas.</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Tiek reklamos paslaugos, tiek azartinių lošimų paslaugos, teikiamos, be kita ko, elektroninėmis priemonėmis (internetu), yra „informacinės visuomenės paslaugos“, kaip jos suprantamos pagal Direktyvos 98/34 1 straipsnio 2 punktą ir su ja susijusias taisykles, kurios dėl to gali būti laikomos „paslaugų taisyklėmis“, kaip jos suprantamos pagal Direktyvos 98/34 1 straipsnio 5 punktą.“</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Šiuo klausimu pirmiausia reikia pažymėti, kad į klausimą, ar taisyklė yra konkrečiai susijusi su informacinės visuomenės paslaugomis, vadovaujantis Direktyvos 98/34 1 straipsnio 5 punkto pirma įtrauka reikia atsakyti atsižvelgiant tiek į šios taisyklės motyvus, tiek į jos tekstą. Be to, remiantis ta pačia nuostata, nereikalaujama, kad visa nagrinėjama taisykle būtų siekiama aiškiai ir tikslingai reglamentuoti informacinės visuomenės paslaugas, nes pakanka, kad tik tam tikromis šios taisyklės nuostatomis būtų siekiama šio tikslo arba paskirties.</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Todėl, jei iš nacionalinės teisės nuostatos formuluotės nematyti, kad ja bent iš dalies siekiama konkrečiai reglamentuoti informacinės visuomenės paslaugas, kaip antai nagrinėjamu atveju, kai formuluotėje nedaromas joks skirtumas tarp ne internetu teikiamų paslaugų ir internetu teikiamų paslaugų, šis tikslas vis dėlto gali būti lengvai nubrėžtas iš taisyklės motyvų, kaip ir šiuo atveju pagal atitinkamas nacionalines aiškinimo taisykles, kurios, be kita ko, leidžia parengti šios taisyklės parengiamuosius dokumentus.“</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2017 m. gruodžio 20 d.</w:t>
        </w:r>
      </w:hyperlink>
      <w:r>
        <w:t xml:space="preserve"> Sprendimo Asociación Profesional Elite Taxi, C</w:t>
        <w:noBreakHyphen/>
        <w:t xml:space="preserve">434/15, EU:C:2017:981, 37 ir 39–41 punktai.</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Tarpininkavimo paslauga, kuri per išmaniųjų telefonų taikomąją programą už atlygį sujungia savo transporto priemonėmis besinaudojančius neprofesionalius vairuotojus su asmenimis, siekiančiais miesto transporto paslaugų, turi būti laikoma iš esmės susijusia su transporto paslauga, todėl kvalifikuojama kaip „paslauga transporto srityje“ (o ne kaip „informacinės visuomenės paslauga“).</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Vis dėlto reikia pažymėti, kad tokia paslauga, kaip nagrinėjama pagrindinėje byloje, yra daugiau nei tarpininkavimo paslauga, kurią sudaro neprofesionalaus vairuotojo, kuris naudojasi savo transporto priemone, ir asmens, norinčio keliauti mieste, susijungimas naudojant išmaniojo telefono taikomąją programą.“</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Dėl šio aspekto pažymėtina, kad remiantis Teisingumo Teismo turima informacija darytina išvada, kad Uber tarpininkavimo paslauga grindžiama nuosavas transporto priemones naudojančių neprofesionalių vairuotojų, kuriems ši bendrovė suteikia programėlę, be kurios, viena vertus, tie vairuotojai negalėtų teikti transporto paslaugų ir, kita vertus, mieste iš vienos vietos į kitą norintys keliauti asmenys negalėtų pasinaudoti tų vairuotojų paslaugomis, sąrašu. Be to, Uber daro lemiamą įtaką sąlygoms, kuriomis tie vairuotojai teikia paslaugą. Dėl pastarojo aspekto reikia pažymėti, jog, be kita ko, matyti, kad Uber, naudodamasi tokio pat pavadinimo programėle, nustato bent maksimalią pavėžėjimo kainą, kurią ši bendrovė ima iš kliento prieš tai dalį tos sumos pervedusi neprofesionaliam transporto priemonės vairuotojui, ir kad ji atlieka tam tikrą transporto priemonių kokybės ir jų vairuotojų bei jų elgesio kontrolę ir, jei reikia, gali nebeleisti jiems teikti paslaugos.</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Taigi ši tarpininkavimo paslauga turi būti laikoma bendros paslaugos, kurios pagrindinis elementas yra transporto paslauga, sudedamąja dalimi ir dėl tos priežasties kvalifikuojama ne kaip „informacinės visuomenės paslauga“ pagal Direktyvos 98/34 1 straipsnio 2 punktą, į kurį daroma nuoroda Direktyvos 2000/31 2 straipsnio a punkte, o kaip „paslauga transporto srityje“ pagal Direktyvos 2006/123 2 straipsnio 2 dalies d punktą.</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Šį kvalifikavimą patvirtina Teisingumo Teismo jurisprudencija, pagal kurią sąvoka „paslaugos transporto srityje“ apima ne tik pačias transporto paslaugas, bet ir bet kokią paslaugą, neatsiejamai susijusią su bet kokiu fiziniu asmenų ar prekių perkėlimo iš vienos vietos į kitą transporto priemone veiksmu (šiuo klausimu žr. 2015 m. spalio 15 d. Sprendimo Grupo Itevelesa ir kt., C-168/14, EU:C:2015:685, 45 ir 46 punktus ir 2017 m. gegužės 16 d. Nuomonės 2/15 (Laisvosios prekybos susitarimas su Singapūru), EU:C:2017:376, 61 punktą).“</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2018 m. balandžio 10 d.</w:t>
        </w:r>
      </w:hyperlink>
      <w:r>
        <w:t xml:space="preserve"> Sprendimo Uber France, C</w:t>
        <w:noBreakHyphen/>
        <w:t xml:space="preserve">320/16, EU:C:2018:221, 21 ir 22 punktai.</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Nacionalinės teisės nuostata, kurioje numatytos baudžiamosios sankcijos už klientų sujungimo su vairuotojais sistemos organizavimą be reikiamo leidimo, yra susijusi su „paslauga transporto srityje“ (o ne „informacinės visuomenės paslauga“), jeigu tarpininkavimo paslauga, kuriai ji taikoma, yra sudėtinė visos paslaugos, kurios pagrindinė sudedamoji dalis yra transporto paslauga, dalis.</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Teisingumo Teismas konstatavo, kad atitinkamos bendrovės teikiama tarpininkavimo paslauga iš esmės buvo susijusi su šios bendrovės neviešojo miesto transporto paslaugų teikimu, atsižvelgiant į tai, kad, pirma, ši bendrovė pateikė programėlę, be kurios šie vairuotojai nebūtų turėję teikti transporto paslaugų, ir asmenys, norintys keliauti mieste, nebūtų pasinaudoję šių vairuotojų teikiamomis paslaugomis ir, antra, ši bendrovė darė lemiamą įtaką sąlygoms, kuriomis šie vairuotojai teikia paslaugas, be kita ko, nustatant maksimalią kainą, surenkant šią kainą iš kliento prieš sumokant dalį jos neprofesionaliam transporto priemonės vairuotojui ir vykdant tam tikrą transporto priemonių, vairuotojų ir jų elgesio kokybės kontrolę, dėl kurios tam tikromis aplinkybėmis jie galėtų būti neįtraukti (šiuo klausimu žr. 2017 m. gruodžio 20 d. Sprendimo Asociación Profesional Elite Taxi, C-434/15, EU:C:2017:981, 38 ir 39 punktus).</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Remdamasis šiomis aplinkybėmis Teisingumo Teismas nusprendė, kad toje byloje nagrinėjama tarpininkavimo paslauga turi būti laikoma sudėtine visos paslaugos, kurios pagrindinė sudedamoji dalis yra transporto paslauga, dalimi ir todėl turi būti laikoma ne „informacinės visuomenės paslauga“, kaip ji suprantama pagal Direktyvos 98/34 1 straipsnio 2 dalį, o „paslauga transporto srityje“, kaip tai suprantama pagal Direktyvos 2006/123 2 straipsnio 2 dalies d punktą (šiuo klausimu žr. 2017 m. gruodžio 20 d. Sprendimo Asociación Profesional Elite Taxi, C-434/15, EU:C:2017:981, 40 punktą).“</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2018 m. rugsėjo 26 d.</w:t>
        </w:r>
      </w:hyperlink>
      <w:r>
        <w:t xml:space="preserve"> Sprendimo Van Gennip ir kt., C-137/17, EU:C:2018:771, 42 ir 43 punktai.</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Nacionalinės nuostatos, pagal kurias prekyba produktais priklauso nuo to, ar pirkėjas turi leidimą, nepatenka į sąvoką „paslaugų taisyklė“, nes jos nesusijusios su „informacinės visuomenės paslaugomis“.</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Trečia, kiek tai susiję su „paslaugų taisyklės“ kategorija, primintina, kad pagal Direktyvos 98/34 1 straipsnio 5 punktą tokia taisyklė yra bet koks bendro pobūdžio reikalavimas, susijęs su paslaugų verslo steigimu, kaip nurodyta šios direktyvos 1 straipsnio 2 punkte, kuriame apibrėžiama kaip „bet kuri informacinės visuomenės paslauga, t. y. paprastai už atlyginimą per atstumą, elektroninėmis priemonėmis ir asmenišku paslaugų gavėjo prašymu teikiama paslauga“ (2016 m. vasario 4 d. Sprendimo Ince, C-336/14, EU:C:2016:72, 74 punktas).</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Šiuo atveju reikia konstatuoti, kad, kaip tvirtino generalinis advokatas išvados 73 punkte, pagrindinėje byloje nagrinėjami teisės aktai nesusiję su informacinės visuomenės paslaugomis, kaip tai suprantama pagal Direktyvos 98/34 1 straipsnio 2 punktą. Todėl šie teisės aktai negali būti priskirti prie informacinės visuomenės „paslaugų taisyklės“ kategorijos, kaip ji suprantama pagal šios direktyvos 1 straipsnio 5 punktą.“</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2019 m. rugsėjo 12 d.</w:t>
        </w:r>
      </w:hyperlink>
      <w:r>
        <w:t xml:space="preserve"> Sprendimo VG Media, C-299/17, EU:C:2019:716, 32, 33 ir 36 punktai.</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Nacionalinė nuostata, draudžianti paieškos sistemų komerciniams operatoriams ir komercinių turinio paslaugų teikėjams padaryti laikraščius viešai prieinamus, yra „techninis reglamentas“ ir apie ją turi būti pranešta Komisijai.</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Taisyklė laikoma konkrečiai skirta „informacinės visuomenės paslaugoms“, jei tam tikromis nuostatomis siekiama šio tikslo, net jei ji nėra vienintelis šios taisyklės tikslas. Šis tikslas gali būti kildinamas iš taisyklės motyvų, kurie gali būti nurodyti parengiamuosiuose dokumentuose, net jei jie nėra aiškiai matomi iš pačios taisyklės formuluotės.</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Šiuo klausimu reikėtų pažymėti, kad pagal šios direktyvos 1 straipsnio 5 punkto penktos pastraipos pirmą įtrauką taisyklė yra laikoma konkrečiai susijusia su informacinės visuomenės paslaugomis, atsižvelgiant į jos išdėstymą ir dėstomąją dalį. Be to, remiantis ta pačia nuostata, nereikalaujama, kad visa nagrinėjama taisykle būtų siekiama „aiškiai ir tikslingai“ reglamentuoti informacinės visuomenės paslaugas, nes pakanka, kad šio tikslo arba paskirties būtų siekiama tik tam tikromis šios taisyklės nuostatomis (2017 m. gruodžio 20 d. Sprendimo Falbert ir kt., C-255/16, EU:C:2017:983, 32 punktas).</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Be to, net jei iš nacionalinės teisės nuostatos formuluotės nematyti, kad ja bent iš dalies siekiama konkrečiai reglamentuoti informacinės visuomenės paslaugas, šis tikslas vis dėlto gali būti lengvai matomas iš taisyklės motyvų, kaip jie matyti iš šiuo klausimu taikytinų nacionalinių aiškinimo taisyklių, be kita ko, iš šios taisyklės parengiamųjų darbų (šiuo klausimu žr. 2017 m. gruodžio 20 d. Sprendimo Falbert ir kt., C-255/16, EU:C:2017:983, 33 punktą).“</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Iš tiesų, nors prašymą priimti prejudicinį sprendimą pateikęs teismas nepateikia aiškių nuorodų dėl konkretaus pagrindinėje byloje nagrinėjamo nacionalinės teisės akto tikslo, iš Vokietijos vyriausybės pastabų, pateiktų Teisingumo Teismo posėdyje, matyti, kad iš pradžių iš dalies pakeistas UrhG buvo skirtas konkrečiai interneto paieškos sistemų paslaugų teikėjams. Be to, pagrindinės bylos šalys ir Komisija savo rašytinėse pastabose nurodo, kad šio teisės akto tikslas – apsaugoti teisėtus spaudos leidėjų interesus skaitmeniniame pasaulyje. Todėl akivaizdu, kad pagrindinis nacionalinės nuostatos pagrindinėje byloje tikslas buvo apsaugoti tuos leidėjus nuo autorių teisių pažeidimų, padarytų naudojantis interneto paieškos sistemomis. Atsižvelgiant į tai, atrodo, kad apsauga būtina tik tais atvejais, kai informacinės visuomenės paslaugų teikėjai sistemingai pažeidžia interneto leidėjų kūrinius.“</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2019 m. gruodžio 19 d.</w:t>
        </w:r>
      </w:hyperlink>
      <w:r>
        <w:t xml:space="preserve"> Sprendimo Airbnb Ireland, C</w:t>
        <w:noBreakHyphen/>
        <w:t xml:space="preserve">390/18, EU:C:2019:1112, 64–68 ir 99 punktai.</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Tarpininkavimo paslauga, jungianti klientus su šeimininkais, siūlančiais trumpalaikį apgyvendinimą per elektroninę platformą, kartu teikiant papildomas paslaugas, yra „informacinės visuomenės paslauga“, nes papildomos paslaugos nedaro reikšmingos įtakos apgyvendinimo paslaugų teikimui.</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Kad paslauga būtų laikoma informacinės visuomenės paslauga, ji turi atitikti keturias sąlygas: ji turi būti teikiama už atlygį nuotoliniu būdu, elektroninėmis priemonėmis ir asmenišku gavėjo prašymu.</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Šio sprendimo 59–63 punktuose nurodytos bendrovės Airbnb Ireland teikiamos paslaugos (papildomos ar pagrindinės), net ir vertinamos kartu, neleidžia abejoti šios bendrovės teikiamos tarpininkavimo paslaugos atsiejamumu, taigi ir jos kvalifikavimu kaip „informacinės visuomenės paslaugos“, nebent iš esmės būtų pakeisti šiai paslaugai būdingi požymiai. Be to, kaip pažymėjo generalinis advokatas savo išvados 46 punkte, būtų paradoksalu, jeigu tokios papildomos pridėtinės vertės paslaugos, kurios per elektroninę platformą teikiamos savo klientams, visų pirma tam, kad būtų išsiskirta iš savo konkurentų, nesant papildomų aspektų galėtų lemti šios platformos veiklos pobūdžio, taigi ir teisinio kvalifikavimo pasikeitimą.</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Taip pat pažymėtina, kad, priešingai, nei teigia AHTOP ir Prancūzijos vyriausybė, tarpininkavimo paslaugos (tokios, kokią teikia bendrovė Airbnb Ireland) veikimo sąlygos negali būti prilygintos tarpininkavimo paslaugos veikimo sąlygoms, dėl kurių buvo priimtas 2017 m. gruodžio 20 d. Sprendimas Asociación Profesional Elite Taxi (C-434/15, EU:C:2017:981, 39 punktas) ir 2018 m. balandžio 10 d. Sprendimas Uber France (C-320/16, EU:C:2018:221, 21 punktas).</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Be to, kad minėti sprendimai priimti specifinėje miesto keleivinio transporto, kuriam taikoma SESV 58 straipsnio 1 dalis, srityje, o bendrovės Airbnb Ireland teikiamos paslaugos nėra panašios į paslaugas, nagrinėtas bylose, kuriose priimti pirmesniame punkte nurodyti sprendimai, šio sprendimo 59–63 punktuose nurodytos papildomos paslaugos negali parodyti Teisingumo Teismo minėtuose sprendimuose konstatuoto kontrolės lygio.</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Tuose sprendimuose Teisingumo Teismas pažymėjo, kad Uber daro lemiamą įtaką sąlygoms, kuriomis neprofesionalūs vairuotojai teikia vežimo paslaugas naudodamiesi šios bendrovės jiems suteikta programėle (2017 m. gruodžio 20 d. Sprendimo Asociación Profesional Elite Taxi, C-434/15, EU:C:2017:981, 39 punktas ir 2018 m. balandžio 10 d. Sprendimo Uber France, C-320/16, EU:C:2018:221, 21 punktas).</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Prašymą priimti prejudicinį sprendimą pateikusio teismo nurodytos aplinkybės, primintos šio sprendimo 19 punkte, neįrodo, kad Airbnb Ireland daro tokią lemiamą įtaką apgyvendinimo paslaugų, su kuriomis susijusi jos tarpininkavimo paslauga, teikimo sąlygoms, juo labiau kad Airbnb Ireland tiesiogiai ar netiesiogiai nenustato taikomos nuomos kainos, kaip nustatyta šio sprendimo 56 ir 62 punktuose, ir juo labiau ji pasirenka nuomotojus ar nuomojamą būstą savo platformoje.“</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Atsižvelgiant į tai, kad Prancūzijos Respublika nepranešė apie Hoguet įstatymą, ir į šio sprendimo 84 ir 85 punktuose primintą Direktyvos 2000/31 3 straipsnio 4 dalyje numatytų sąlygų kumuliacinį pobūdį, reikia manyti, kad šis įstatymas bet kuriuo atveju negali būti taikomas asmeniui, esančiam tokioje situacijoje kaip Airbnb Ireland pagrindinėje byloje, neatsižvelgiant į tai, ar šis įstatymas atitinka kitas šioje nuostatoje numatytas sąlygas.“</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2020 m. spalio 22 d.</w:t>
        </w:r>
      </w:hyperlink>
      <w:r>
        <w:t xml:space="preserve"> Sprendimo Sportingbet ir Internet Opportunity Entertainment, C</w:t>
        <w:noBreakHyphen/>
        <w:t xml:space="preserve">275/19, EU:C:2020:856, 47–49 punktai.</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Teisės aktai, suteikiantys valstybiniam subjektui išimtinę teisę organizuoti tam tikrus azartinius lošimus, taip pat ir internete, patenka į „paslaugų taisyklių“ apibrėžtį tiek, kiek jie susiję su informacinės visuomenės paslauga.</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Pagal šios direktyvos 1 straipsnio 5 punktą „paslaugų taisyklė“ yra bet koks bendro pobūdžio reikalavimas, susijęs su paslaugų verslo steigimu ir vertimusi juo, kaip nurodyta šios direktyvos 1 straipsnio 2 punkte; jame paslauga apibrėžiama kaip „bet kuri informacinės visuomenės paslauga, t. y. paprastai už atlyginimą per atstumą, elektroninėmis priemonėmis ir asmenišku paslaugų gavėjo prašymu teikiama paslauga“.</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Šiuo klausimu Teisingumo Teismas jau yra nusprendęs, kad nuostatos, reglamentuojančios draudimą siūlyti azartinius lošimus internete, šio draudimo išimtis, galimybės siūlyti sporto lažybas internetu apribojimus ir draudimą reklamuoti azartinius lošimus internete, gali būti kvalifikuojamos kaip „paslaugų taisyklės“, kaip jos suprantamos pagal Direktyvos 98/34 1 straipsnio 5 punktą, nes susijusios su „informacinės visuomenės paslauga“, kaip ji apibrėžiama pagal šios direktyvos 1 straipsnio 2 punktą (pagal analogiją žr. 2016 m. vasario 4 d. Sprendimo Ince, C-336/14, EU:C:2016:72, 75 punktą).</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Nagrinėjamu atveju Dekreto-įstatymo Nr. 282/2003 2 ir 3 straipsniuose numatytos taisyklės konkrečiai skirtos informacinės visuomenės paslaugoms. Be to, Santa Casa suteikus išimtinę teisę organizuoti azartinius lošimus internetu, šiomis nuostatomis draudžiama teikti šias paslaugas visiems ūkio subjektams, išskyrus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2020 m. gruodžio 3 d.</w:t>
        </w:r>
      </w:hyperlink>
      <w:r>
        <w:t xml:space="preserve"> Sprendimo Star Taxi App, C</w:t>
        <w:noBreakHyphen/>
        <w:t xml:space="preserve">62/19, EU:C:2020:980, 52–54 ir 64–66 punktai.</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Tarpininkavimo paslauga, kuri tik sujungia klientus su jau įgaliotais taksi vairuotojais, neorganizuodama pačios vežimo paslaugos, neparinkdama vairuotojų, nenustatydama tarifų ar nekontroliuojanti transporto priemonių ar vairuotojų, patenka į „informacinės visuomenės paslaugų“ kategoriją.</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Be to, teisės aktai, kurie nėra konkrečiai skirti tokioms paslaugoms, bet taikomi nediferencijuojant visoms dispečerinio siuntimo formoms, be kita ko, telefonu ar per taikomąją programą, negali būti laikomi „paslaugų taisykle“.</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Pirma, iš prašymo priimti prejudicinį sprendimą matyti, kad – priešingai nei tarpininkavimo paslauga, nagrinėta byloje, kurioje priimtas 2017 m. gruodžio 20 d. Sprendimas Asociación Profesional Elite Taxi (C-434/15, EU:C:2017:981), ir kuria buvo sukurtos ir tapo prieinamos kelionių mieste iš vienos vietos į kitą paslaugos, teikiamos anksčiau rinkoje nebuvusių neprofesionalių vairuotojų, – pagrindinėje byloje nagrinėjama paslauga, kaip savo išvados 49 punkte pažymėjo generalinis advokatas, leidžia asmenims, pageidaujantiems keliauti mieste iš vienos vietos į kitą, užmegzti ryšį tik su licenciją turinčiais taksi vairuotojais, kurių veikla egzistavo iki tol ir kuriems minėta tarpininkavimo paslauga yra tik vienas iš kitų klientų suradimo būdų, kuriuo jie, be to, visiškai neprivalo naudotis.</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Antra, tokia tarpininkavimo paslauga negali būti laikoma parengiančia bendrą vėlesnės vežimo mieste paslaugos veikimą, nes paslaugų teikėjas nei atrenka taksi vairuotojų, nei nustato ar surenka vežimo kainą, taip pat nevykdo transporto priemonių ir jų vairuotojų tinkamumo bei šių vairuotojų elgesio kontrolės.</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Iš to matyti, kad tokia tarpininkavimo paslauga, kokią teikia Star Taxi App, negali būti laikoma sudedamąja visos paslaugos, kurios pagrindinė sudedamoji dalis yra transporto paslauga, dalimi ir todėl turi būti laikoma „informacinės visuomenės paslauga“, kaip tai suprantama pagal Direktyvos 2000/31 2 straipsnio a punktą.“</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Nagrinėjamu atveju iš prašymo priimti prejudicinį sprendimą matyti, kad pagrindinėje byloje nagrinėjamuose Rumunijos teisės aktuose – nesvarbu, ar tai būtų Įstatymas Nr. 38/2003, ar Sprendimas Nr. 178/2008 – informacinės visuomenės paslaugos visiškai nepaminėtos. Taip pat Sprendimo Nr. 178/2008 1 priedo 3 straipsnis, 21 straipsnio 1 ir 3 bis dalys, 41 straipsnio 2 bis dalis vienodai taikomi visų rūšių dispečerinio valdymo paslaugoms, neatsižvelgiant į tai, ar jos teikiamos telefonu, ar kitomis priemonėmis (pavyzdžiui, kompiuterine taikomąja programa).</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Be to, kaip savo išvados 108 punkte pažymėjo generalinis advokatas, Įstatymu Nr. 38/2003 dispečerinio valdymo paslaugų teikėjams, kurie savo veiklą vykdo naudodamiesi išmaniajam telefonui skirta programėle, kaip ir visiems kitiems ūkio subjektams, teikiantiems dispečerinio valdymo paslaugą, nustatytas reikalavimas turėti įrangą (nagrinėjamu atveju – radijo siųstuvus-imtuvus), kuri, atsižvelgiant į technines šios paslaugos teikimo sąlygas, neturi jokios naudos.</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Taigi, kadangi teisės aktai, kaip antai nagrinėjami pagrindinėje byloje, konkrečiai nenurodo informacinės visuomenės paslaugų, jie šioms paslaugoms turi tik numanomą ar atsitiktinį poveikį. Todėl tokia taisyklė negali būti laikoma „paslaugų taisykle“, kaip tai suprantama pagal Direktyvos 2015/1535 1 straipsnio 1 dalies e punktą, ar „techniniu reglamentu“, kaip tai suprantama pagal šios direktyvos 1 straipsnio 1 dalies f punktą.“</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2024 m. vasario 29 d.</w:t>
        </w:r>
      </w:hyperlink>
      <w:r>
        <w:rPr>
          <w:rFonts w:ascii="Times New Roman" w:hAnsi="Times New Roman" w:cs="Times New Roman" w:eastAsia="Times New Roman"/>
          <w:b/>
          <w:i/>
          <w:szCs w:val="20"/>
        </w:rPr>
        <w:t xml:space="preserve"> Sprendimo Doctipharma SAS, C-606/21, EU:C:2024:179, 26–30 ir 34–36 punktai.</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Atlygį už paslaugą, kurią paslaugų teikėjas teikia vykdydamas ekonominę veiklą, nebūtinai turi mokėti naudos gavėjai. Tai taikoma interneto svetainėje teikiamai paslaugai, kurią sudaro vaistininkų ir klientų susiejimas dėl vaistų pardavimo, kai už šią paslaugą moka vaistininkai, užsisakę savo platformą už fiksuotą mokestį.</w:t>
      </w:r>
    </w:p>
    <w:p w14:paraId="60E238C1" w14:textId="77777777">
      <w:pPr>
        <w:pStyle w:val="P68B1DB1-BodyText22"/>
      </w:pPr>
    </w:p>
    <w:p w14:paraId="16BCA1E5" w14:textId="5221BD03">
      <w:pPr>
        <w:pStyle w:val="P68B1DB1-BodyText22"/>
      </w:pPr>
      <w:r>
        <w:t xml:space="preserve">Tokia paslauga nėra bendros paslaugos, kurios pagrindiniam elementui taikomas kitoks teisinis kvalifikavimas nei „informacinės visuomenės paslauga“, dalis.</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Direktyvos 98/34 1 straipsnio 2 dalyje ir Direktyvos 2015/1535 1 straipsnio 1 dalies b punkte sąvoka „informacinės visuomenės paslauga“ apibrėžta kaip „bet kokia paslauga, paprastai teikiama už atlygį nuotoliniu būdu, elektroninėmis priemonėmis ir asmenišku paslaugų gavėjo prašymu“.</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Dėl tose nuostatose nurodytos pirmosios sąlygos reikia pažymėti, kad pagal suformuotą jurisprudenciją atlygį už paslaugą, kurią paslaugų teikėjas suteikė vykdydamas ekonominę veiklą, nebūtinai turi mokėti šią paslaugą gavę asmenys (šiuo klausimu žr. 2016 m. rugsėjo 15 d. Sprendimo Mc Fadden, C-484/14, EU:C:2016:689, 41 punktą ir 2017 m. gegužės 4 d. Sprendimo Vanderborght, C-339/15, EU:C:2017:335, 36 punktą).</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Taigi siekiant tokią paslaugą, kokia nagrinėjama pagrindinėje byloje, pripažinti patenkančia į sąvoką „informacinės visuomenės paslauga“, kaip ji suprantama pagal Direktyvos 98/34 1 straipsnio 2 punktą ir Direktyvos 2015/1535 1 straipsnio 1 dalies b punktą, nėra svarbu, kad ši paslauga nereceptinį vaistą įsigyjančiam asmeniui teikiama nemokamai, nes dėl jos tarp šios paslaugos teikėjo ir kiekvieno vaistininko, kuris naudojasi šia paslauga, sudaroma atlygintinų paslaugų teikimo sutartis.</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Šiuo klausimu taip pat nėra svarbu, kad, kaip nurodė Doctipharma, pagal bendrąsias pardavimo sąlygas jos platformoje užsiregistravę vaistininkai mokėjo jai fiksuotą mokestį arba, kaip nurodė Prancūzijos vyriausybė, tai, kad už Doctipharma teikiamą paslaugą klientai vaistininkai mokėjo jai mėnesinį abonentinį mokestį ir platformos išskaičiuotą pardavimų sumos procentinę dalį.</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Vadinasi, su sąlyga, kad prašymą priimti prejudicinį sprendimą pateikęs teismas patikrins, pagrindinėje byloje nagrinėjama paslauga bet kuriuo atveju turi būti laikoma suteikta už atlygį.“</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Šios išvados nepaneigia Teisingumo Teismo jurisprudencija, suformuota 2017 m. gruodžio 20 d. Sprendime Asociación Profesional Elite Taxi (C-434/15, EU:C:2017:981), 2019 m. gruodžio 19 d. Sprendime Airbnb Ireland (C-390/18, EU:C:2019:1112) ir 2020 m. gruodžio 3 d. Sprendime Star Taxi App (C-62/19, EU:C:2020:980).</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Iš šios jurisprudencijos matyti, kad paslauga, kuria siekiama palaikyti klientų ryšius su kitokios paslaugos teikėjais ir kuri atitinka visas Direktyvos 98/34 1 straipsnio 2 punkte ir Direktyvos 2015/1535 1 straipsnio 1 dalies b punkte numatytas sąlygas, turi būti laikoma „informacinės visuomenės paslauga“, kai tokia paslauga skiriasi nuo kitokios tų paslaugų teikėjų teikiamos paslaugos. Vis dėlto turi būti kitaip, jei paaiškėja, kad ši ryšių užmezgimo paslauga yra bendros paslaugos, kurios pagrindiniam elementui taikomas kitas teisinis kvalifikavimas nei „informacinės visuomenės paslauga“, sudedamoji dalis (2020 m. gruodžio 3 d. Sprendimo Star Taxi App, C-62/19, EU:C:2020:980, 49 punktas ir jame nurodyta jurisprudencija).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Kaip savo išvados 28 ir 29 punktuose pažymėjo generalinis advokatas, vaistininkų ir klientų susiejimas siekiant parduoti nereceptinius vaistus iš šią paslaugą užsisakiusių vaistinių interneto svetainių negali būti sudedamoji visos paslaugos, kurios pagrindinis elementas nelaikomas „informacinės visuomenės paslauga“, dalis.</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2025 m. kovo 13 d.</w:t>
        </w:r>
      </w:hyperlink>
      <w:r>
        <w:rPr>
          <w:rFonts w:ascii="Times New Roman" w:hAnsi="Times New Roman" w:cs="Times New Roman" w:eastAsia="Times New Roman"/>
          <w:b/>
          <w:i/>
          <w:szCs w:val="20"/>
        </w:rPr>
        <w:t xml:space="preserve"> Sprendimo Unigames UAB, C</w:t>
        <w:noBreakHyphen/>
        <w:t xml:space="preserve">120/24, EU:C:2025:174, 38–42 punktai.</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Draudimas reklamuoti azartinius lošimus lošimų svetainėse susijęs ne su reklamos paslauga, nesusijusia su azartinių lošimų paslauga, o su paslauga, neatskiriama nuo internetinių lošimų paslaugos. Todėl siekiant nustatyti, ar tai yra „paslaugų taisyklė“, pirmiausia reikia išnagrinėti internetinių lošimų paslaugų kvalifikavimą kaip „informacinės visuomenės paslaugų“.</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Šio sprendimo 36 ir 37 punktuose pateiktų argumentų,</w:t>
      </w:r>
      <w:r>
        <w:rPr>
          <w:i w:val="0"/>
        </w:rPr>
        <w:t xml:space="preserve"> pagal kuriuos internetinių lošimų paslaugos turi būti laikomos „informacinės visuomenės paslaugomis“, nepaneigia </w:t>
      </w:r>
      <w:r>
        <w:t xml:space="preserve">aplinkybė, kad azartinių lošimų operatoriaus interneto svetainėje skelbiama informacija apie azartinius lošimus nebūtinai pateikiama „asmenišku paslaugų gavėjo prašymu“. Toks informacijos skelbimas tokiomis aplinkybėmis, kokios nagrinėjamos pagrindinėje byloje, negali būti laikomas reklamos paslauga ar kita nuotolinių lošimų paslaugų gavėjams teikiama paslauga, o yra papildoma ir neatskiriama atitinkamų nuotolinių lošimų paslaugų, iš kurių ji įgyja visą ekonominę reikšmę, veikla (pagal analogiją žr. 2020 m. spalio 1 d. Sprendimo A (Vaistų reklama ir pardavimas internetu), C-649/18, EU:C:2020:764, 56 punktą). Todėl tik pačios lošimo paslaugos turi atitikti reikšmingas sąlygas, kad patektų į sąvoką „paslauga“, kaip ji suprantama pagal Direktyvos 2015/1535 1 straipsnio 1 dalies b punktą, ir pagrindinėje byloje nagrinėjamas draudimas, susijęs su tokiu informacijos paskelbimu, savo ruožtu turi atitikti konkrečius kriterijus, numatytus šios direktyvos 1 straipsnio 1 dalies e punkte, kad jas būtų galima laikyti šių paslaugų „taisykle“, kaip tai suprantama pagal pastarąją nuostatą.</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Šiuo klausimu, nors neginčijama, kad pagrindinėje byloje nagrinėjamas draudimas yra „bendrojo pobūdžio reikalavimas“, kaip tai suprantama pagal Direktyvos 2015/1535 1 straipsnio 1 dalies e punktą, dar reikia išnagrinėti, pirma, ar jis gali būti laikomas „susijusiu su paslaugų veiklos pradėjimu ir vykdymu“, o šioje nuostatoje nurodyta, kad taip yra, be kita ko, nuostatų, susijusių su paslaugų teikėju, paslaugomis ir paslaugų gavėju, atveju.</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Šiuo klausimu reikia pažymėti, kad azartinių lošimų įstatymo 10 straipsnio 19 punktas gali patekti į sąvoką „paslaugų taisyklė“, nes jame nustatytas draudimas, be kita ko, skatinti dalyvauti nuotoliniuose lošimuose ir, be kita ko, skelbti informaciją apie azartinius lošimus lošimų organizatoriaus interneto svetainėje arba atlikti veiksmus, kuriais skatinamas dalyvavimas azartiniuose lošimuose (šiuo klausimu žr. 2020 m. spalio 22 d. Sprendimo Sportingbet ir Internet Opportunity Entertainment, C-275/19, EU:C:2020:856, 48 punktą ir jame nurodytą jurisprudenciją).</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Antra, kaip matyti iš pačios Direktyvos 2015/1535 1 straipsnio 1 dalies e punkto formuluotės, tam, kad būtų kvalifikuojamas kaip „paslaugų taisyklė“, pagrindinėje byloje nagrinėjamas draudimas turi būti „konkrečiai“ skirtas informacinės visuomenės paslaugoms (šiuo klausimu žr. 2019 m. rugsėjo 12 d. Sprendimo VG Media, C-299/17, EU:C:2019:716, 31 punktą).</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Šiuo klausimu iš Direktyvos 2015/1535 1 straipsnio 1 dalies e punkto antros pastraipos i punkto matyti, kad patikrinimas, ar taisyklė konkrečiai skirta informacinės visuomenės paslaugoms, turi būti atliekamas atsižvelgiant tiek į šios taisyklės formuluotę, tiek į ja siekiamą tikslą. Be to, pagal šią nuostatą nereikalaujama, kad visos nagrinėjamos taisyklės „konkretus tikslas ir tikslas“ būtų informacinės visuomenės paslaugų reguliavimas, tačiau pakanka, kad juo būtų siekiama tam tikromis jos nuostatomis (šiuo klausimu žr. 2019 m. rugsėjo 12 d. Sprendimo VG Media, C-299/17, EU:C:2019:716, 32 punktą ir jame nurodytą jurisprudenciją). Galiausiai pagal šios direktyvos 1 straipsnio 1 dalies e punkto antros pastraipos ii punktą taisyklė nelaikoma konkrečiai skirta informacinės visuomenės paslaugoms, jei ji daro poveikį tokioms paslaugoms tik netiesiogiai ar atsitiktinai.“</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Draudimo nuostatos</w:t>
      </w:r>
      <w:bookmarkEnd w:id="98"/>
      <w:bookmarkEnd w:id="99"/>
    </w:p>
    <w:p w14:paraId="11A12362" w14:textId="77777777">
      <w:pPr>
        <w:pStyle w:val="BodyText"/>
      </w:pPr>
    </w:p>
    <w:p w14:paraId="6DD7108F" w14:textId="22E84863">
      <w:pPr>
        <w:pStyle w:val="P68B1DB1-BodyText11"/>
        <w:ind w:left="567"/>
        <w:rPr>
          <w:iCs/>
        </w:rPr>
      </w:pPr>
      <w:r>
        <w:t xml:space="preserve">„techninis reglamentas – valstybių narių įstatymai ir kiti teisės aktai, išskyrus numatytus 7 straipsnyje, draudžiantys gaminį gaminti, įvežti, parduoti ar naudoti arba draudžiantys teikti paslaugą ar ja naudotis, arba įsisteigti paslaugų teikėjo veikloje.“</w:t>
      </w:r>
    </w:p>
    <w:p w14:paraId="6EA3335C" w14:textId="77777777">
      <w:pPr>
        <w:pStyle w:val="BodyText"/>
        <w:ind w:left="567"/>
        <w:rPr>
          <w:i/>
          <w:iCs/>
        </w:rPr>
      </w:pPr>
    </w:p>
    <w:p w14:paraId="05F6428B" w14:textId="3C27EE7A">
      <w:pPr>
        <w:pStyle w:val="BodyText"/>
        <w:ind w:left="1440"/>
        <w:jc w:val="right"/>
      </w:pPr>
      <w:r>
        <w:t xml:space="preserve">(direktyvos (ES) 2015/1535 1 straipsnio 1 dalies f punkto pirmas sakinys)</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1996 m. rugsėjo 16 d.</w:t>
        </w:r>
      </w:hyperlink>
      <w:r>
        <w:t xml:space="preserve"> Sprendimo Komisija/Italija, C-279/94, EU:C:1997:396, 30 punktas.</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Draudimas pateikti į rinką ir naudoti asbestą yra „techninis reglamentas“, apie kurį reikia pranešti, nes juo draudžiama prekiauti ir naudoti gaminį.</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Kiek tai susiję su Įstatymo Nr. 257/92 1 straipsnio 2 dalimi, ši nuostata draudžia išgauti, importuoti, eksportuoti, parduoti ir gaminti asbestą, asbesto produktus ir asbesto turinčius gaminius praėjus vieniems metams nuo šio įstatymo įsigaliojimo dienos. Tokia nuostata, draudžianti prekiauti ir naudoti asbestą, yra techninis reglamentas, apie kurį Italijos vyriausybė turėjo pranešti pagal direktyvos 8 straipsnio 1 dalies pirmą pastraipą.“</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2005 m. balandžio 21 d.</w:t>
        </w:r>
      </w:hyperlink>
      <w:r>
        <w:t xml:space="preserve"> Sprendimo Lindberg, C-267/03, EU:C:2005:246, 75–77 punktai.</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Nacionalinis draudimas, susijęs su tam tikrais azartiniais lošimais, gali būti kvalifikuojamas kaip draudžiamoji nuostata, jeigu jis nepalieka jokios galimybės pagrįstai naudoti atitinkamą prekę, išskyrus visiškai nereikšmingą. Kita vertus, kvalifikavimas kaip draudimo nepriklauso nuo atitinkamų produktų sudėties, pobūdžio ar prekybos draudimo poveikio.</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Šiuo atžvilgiu svarbu tai, kad Direktyvos 83/189 1 straipsnio 9 punkte apibrėžta minėta trečioji techninių reglamentų kategorija, priešingai nei antroji kategorija, kurią sudaro kiti reikalavimai to paties straipsnio 3 punkto prasme, nereikalauja, kad nagrinėjamas draudimas darytų didelę įtaką šio gaminio sudėčiai, rūšiai ar prekybai juo.</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Kadangi ši trečioji techninių reglamentų kategorija susijusi, inter alia, su naudojimo draudimu, turi būti kalbama apie priemonę, kurios apimtis aiškiai peržengia tik tam tikrų gaminio naudojimo būdų nustatymą ir todėl neapsiriboja vien tik pastarojo naudojimo draudimu.</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Kaip generalinis advokatas nurodė išvados 70 punkte, ši techninių reglamentų kategorija ypač taikytina tokioms nacionalinėms priemonėms, kurios leidžia vien tik nežymų nagrinėjamo gaminio naudojimą, kurio protingai galima tikėtis. Prašymą priimti prejudicinį sprendimą pateikęs teismas turi patikrinti, ar pagrindinėje byloje nagrinėjama nacionalinės teisės nuostata nustatytas draudimas yra tokia priemonė.“</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2005 m. rugsėjo 8 d.</w:t>
        </w:r>
      </w:hyperlink>
      <w:r>
        <w:t xml:space="preserve"> Sprendimo Lidl Italia, C-303/04, EU:C:2005:528, 12 ir 13 punktai.</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Nacionalinis draudimas prekiauti produktais, kurie nėra pagaminti iš tam tikrų medžiagų, yra nuostata, draudžianti gaminti ir parduoti produktus.</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pagal Direktyvos 98/34 1 straipsnio 11 punktą valstybės narės nacionalinės teisės nuostata, draudžianti gaminį gaminti, įvežti, pateikti į rinką ar naudoti, turi būti laikoma techninio reglamento kategorija (žr. 2005 m. gruodžio 12 d. Sprendimo Lindberg, C-267/03, dar nepaskelbto Rinkinyje, 54 punktą).</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Taigi šiuo atveju pakanka konstatuoti, kad įstatymo Nr. 93/2001 19 straipsnio 2 dalis yra tokio pobūdžio nuostata. Pagal šią nuostatą medvilnės pumpurų, neturinčių minėtų savybių, t. y. tų, kurie pagaminti ne vien iš biologiškai skaidžių medžiagų pagal UNI 10785 standartus, gamyba ir prekyba yra pažeidimai, už kuriuos skiriamos administracinės sankcijos.“</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2006 m. spalio 26 d.</w:t>
        </w:r>
      </w:hyperlink>
      <w:r>
        <w:t xml:space="preserve"> Sprendimo Komisija/Graikija, C-65/05, EU:C:2006:673, 61 punktas.</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Techniniais reglamentais turi būti laikomos priemonės, draudžiančios ne kazino įrengti visus elektrinius ar elektroninius žaidimus ir naudoti kompiuterinius žaidimus interneto paslaugas teikiančiose įmonėse, taip pat nustatyti, kad tokių įmonių veiklai būtų taikomas reikalavimas gauti specialią licenciją.</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Įstatymo Nr. 3037/2002 2 straipsnio 1 dalyje ir 3 straipsnyje numatytos priemonės tiek, kiek jomis draudžiama Graikijoje įrengti visus elektrinius, elektromechaninius ir elektroninius žaidimus, įskaitant visus kompiuterinius žaidimus, visose viešose ir privačiose patalpose, išskyrus kazino, ir naudoti žaidimus kompiuteriu interneto paslaugas teikiančiose įmonėse, ir nustatyti, kad tokių įmonių veiklai reikalingas specialus leidimas, turi būti laikomos techniniais reglamentais, kaip jie suprantami pagal Direktyvos 98/34 1 straipsnio 11 punktą (šiuo klausimu žr. 2005 m. gruodžio 13 d. Sprendimą</w:t>
        <w:noBreakHyphen/>
        <w:t xml:space="preserve">Lindberg, C 267/03, Rink. p.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2012 m. liepos 19 d.</w:t>
        </w:r>
      </w:hyperlink>
      <w:r>
        <w:t xml:space="preserve"> Sprendimo Fortuna ir kt., C-213/11, C-214/11 ir C-217/11, EU:C:2012:495, 24 ir 25 punktai.</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Priemonė, draudžianti naudoti lošimo automatus ne kazino, turi būti kvalifikuojama kaip „techninis reglamentas“.</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Teisingumo Teismas jau yra nusprendęs, kad priemonės, kuriomis draudžiama naudoti visus elektrinius, elektromechaninius ir elektroninius žaidimus visose viešosiose ir privačiose patalpose, išskyrus kazino, turi būti laikomos techniniais reglamentais, kaip tai suprantama pagal Direktyvos 98/34 1 straipsnio 11 punktą (2006 m. liepos 12 d. Sprendimo Komisija prieš Graikiją, C-65/05, Rink. p. I-10341, 61 punktas).</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Todėl tokia priemonė, kaip antai Azartinių lošimų įstatymo 14 straipsnio 1 dalis, pagal kurią azartinius lošimus automatais gali organizuoti tik lošimo namai, turi būti laikoma „techniniu reglamentu“, kaip tai suprantama pagal Direktyvos 98/34 1 straipsnio 11 punktą.“</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2016 m. spalio 27 d.</w:t>
        </w:r>
      </w:hyperlink>
      <w:r>
        <w:t xml:space="preserve"> Sprendimo James Elliott Construction, C-613/14, EU:C:2016:821, 70 punktas.</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Nacionalinės nuostatos, nustatančios numanomas sutarties sąlygas dėl parduodamų produktų prekinės kokybės, tinkamumo naudoti ar bendros kokybės, nėra draudžiamosios nuostatos.</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pagrindinėje byloje nagrinėjami teisės aktai nepatenka į Direktyvos 98/34 1 straipsnio 11 punkte nurodytų techninių reglamentų taikymo sritį, nes juose, tik nurodant numanomus sutarties reikalavimus, nėra jokio draudimo, kaip tai suprantama pagal šią direktyvą, gaminti, importuoti, parduoti ar naudoti gaminį, teikti paslaugą ar ja naudotis arba įsisteigti kaip paslaugų teikėjo.“</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2020 m. gegužės 28 d. Sprendimas</w:t>
        </w:r>
      </w:hyperlink>
      <w:r>
        <w:t xml:space="preserve"> ECO-WIND Construction, C-727/17, EU:C:2020:393, 45–47 punktai.</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Teisės aktais, nustatančiais minimalų atstumą įrengiant vėjo jėgaines, nedraudžiama gaminti, importuoti, parduoti ar naudoti produktą, išskyrus atvejus, kai jais de facto uždraudžiama prekiauti vėjo jėgainėmis, nepaliekant jokių kitų galimybių naudoti vėjo jėgaines, išskyrus visiškai nežymias.</w:t>
      </w:r>
    </w:p>
    <w:p w14:paraId="57350EE4" w14:textId="77777777">
      <w:pPr>
        <w:pStyle w:val="BodyText"/>
        <w:jc w:val="left"/>
      </w:pPr>
    </w:p>
    <w:p w14:paraId="671DACC6" w14:textId="1CB89713">
      <w:pPr>
        <w:pStyle w:val="P68B1DB1-BodyText19"/>
        <w:ind w:left="567"/>
        <w:rPr>
          <w:iCs/>
        </w:rPr>
      </w:pPr>
      <w:r>
        <w:t xml:space="preserve">„45. Ši kategorija suponuoja, kad priemonės taikymo sritis akivaizdžiai turi būti platesnė už apribojimą tam tikrais atitinkamo gaminio naudojimo būdais ir kad ji neapsiriboja vien jo naudojimo apribojimu (2005 m. balandžio 21 d. Sprendimo Lindberg, C-267/03, EU:C:2005:246, 76 punktas ir 2012 m. liepos 19 d. Sprendimo Fortuna ir kt., C-213/11, C-217/11 ir C-214/11, EU:C:2012:495, 31 punktas).</w:t>
      </w:r>
    </w:p>
    <w:p w14:paraId="787A0A4F" w14:textId="77777777">
      <w:pPr>
        <w:pStyle w:val="P68B1DB1-BodyText19"/>
        <w:ind w:left="567"/>
        <w:rPr>
          <w:iCs/>
        </w:rPr>
      </w:pPr>
    </w:p>
    <w:p w14:paraId="7CEA657E" w14:textId="35F61E5B">
      <w:pPr>
        <w:pStyle w:val="P68B1DB1-BodyText19"/>
        <w:ind w:left="567"/>
        <w:rPr>
          <w:iCs/>
        </w:rPr>
      </w:pPr>
      <w:r>
        <w:t xml:space="preserve">46. Iš tiesų ši kategorija konkrečiai apima nacionalines priemones, kuriomis leidžiamas tik labai ribotas gaminio naudojimas, kurio pagrįstai galima tikėtis (2005 m. balandžio 21 d. Sprendimo Lindberg, C-267/03, EU:C:2005:246, 77 punktas ir 2012 m. liepos 19 d. Sprendimo Fortuna ir kt., C-213/11, C-214/11 ir C-217/11, EU:C:2012:495, 32 punktas).</w:t>
      </w:r>
    </w:p>
    <w:p w14:paraId="47448916" w14:textId="77777777">
      <w:pPr>
        <w:pStyle w:val="P68B1DB1-BodyText19"/>
        <w:ind w:left="567"/>
        <w:rPr>
          <w:iCs/>
        </w:rPr>
      </w:pPr>
    </w:p>
    <w:p w14:paraId="6508CA59" w14:textId="00D7F268">
      <w:pPr>
        <w:pStyle w:val="P68B1DB1-BodyText19"/>
        <w:ind w:left="567"/>
        <w:rPr>
          <w:iCs/>
        </w:rPr>
      </w:pPr>
      <w:r>
        <w:t xml:space="preserve">47. Nagrinėjamu atveju, nors pagrindinėje byloje nagrinėjamuose nacionalinės teisės aktuose nustatytas reikalavimas, kad vėjo jėgainė būtų įrengta su sąlyga, kad turi būti laikomasi minimalaus atstumo tarp šios vėjo jėgainės ir gyvenamąją funkciją atliekančių pastatų sąlygos, iš tiesų apima draudimą įrengti vėjo jėgainę minimaliu atstumu, mažesniu nei dešimt kartų didesnis už bendrą planuojamo įrenginio aukštį, bet kuriame gyvenamajame pastate, reikia pažymėti, kad pagal šiuos teisės aktus ekonominės veiklos vykdytojams nedraudžiama toliau įrengti vėjo jėgaines, taigi naudoti ir parduoti vėjo generatorius.“</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Techniniai reglamentai</w:t>
      </w:r>
      <w:bookmarkEnd w:id="109"/>
      <w:bookmarkEnd w:id="110"/>
    </w:p>
    <w:p w14:paraId="297F85EC" w14:textId="77777777">
      <w:pPr>
        <w:pStyle w:val="BodyText"/>
      </w:pPr>
    </w:p>
    <w:p w14:paraId="6C908457" w14:textId="3B825828">
      <w:pPr>
        <w:pStyle w:val="P68B1DB1-BodyText11"/>
        <w:ind w:left="567"/>
        <w:rPr>
          <w:i/>
        </w:rPr>
      </w:pPr>
      <w:r>
        <w:t xml:space="preserve">„De facto techniniai reglamentai apima: </w:t>
      </w:r>
    </w:p>
    <w:p w14:paraId="277715A6" w14:textId="77777777">
      <w:pPr>
        <w:pStyle w:val="BodyText"/>
        <w:ind w:left="567"/>
        <w:rPr>
          <w:i/>
        </w:rPr>
      </w:pPr>
    </w:p>
    <w:p w14:paraId="28BCD2BD" w14:textId="757EEC79">
      <w:pPr>
        <w:pStyle w:val="P68B1DB1-BodyText11"/>
        <w:numPr>
          <w:ilvl w:val="0"/>
          <w:numId w:val="31"/>
        </w:numPr>
        <w:rPr>
          <w:i/>
        </w:rPr>
      </w:pPr>
      <w:r>
        <w:t xml:space="preserve">valstybės narės įstatymai ir kiti teisės aktai, kuriuose yra pateikiama nuoroda į technines specifikacijas arba į kitus reikalavimus, arba į paslaugų taisykles, arba į profesines ar praktikos nuostatas, kuriose savo ruožtu daroma nuoroda į technines specifikacijas, kitus reikalavimus arba į paslaugų taisykles, kurių atitiktis suteikia minėtų įstatymų ir kitų teisės aktų atitikties prielaidą; </w:t>
      </w:r>
    </w:p>
    <w:p w14:paraId="32E4257D" w14:textId="77777777">
      <w:pPr>
        <w:pStyle w:val="BodyText"/>
        <w:ind w:left="1287"/>
        <w:rPr>
          <w:i/>
        </w:rPr>
      </w:pPr>
    </w:p>
    <w:p w14:paraId="5E0B6B62" w14:textId="2D5EF06C">
      <w:pPr>
        <w:pStyle w:val="P68B1DB1-BodyText11"/>
        <w:numPr>
          <w:ilvl w:val="0"/>
          <w:numId w:val="31"/>
        </w:numPr>
        <w:rPr>
          <w:i/>
        </w:rPr>
      </w:pPr>
      <w:r>
        <w:t xml:space="preserve">savanoriški susitarimai, kuriuose valstybės institucija yra susitariančioji šalis, ir kuriuose visuomenės labui yra numatyta laikytis techninių specifikacijų, kitų reikalavimų ar paslaugų taisyklių, išskyrus viešojo pirkimo konkursų specifikacijas; </w:t>
      </w:r>
    </w:p>
    <w:p w14:paraId="4BEF10A9" w14:textId="77777777">
      <w:pPr>
        <w:pStyle w:val="BodyText"/>
        <w:rPr>
          <w:i/>
        </w:rPr>
      </w:pPr>
    </w:p>
    <w:p w14:paraId="5C79F6B1" w14:textId="7967F579">
      <w:pPr>
        <w:pStyle w:val="P68B1DB1-BodyText11"/>
        <w:numPr>
          <w:ilvl w:val="0"/>
          <w:numId w:val="31"/>
        </w:numPr>
        <w:rPr>
          <w:i/>
        </w:rPr>
      </w:pPr>
      <w:r>
        <w:t xml:space="preserve">techninės specifikacijos, kiti reikalavimai arba paslaugų taisyklės, susijusios su fiskalinėmis ar finansinėmis priemonėmis, kurių reikalavimų atitiktis turi įtakos gaminių suvartojimui ar paslaugų naudojimui; techninės specifikacijos arba kiti reikalavimai, arba paslaugų taisyklės, susijusios su nacionalinėmis socialinės apsaugos sistemomis, šiai grupei nepriklauso. </w:t>
      </w:r>
    </w:p>
    <w:p w14:paraId="712A28B1" w14:textId="77777777">
      <w:pPr>
        <w:pStyle w:val="BodyText"/>
        <w:rPr>
          <w:i/>
        </w:rPr>
      </w:pPr>
    </w:p>
    <w:p w14:paraId="24545D3F" w14:textId="615DFC82">
      <w:pPr>
        <w:pStyle w:val="P68B1DB1-BodyText11"/>
        <w:ind w:left="567"/>
        <w:rPr>
          <w:i/>
        </w:rPr>
      </w:pPr>
      <w:r>
        <w:t xml:space="preserve">Tai apima techninius reglamentus, kuriuos nustato valstybių narių paskirtos institucijos ir kurie yra įtraukti į sąrašą, kurį Komisija sudaro ir prireikus atnaujina 2 straipsnyje nurodytame komitete.“</w:t>
      </w:r>
    </w:p>
    <w:p w14:paraId="5E87FB40" w14:textId="77777777">
      <w:pPr>
        <w:pStyle w:val="BodyText"/>
        <w:ind w:left="567"/>
        <w:rPr>
          <w:i/>
        </w:rPr>
      </w:pPr>
    </w:p>
    <w:p w14:paraId="5389ED96" w14:textId="0CBC1966">
      <w:pPr>
        <w:pStyle w:val="BodyText"/>
        <w:jc w:val="right"/>
      </w:pPr>
      <w:r>
        <w:t xml:space="preserve">(direktyvos (ES) 2015/1535 1 straipsnio 1 dalies f punkto antras ir trečias sakiniai)</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1997 m. kovo 20 d.</w:t>
        </w:r>
      </w:hyperlink>
      <w:r>
        <w:t xml:space="preserve"> Sprendimo Bic Benelux, C-13/96, EU:C:1997:173, 23–25 punktai.</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Ženklinimo reikalavimas, kuriuo siekiama informuoti vartotoją apie tam tikrų produktų aplinkosauginį pėdsaką ir kuris yra susijęs su mokesčiu, tačiau yra techninė specifikacija. Ji negali būti laikoma išimtinai „susijusia su fiskaline priemone“, todėl nepatenka į „de facto techninių reglamentų“ apibrėžtį.</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pirma, pagal Direktyvos 83/189 1 straipsnio 5 dalyje pateiktą apibrėžimą pagrindinėje byloje nagrinėjamas ženklinimo reikalavimas yra de jure techninis reglamentas, nes jo „būtina laikytis prekiaujant“ atitinkamu produktu ir kad pagal 1 straipsnio 1 dalyje pateiktą apibrėžimą tai yra techninė specifikacija, nes jame apibrėžiamos „būtinos produkto savybės, kaip antai produktui taikomi ženklinimo ar ženklinimo reikalavimai“.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Antra, nagrinėjamu žymėjimu siekiama informuoti visuomenę, be kita ko, apie produktų poveikį aplinkai, o Belgijos vyriausybė patvirtino, kad šiam ženklinimo taisyklių aspektui turi būti teikiama reikšmė. Taigi aplinkosaugos mokesčio tikslą, t. y. apsaugoti aplinką, sustiprina ženklinimas, kuris, kaip ir kitas aplinkosauginis ženklinimas, nesvarbu, ar susijęs su aplinkos mokesčiu, ar ne, primena vartotojams apie atitinkamų produktų žalingą poveikį aplinkai.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Kadangi nagrinėjamas ženklinimo reikalavimas jokiu būdu negali būti laikomas išimtinai papildoma mokestine priemone, jis nėra su mokestine priemone susijęs reikalavimas Direktyvos 83/189, iš dalies pakeistos Direktyva 94/10, 1 straipsnio 9 dalies antros pastraipos trečios įtraukos prasme.“</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2014 m. liepos 10 d. Sprendimo</w:t>
        </w:r>
      </w:hyperlink>
      <w:r>
        <w:rPr>
          <w:b/>
          <w:i/>
        </w:rPr>
        <w:t xml:space="preserve"> Ivansson ir kt.</w:t>
      </w:r>
      <w:r>
        <w:rPr>
          <w:sz w:val="25"/>
        </w:rPr>
        <w:t>,</w:t>
      </w:r>
      <w:r>
        <w:rPr>
          <w:b/>
          <w:i/>
        </w:rPr>
        <w:t xml:space="preserve"> C-307/13, EU:C:2014:2058, 30 ir 31 punktai</w:t>
      </w:r>
      <w:r>
        <w:rPr>
          <w:sz w:val="25"/>
        </w:rPr>
        <w:t>.</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Nuoroda į išsamias administracines taisykles, kuriose pateikiamos „techninės specifikacijos“ arba „kiti reikalavimai“, gali suteikti įstatymo projektui „de facto techninio reglamento“ statusą.</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reikia konstatuoti, kad nors pati </w:t>
      </w:r>
      <w:r>
        <w:rPr>
          <w:i w:val="0"/>
        </w:rPr>
        <w:t xml:space="preserve">[nacionalinio įstatymo]</w:t>
      </w:r>
      <w:r>
        <w:t xml:space="preserve"> dalis nėra techninis reglamentas, jos antroje pastraipoje daroma nuoroda į papildomas nuostatas dėl vištų auginimo, apie kurias vėliau praneš Žemės ūkio taryba.</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Tokia nuoroda į išsamesnes administracines taisykles, jeigu jos gali būti laikomos „techninėmis specifikacijomis“ arba „kitais reikalavimais“, gali suteikti DSF 9 straipsniui „faktinio techninio reglamento“ statusą pagal Direktyvos 98/34 1 straipsnio 11 punkto pirmą įtrauką.“</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2015 m. birželio 11 d.</w:t>
        </w:r>
      </w:hyperlink>
      <w:r>
        <w:t xml:space="preserve"> Sprendimo Berlington Hungary ir kt., C-98/14, EU:C:2015:386, 95–97 punktai.</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Nacionalinės nuostatos, pagal kurias mokestis, mokėtinas už lošimo automatus, eksploatuojamus pramogų galerijose, padidinamas penkiais ir taip pat nustatomas proporcingas mokestis už šią veiklą, nėra „de facto techniniai reglamentai“, nes tai yra mokesčių nuostatos, o ne „techninės specifikacijos, susijusios su mokestine taisykle“, kaip tai suprantama pagal direktyvą.</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Pagal šios direktyvos 1 straipsnio 11 dalies trečią įtrauką „de facto techniniai reglamentai“, kaip jie suprantami pagal šią nuostatą, yra „techninės specifikacijos arba kiti reikalavimai ar paslaugų taisyklės, susijusios su fiskalinėmis ar finansinėmis priemonėmis, turinčiomis įtakos prekių ar paslaugų vartojimui, skatinant laikytis tokių techninių specifikacijų ar kitų reikalavimų ar paslaugų taisyklių“.</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Iš šios formuluotės matyti, kad sąvoka „de facto techniniai reglamentai“ reiškia ne pačias mokestines priemones, o technines specifikacijas ar kitus su jomis susijusius reikalavimus.</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Todėl mokesčių teisės aktai, kaip antai nagrinėjami pagrindinėje byloje, prie kurių nepridedama jokių techninių specifikacijų ar kitų reikalavimų, kurių tariamai siekiama užtikrinti jų laikymąsi, negali būti kvalifikuojami kaip „faktinis techninis reglamentas“.</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2020 m. spalio 8 d.</w:t>
        </w:r>
      </w:hyperlink>
      <w:r>
        <w:t xml:space="preserve"> Sprendimo Admiral Sportwetten ir kt., EU:C:2020:812, 38 ir 41 punktai.</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Mokesčių teisės aktai, prie kurių nepridedama jokių „techninių specifikacijų“ ar kitų reikalavimų, kurių laikymąsi siekiama užtikrinti, negali būti kvalifikuojami kaip „de facto techninis reglamentas“. Taigi nacionalinės mokesčių teisės aktai, kuriuose numatytas sporto lažybų automatų eksploatavimo apmokestinimas, nėra „techninis reglamentas“.</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dėl de facto techninių reglamentų, kaip jie suprantami pagal Direktyvos 2015/1535 1 straipsnio 1 dalies f punkto iii papunktį, Teisingumo Teismas jau yra nusprendęs, kad mokesčių teisės aktai, prie kurių nepridedama jokių techninių specifikacijų ar kitų reikalavimų, kuriais tariamai siekiama užtikrinti jų laikymąsi, negali būti laikomi „de facto techniniu reglamentu“ (šiuo klausimu žr. 2015 m. birželio 11 d. Sprendimo Berlington Hungary ir kt., C 98/14</w:t>
        <w:noBreakHyphen/>
        <w:t xml:space="preserve">, EU:C:2015:386, 97 punktą).“</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Todėl, atsižvelgiant į visa tai, kas išdėstyta, į pirmąjį klausimą reikia atsakyti, kad Direktyvos 2015/1535 1 straipsnis turi būti aiškinamas taip, kad nacionalinė mokesčių teisės norma, kurioje numatytas lažybų terminalų eksploatavimo apmokestinimas, nėra „techninis reglamentas“, kaip tai suprantama pagal šį straipsnį.“</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2022 m. gruodžio 22 d.</w:t>
        </w:r>
      </w:hyperlink>
      <w:r>
        <w:rPr>
          <w:rFonts w:ascii="Times New Roman" w:hAnsi="Times New Roman" w:cs="Times New Roman" w:eastAsia="Times New Roman"/>
          <w:b/>
          <w:i/>
          <w:szCs w:val="20"/>
        </w:rPr>
        <w:t xml:space="preserve"> Sprendimo Airbnb Ireland ir Airbnb Payments UK, C 83/21</w:t>
        <w:noBreakHyphen/>
        <w:t xml:space="preserve">, EU:C:2022:1018, 29 ir 30 punktai.</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Mokestinio pobūdžio teisės aktai patys savaime negali būti kvalifikuojami kaip „de facto techninis reglamentas“.</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Trečia, dėl Direktyvos 2015/1535 reikia pažymėti, kad joje daroma nuoroda į „[SESV], ypač [į jos] 114, 337 ir 43 straipsnius“. Taigi visų pirma reikia pažymėti, kad dėl šio sprendimo 25 punkte nurodytų priežasčių SESV 114 straipsnio 2 dalyje numatyta išimtis, susijusi su „fiskalinėmis nuostatomis“, taip pat taikoma šiai direktyvai.</w:t>
      </w:r>
    </w:p>
    <w:p w14:paraId="5619063A" w14:textId="77777777">
      <w:pPr>
        <w:pStyle w:val="P68B1DB1-BodyText19"/>
        <w:ind w:left="567"/>
      </w:pPr>
    </w:p>
    <w:p w14:paraId="43BD732D" w14:textId="6B6E6B11">
      <w:pPr>
        <w:pStyle w:val="P68B1DB1-BodyText19"/>
        <w:ind w:left="567"/>
        <w:rPr>
          <w:iCs/>
        </w:rPr>
      </w:pPr>
      <w:r>
        <w:t xml:space="preserve">30. Be to, Direktyvos 2015/1535 turinys netiesiogiai patvirtina, kad į jos taikymo sritį nepatenka „fiskalinės nuostatos“, nes šios direktyvos 1 straipsnio 1 dalies f punkto iii papunkčio formuluotėje prie de facto techninių reglamentų minimos techninės specifikacijos, kiti reikalavimai arba paslaugų taisyklės, „susijusios su fiskalinėmis ar finansinėmis priemonėmis“. Taigi tai yra ne realios mokestinės priemonės, o tik su mokestinėmis priemonėmis susijusios priemonės (šiuo klausimu žr. 2020 m. spalio 8 d. Sprendimo Admiral Sportwetten ir kt., C-711/19, EU:C:2020:812, 38 punktą); todėl pastaroji direktyva pati savaime nepatenka į šios direktyvos taikymo sritį.“</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Klausimai, kuriems netaikoma išimtis</w:t>
      </w:r>
      <w:bookmarkEnd w:id="117"/>
      <w:bookmarkEnd w:id="118"/>
      <w:bookmarkEnd w:id="119"/>
    </w:p>
    <w:p w14:paraId="1278603B" w14:textId="77777777">
      <w:pPr>
        <w:pStyle w:val="BodyText"/>
        <w:rPr>
          <w:b/>
          <w:bCs/>
        </w:rPr>
      </w:pPr>
    </w:p>
    <w:p w14:paraId="1B32B976" w14:textId="77777777">
      <w:pPr>
        <w:pStyle w:val="P68B1DB1-BodyText11"/>
        <w:ind w:left="567"/>
      </w:pPr>
      <w:r>
        <w:t xml:space="preserve">„2. Ši direktyva netaikoma: </w:t>
      </w:r>
    </w:p>
    <w:p w14:paraId="04019AF2" w14:textId="77777777">
      <w:pPr>
        <w:pStyle w:val="P68B1DB1-BodyText11"/>
        <w:ind w:left="1287" w:firstLine="153"/>
      </w:pPr>
      <w:r>
        <w:t xml:space="preserve">a) radijo transliavimo paslaugos; </w:t>
      </w:r>
    </w:p>
    <w:p w14:paraId="1EADA741" w14:textId="108B47F0">
      <w:pPr>
        <w:pStyle w:val="P68B1DB1-BodyText11"/>
        <w:ind w:left="1440"/>
      </w:pPr>
      <w:r>
        <w:t xml:space="preserve">b) televizijos transliavimo paslaugoms, kurioms taikomas Europos Parlamento ir Tarybos direktyvos 2010/13/ES (1) 1 straipsnio 1 dalies e punktas. </w:t>
      </w:r>
    </w:p>
    <w:p w14:paraId="7DD31811" w14:textId="77777777">
      <w:pPr>
        <w:pStyle w:val="P68B1DB1-BodyText11"/>
        <w:ind w:left="567"/>
      </w:pPr>
    </w:p>
    <w:p w14:paraId="21C04911" w14:textId="0885ED27">
      <w:pPr>
        <w:pStyle w:val="P68B1DB1-BodyText11"/>
        <w:ind w:left="567"/>
      </w:pPr>
      <w:r>
        <w:t xml:space="preserve">3. Ši direktyva netaikoma taisyklėms, susijusioms su klausimais, kuriems taikomi Sąjungos telekomunikacijų paslaugų srities teisės aktai, kuriems taikoma Europos Parlamento ir Tarybos direktyva 2002/21/EB [2]. </w:t>
      </w:r>
    </w:p>
    <w:p w14:paraId="14E66827" w14:textId="77777777">
      <w:pPr>
        <w:pStyle w:val="P68B1DB1-BodyText11"/>
        <w:ind w:left="567"/>
      </w:pPr>
    </w:p>
    <w:p w14:paraId="21D3AD3B" w14:textId="663656A4">
      <w:pPr>
        <w:pStyle w:val="P68B1DB1-BodyText11"/>
        <w:ind w:left="567"/>
      </w:pPr>
      <w:r>
        <w:t xml:space="preserve">4. Ši direktyva netaikoma taisyklėms, susijusioms su klausimais, kuriems taikomi Sąjungos finansinių paslaugų srities teisės aktai, kurių neišsamus sąrašas pateiktas šios direktyvos II priede. </w:t>
      </w:r>
    </w:p>
    <w:p w14:paraId="0E58960E" w14:textId="77777777">
      <w:pPr>
        <w:pStyle w:val="P68B1DB1-BodyText11"/>
        <w:ind w:left="567"/>
      </w:pPr>
    </w:p>
    <w:p w14:paraId="66AEA247" w14:textId="77777777">
      <w:pPr>
        <w:pStyle w:val="P68B1DB1-BodyText11"/>
        <w:ind w:left="567"/>
      </w:pPr>
      <w:r>
        <w:t xml:space="preserve">5. Išskyrus 5 straipsnio 3 dalį, ši direktyva netaikoma taisyklėms, kurias priima reguliuojamos rinkos, kaip apibrėžta Europos Parlamento ir Tarybos direktyvoje 2004/39/EB([3]), arba kitos rinkos ar įstaigos, atliekančios kliringo ar atsiskaitymo funkcijas tose rinkose.</w:t>
      </w:r>
    </w:p>
    <w:p w14:paraId="5D510CB9" w14:textId="77777777">
      <w:pPr>
        <w:pStyle w:val="P68B1DB1-BodyText11"/>
        <w:ind w:left="567"/>
      </w:pPr>
    </w:p>
    <w:p w14:paraId="70E3F74F" w14:textId="117D7E99">
      <w:pPr>
        <w:pStyle w:val="P68B1DB1-BodyText11"/>
        <w:ind w:left="567"/>
      </w:pPr>
      <w:r>
        <w:t xml:space="preserve">6. Ši direktyva netaikoma toms priemonėms, kurias valstybės narės laiko būtinomis pagal Sutartis siekiant apsaugoti žmones, pirmiausia darbuotojus, kai yra naudojami gaminiai, jeigu tokios priemonės neturi poveikio gaminiams.</w:t>
      </w:r>
    </w:p>
    <w:p w14:paraId="24FE75EA" w14:textId="77777777">
      <w:pPr>
        <w:pStyle w:val="P68B1DB1-BodyText11"/>
        <w:ind w:left="567"/>
      </w:pPr>
    </w:p>
    <w:p w14:paraId="74938EC0" w14:textId="5965F3C9">
      <w:pPr>
        <w:pStyle w:val="BodyText"/>
        <w:ind w:left="1080"/>
        <w:jc w:val="right"/>
      </w:pPr>
      <w:r>
        <w:t xml:space="preserve">(Direktyvos (ES) 2015/1535 1 straipsnio 2–6 dalys)</w:t>
      </w:r>
    </w:p>
    <w:p w14:paraId="2BAD670C" w14:textId="77777777">
      <w:pPr>
        <w:pStyle w:val="BodyText"/>
        <w:rPr>
          <w:i/>
          <w:iCs/>
          <w:sz w:val="20"/>
        </w:rPr>
      </w:pPr>
    </w:p>
    <w:p w14:paraId="0C974BBF" w14:textId="3B58908A">
      <w:pPr>
        <w:pStyle w:val="P68B1DB1-BodyText23"/>
        <w:ind w:left="567"/>
        <w:rPr>
          <w:iCs/>
        </w:rPr>
      </w:pPr>
      <w:r>
        <w:t xml:space="preserve">„televizijos programų transliavimas“ arba „televizijos programų transliavimas“ (t. y. linijinė audiovizualinės žiniasklaidos paslauga) – žiniasklaidos paslaugų teikėjo teikiama audiovizualinės žiniasklaidos paslauga, skirta vienu metu žiūrėti programas pagal programų tvarkaraštį;“</w:t>
      </w:r>
    </w:p>
    <w:p w14:paraId="68D48BC5" w14:textId="77777777">
      <w:pPr>
        <w:pStyle w:val="BodyText"/>
        <w:ind w:left="567"/>
        <w:rPr>
          <w:i/>
          <w:iCs/>
          <w:szCs w:val="24"/>
        </w:rPr>
      </w:pPr>
    </w:p>
    <w:p w14:paraId="1E9F9AD6" w14:textId="648E8643">
      <w:pPr>
        <w:pStyle w:val="BodyText"/>
        <w:ind w:left="1080"/>
        <w:jc w:val="right"/>
      </w:pPr>
      <w:r>
        <w:t xml:space="preserve">(Direktyvos 2010/13/ES 1 straipsnio 1 dalies e punktas)</w:t>
      </w:r>
    </w:p>
    <w:p w14:paraId="13E3D11F" w14:textId="77777777">
      <w:pPr>
        <w:pStyle w:val="BodyText"/>
        <w:ind w:left="1080"/>
        <w:jc w:val="right"/>
      </w:pPr>
    </w:p>
    <w:p w14:paraId="6E0ADBB8" w14:textId="55100584">
      <w:pPr>
        <w:pStyle w:val="P68B1DB1-BodyText11"/>
        <w:jc w:val="center"/>
        <w:rPr>
          <w:i/>
        </w:rPr>
      </w:pPr>
      <w:r>
        <w:t xml:space="preserve">Orientacinis finansinių paslaugų, kurioms taikoma 1 straipsnio 4 dalis, sąrašas</w:t>
      </w:r>
    </w:p>
    <w:p w14:paraId="25F72A02" w14:textId="77777777">
      <w:pPr>
        <w:pStyle w:val="BodyText"/>
        <w:jc w:val="center"/>
        <w:rPr>
          <w:i/>
        </w:rPr>
      </w:pPr>
    </w:p>
    <w:p w14:paraId="319C26B1" w14:textId="77777777">
      <w:pPr>
        <w:pStyle w:val="P68B1DB1-BodyText11"/>
        <w:ind w:left="567"/>
        <w:rPr>
          <w:i/>
        </w:rPr>
      </w:pPr>
      <w:r>
        <w:t xml:space="preserve">– Investicinės paslaugos, </w:t>
      </w:r>
    </w:p>
    <w:p w14:paraId="4E853016" w14:textId="77777777">
      <w:pPr>
        <w:pStyle w:val="P68B1DB1-BodyText11"/>
        <w:ind w:left="567"/>
        <w:rPr>
          <w:i/>
        </w:rPr>
      </w:pPr>
      <w:r>
        <w:t xml:space="preserve">– draudimo ir perdraudimo veikla, </w:t>
      </w:r>
    </w:p>
    <w:p w14:paraId="6692A963" w14:textId="77777777">
      <w:pPr>
        <w:pStyle w:val="P68B1DB1-BodyText11"/>
        <w:ind w:left="567"/>
        <w:rPr>
          <w:i/>
        </w:rPr>
      </w:pPr>
      <w:r>
        <w:t xml:space="preserve">– banko paslaugos, </w:t>
      </w:r>
    </w:p>
    <w:p w14:paraId="23791C4C" w14:textId="77777777">
      <w:pPr>
        <w:pStyle w:val="P68B1DB1-BodyText11"/>
        <w:ind w:left="567"/>
        <w:rPr>
          <w:i/>
        </w:rPr>
      </w:pPr>
      <w:r>
        <w:t xml:space="preserve">– operacijoms, susijusioms su pensijų fondais, </w:t>
      </w:r>
    </w:p>
    <w:p w14:paraId="783F6792" w14:textId="77777777">
      <w:pPr>
        <w:pStyle w:val="P68B1DB1-BodyText11"/>
        <w:ind w:left="567"/>
        <w:rPr>
          <w:i/>
        </w:rPr>
      </w:pPr>
      <w:r>
        <w:t xml:space="preserve">– paslaugos, susijusios su ateities sandoriais arba pasirinkimo sandoriais. </w:t>
      </w:r>
    </w:p>
    <w:p w14:paraId="2DCD1B55" w14:textId="77777777">
      <w:pPr>
        <w:pStyle w:val="BodyText"/>
        <w:ind w:left="567"/>
        <w:rPr>
          <w:i/>
        </w:rPr>
      </w:pPr>
    </w:p>
    <w:p w14:paraId="337555AF" w14:textId="77777777">
      <w:pPr>
        <w:pStyle w:val="P68B1DB1-BodyText11"/>
        <w:ind w:left="567"/>
        <w:rPr>
          <w:i/>
        </w:rPr>
      </w:pPr>
      <w:r>
        <w:t xml:space="preserve">Tokios paslaugos pirmiausia apima: </w:t>
      </w:r>
    </w:p>
    <w:p w14:paraId="3764E7FA" w14:textId="7CA8CD82">
      <w:pPr>
        <w:pStyle w:val="P68B1DB1-BodyText11"/>
        <w:ind w:left="567"/>
        <w:rPr>
          <w:i/>
        </w:rPr>
      </w:pPr>
      <w:r>
        <w:t xml:space="preserve">a) Direktyvos 2004/39/EB priede nurodytoms investicinėms paslaugoms; kolektyvinių investicijų įmonių paslaugas; </w:t>
      </w:r>
    </w:p>
    <w:p w14:paraId="5E0AD7FB" w14:textId="67C20460">
      <w:pPr>
        <w:pStyle w:val="P68B1DB1-BodyText11"/>
        <w:ind w:left="567"/>
        <w:rPr>
          <w:i/>
        </w:rPr>
      </w:pPr>
      <w:r>
        <w:t xml:space="preserve">b) paslaugoms, susijusioms su Europos Parlamento ir Tarybos direktyvos 2013/36/ES (1) I priede nurodyta veikla, kuriai taikomas tarpusavio pripažinimas; </w:t>
      </w:r>
    </w:p>
    <w:p w14:paraId="48C2F22B" w14:textId="3B1B8A48">
      <w:pPr>
        <w:pStyle w:val="P68B1DB1-BodyText11"/>
        <w:ind w:left="567"/>
        <w:rPr>
          <w:i/>
        </w:rPr>
      </w:pPr>
      <w:r>
        <w:t xml:space="preserve">C) operacijoms, kurioms taikoma draudimo ir perdraudimo veikla, nurodyta Europos Parlamento ir Tarybos direktyvoje 2009/138/EB (2).</w:t>
      </w:r>
    </w:p>
    <w:p w14:paraId="29E9A8E3" w14:textId="77777777">
      <w:pPr>
        <w:pStyle w:val="BodyText"/>
        <w:ind w:left="720"/>
        <w:rPr>
          <w:i/>
        </w:rPr>
      </w:pPr>
    </w:p>
    <w:p w14:paraId="79D13F1F" w14:textId="142C9AC5">
      <w:pPr>
        <w:pStyle w:val="BodyText"/>
        <w:ind w:left="1080"/>
        <w:jc w:val="right"/>
      </w:pPr>
      <w:r>
        <w:t xml:space="preserve">(Direktyvos (ES) 2015/1535 II priedas)</w:t>
      </w:r>
    </w:p>
    <w:p w14:paraId="0C95D790" w14:textId="77777777">
      <w:pPr>
        <w:pStyle w:val="BodyText"/>
        <w:ind w:left="567"/>
        <w:rPr>
          <w:i/>
          <w:iCs/>
          <w:szCs w:val="24"/>
        </w:rPr>
      </w:pPr>
    </w:p>
    <w:p w14:paraId="7A47117F" w14:textId="7E196DE2">
      <w:pPr>
        <w:pStyle w:val="P68B1DB1-BodyText23"/>
        <w:ind w:left="567"/>
        <w:rPr>
          <w:iCs/>
        </w:rPr>
      </w:pPr>
      <w:r>
        <w:t xml:space="preserve">„reguliuojama rinka – rinkos operatoriaus valdoma ir (arba) valdoma daugiašalė sistema, kurioje sujungiami arba palengvinami įvairūs trečiųjų šalių interesai pirkti ir parduoti finansines priemones (sistemoje ir laikantis jos ne savo nuožiūra neleidžiančių taisyklių) tokiu būdu, kad būtų sudaryta sutartis dėl finansinių priemonių, kuriomis leista prekiauti pagal jos taisykles ir (arba) sistemas, ir kuri turi leidimą ir reguliariai veikia pagal šios direktyvos III antraštinę dalį;“</w:t>
      </w:r>
    </w:p>
    <w:p w14:paraId="326B89D5" w14:textId="77777777">
      <w:pPr>
        <w:pStyle w:val="BodyText"/>
        <w:ind w:left="567"/>
        <w:rPr>
          <w:i/>
          <w:iCs/>
          <w:szCs w:val="24"/>
        </w:rPr>
      </w:pPr>
    </w:p>
    <w:p w14:paraId="2EE59DAD" w14:textId="7FE2F68F">
      <w:pPr>
        <w:pStyle w:val="P68B1DB1-BodyText24"/>
        <w:ind w:left="567"/>
        <w:jc w:val="right"/>
      </w:pPr>
      <w:r>
        <w:t xml:space="preserve">(Direktyvos (ES) 2014/65 4 straipsnio 21 dalis), </w:t>
      </w:r>
    </w:p>
    <w:p w14:paraId="510D994F" w14:textId="6EE676DC">
      <w:pPr>
        <w:pStyle w:val="P68B1DB1-BodyText24"/>
        <w:ind w:left="567"/>
        <w:jc w:val="right"/>
      </w:pPr>
      <w:r>
        <w:t xml:space="preserve">direktyvos 2004/39/EB išdėstymas nauja redakcija)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2005 m. birželio 2 d.</w:t>
        </w:r>
      </w:hyperlink>
      <w:r>
        <w:rPr>
          <w:rFonts w:ascii="Times New Roman" w:hAnsi="Times New Roman" w:cs="Times New Roman" w:eastAsia="Times New Roman"/>
          <w:b/>
          <w:i/>
          <w:szCs w:val="20"/>
        </w:rPr>
        <w:t xml:space="preserve"> Sprendimo Mediakabel BV, C-89/04, EU:C:2005:348, 22 ir 23 punktai.</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Televizijos transliavimo paslauga, kurią abonentas teikia pagal pareikalavimą ir kurią sudaro filmai, kurių dažnumą ir laiką nustato paslaugų teikėjas, yra „beveik užsakomųjų vaizdo programų“ paslauga, patenkanti į sąvoką „televizijos transliavimo paslaugos“. Ši sąvoka savarankiškai apibrėžta Direktyvoje 2010/13/ES (anksčiau – Direktyva 89/552/EEB), neatsižvelgiant į sąvoką „informacinės visuomenės paslauga“.</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sąvokos „televizijos programų transliavimas“ taikymo srities tikrai negalima nustatyti neįtraukiant į sąvoką „informacinės visuomenės paslauga“. Iš tikrųjų Direktyva 98/34 savo 1 straipsnio 2 punkte, kaip ir savo V priede, nurodo paslaugas, kurių neapima „informacinės visuomenės paslaugų“ sąvoka ir kurios nėra televizijos transliacijos paslaugos. Tas pats pasakytina ir apie radijo transliacijos paslaugas. Be to, televizijos transliacijos paslaugos, nurodytos Direktyvos 98/34 V priedo 3 punkte, neapsiriboja paslaugomis, „teikiamomis perduodant duomenis be atskiro pageidavimo, siekiant, kad juos vienu metu priimtų neribotas atskirų gavėjų skaičius“. Jei būtų pritarta šiam aiškinimui, tokios paslaugos, kaip antai abonentinės televizijos, perduodamos ribotam gavėjų skaičiui, nepatektų į „televizijos programų transliacijos paslaugų“ sąvoką, nors atsižvelgiant į Direktyvos 89/552 1 straipsnio a punkte nustatytus kriterijus ši sąvoka jas apima.</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Galiausiai tuo metu, kai buvo priimtos Direktyvos 98/34 ir 98/48, Bendrijos įstatymų leidėjas neketino keisti Direktyvos 89/552, kuri mažiau nei prieš metus jau buvo iš dalies pakeista Direktyva 97/36. Direktyvos 98/48, iš dalies keičiančios Direktyvą 98/34, 20 konstatuojamojoje dalyje nurodyta, kad Direktyva 98/48 „nepažeidžia Direktyvos 89/552 taikymo srities“.</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2019 m. rugsėjo 12 d.</w:t>
        </w:r>
      </w:hyperlink>
      <w:r>
        <w:t xml:space="preserve"> Sprendimo VG Media, C-299/17, EU:C:2019:716, 38 punktas.</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„Techninės taisyklės“ intelektinės nuosavybės srityje, kitaip nei taisyklės, susijusios su telekomunikacijomis ar finansinėmis paslaugomis, patenka į direktyvos taikymo sritį.</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tai, kad UrhG 87 g straipsnio 4 dalis yra nacionalinės teisės aktų dėl autorių teisių ar gretutinių teisių dalis, negali paneigti šio vertinimo. Iš tiesų, nėra aiškiai nustatyta, kad techniniai reglamentai intelektinės nuosavybės srityje nepatenka į Direktyvos 98/34 1 straipsnio 5 punkto taikymo sritį, kitaip nei reglamentai, kuriems taikomos ES taisyklės telekomunikacijų ar finansinių paslaugų srityje. Be to, iš 2007 m. lapkričio 8 d. Sprendimo Schwibbert (C 20/05</w:t>
        <w:noBreakHyphen/>
        <w:t xml:space="preserve">, EU:C:2007:652) matyti, kad nacionalinės intelektinės nuosavybės teisės aktų nuostatos gali būti „techninis reglamentas“, apie kurį turi būti pranešta pagal šios direktyvos 8 straipsnio 1 dalį.“</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Pareiga pranešti</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Pranešimas projekto etape</w:t>
      </w:r>
      <w:bookmarkEnd w:id="123"/>
      <w:bookmarkEnd w:id="124"/>
    </w:p>
    <w:p w14:paraId="27EBED2C" w14:textId="3CCBF668">
      <w:pPr>
        <w:pStyle w:val="BodyText"/>
        <w:rPr>
          <w:b/>
          <w:bCs/>
        </w:rPr>
      </w:pPr>
    </w:p>
    <w:p w14:paraId="58135D0C" w14:textId="021350D1">
      <w:pPr>
        <w:pStyle w:val="P68B1DB1-BodyText11"/>
        <w:ind w:left="567"/>
        <w:rPr>
          <w:iCs/>
        </w:rPr>
      </w:pPr>
      <w:r>
        <w:t xml:space="preserve">„Laikydamosi 7 straipsnio, valstybės narės nedelsdamos pateikia Komisijai kiekvieno techninio reglamento projektą, išskyrus tuos atvejus, kai jis tik perkelia visą tarptautinio ar Europos standarto tekstą – tokiu atveju pakanka informacijos apie atitinkamą standartą; jos taip pat pateikia Komisijai motyvus, dėl kurių būtina priimti tokį techninį reglamentą, jei tos priežastys dar nėra aiškiai nurodytos projekte.“</w:t>
      </w:r>
    </w:p>
    <w:p w14:paraId="79E57C28" w14:textId="77777777">
      <w:pPr>
        <w:pStyle w:val="BodyText"/>
        <w:ind w:left="567"/>
        <w:rPr>
          <w:i/>
          <w:iCs/>
        </w:rPr>
      </w:pPr>
    </w:p>
    <w:p w14:paraId="4348B9F9" w14:textId="1F348A6E">
      <w:pPr>
        <w:pStyle w:val="BodyText"/>
        <w:jc w:val="right"/>
      </w:pPr>
      <w:r>
        <w:t xml:space="preserve">(direktyvos (ES) 2015/1535 5 straipsnio 1 dalies pirmas sakinys)</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1993 m. rugpjūčio 2 d.</w:t>
        </w:r>
      </w:hyperlink>
      <w:r>
        <w:t xml:space="preserve"> Sprendimo Komisija/Italija, C-139/92, EU:C:1993:346, 8 ir 9 punktai.</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Projekto etape nepranešusi apie ministerijos dekretą dėl didžiausios galios apibrėžimo ir tikrinimo, taip pat dėl pramoginių laivų variklių konstrukcijos ir įrengimo, Italija neįvykdė savo pareigos pranešti apie techninių reglamentų projektus.</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Italijos vyriausybė neginčija, kad ji nepranešė Komisijai apie aptariamą ministro dekretą projekto rengimo etape.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Kadangi nustatyta, kad buvo pažeisti direktyvos 8 ir 9 straipsniai, Komisijos prašomais žodžiais turi būti konstatuotas įsipareigojimų neįvykdymas.“</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1994 m. liepos 14 d.</w:t>
        </w:r>
      </w:hyperlink>
      <w:r>
        <w:t xml:space="preserve"> Sprendimo Komisija/Nyderlandai, C-61/93, EU:C:1994:302, 6 ir 10 punktai.</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Priimdami dekretus dėl gaiviųjų gėrimų butelių atsparumo reikalavimų ir pesticidų sudėties, klasifikavimo, pakavimo ir ženklinimo, apie juos nepranešę Komisijai projekto rengimo etape, Nyderlandai neįvykdė pareigos pranešti apie techninių reglamentų projektus.</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1989 m. lapkričio 17 d. laiške Nyderlandų valdžios institucijos pripažino, kad 1989 m. sausio 16 d. dekrete yra techninių standartų, kuriems taikoma Direktyva 83/189, ir kad jos nepranešė Komisijai apie pakeitimo projektą. Tačiau jos nurodė, kad šis dekretas buvo nusiųstas Komisijai, pridėtas prie 1989 m. gegužės 22 d. laiško, kuriame šiai institucijai buvo pateikta informacija apie svorių ir priemonių valdymo institucijų privatizavimą.“</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Neginčijama, kad pagal direktyvos 8 straipsnį apie 1989 m. sausio 16 d., 1988 m. rugpjūčio 24 d. ir 1988 m. spalio 21 d. dekretų projektus turėjo būti nedelsiant pranešta Komisijai jų rengimo etape ir kad toks pranešimas nebuvo pateiktas.“</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1994 m. liepos 14 d.</w:t>
        </w:r>
      </w:hyperlink>
      <w:r>
        <w:t xml:space="preserve"> Sprendimo Komisija/Nyderlandai, C-52/93, EU:C:1994:301, 6 ir 10 punktai.</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Iš dalies pakeisdami reglamentą dėl gėlių svogūnėlių kokybės standartų, apie tai nepranešę Komisijai projekto rengimo etape, Nyderlandai neįvykdė įsipareigojimų pranešti apie techninių reglamentų projektus.</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1991 m. lapkričio 4 d. laišku Nyderlandų valdžios institucijos pripažino, kad nagrinėjamas reglamentas yra techninis reglamentas Direktyvos 83/189 prasme ir kad jos nepranešė Komisijai apie pakeitimo projektą.“</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Neginčijama, kad pagal direktyvos 8 straipsnį apie PVS reglamento XIII pakeitimo projektą turėjo būti nedelsiant pranešta Komisijai ir kad toks pranešimas nebuvo pateiktas.“</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2005 m. rugsėjo 8 d.</w:t>
        </w:r>
      </w:hyperlink>
      <w:r>
        <w:t xml:space="preserve"> Sprendimo Komisija/Portugalija, C-500/03, EU:C:2005:515, 39–41 punktai.</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Direktyvoje reikalaujama, kad valstybės narės nedelsdamos praneštų Komisijai apie bet kokį techninio reglamento projektą. Priėmusi techninį reglamentą apie jį nepranešusi Komisijai, Portugalija neįvykdė įsipareigojimų pranešti apie techninių reglamentų projektus.</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(Kadangi teismo sprendimas skelbiamas tik prancūzų ir portugalų kalbomis, šis tekstas yra vertimas.)</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Kadangi šis ieškinys dėl įsipareigojimų neįvykdymo susijęs tik su prašymu pripažinti formalios išankstinio pranešimo procedūros nesilaikymą, pakanka priminti, nesant reikalo atsakyti į kitus šalių argumentus, kad Teisingumo Teismas jau yra nusprendęs, jog Direktyvos 98/34 8 straipsnio 1 dalis įpareigoja valstybes nares nedelsiant pateikti Komisijai bet kokį techninio reglamento projektą (šiuo klausimu dėl nuostatų, panašių į šios direktyvos nuostatas, žr. 1993 m. rugpjūčio 2 d. Sprendimo Komisija prieš Italiją, 139/92, Rink. p.</w:t>
        <w:noBreakHyphen/>
        <w:t xml:space="preserve">I 3,</w:t>
        <w:noBreakHyphen/>
        <w:t xml:space="preserve">31 punktą ir 1996 m. sausio 11 d. Sprendimo Komisija prieš Nyderlandus [15], 273/94, Rink. p. I-</w:t>
        <w:noBreakHyphen/>
        <w:t xml:space="preserve">, 31 punktą).</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Kadangi atitinkamos Dekreto Nr. 783/98 nuostatos yra techniniai reglamentai, kaip tai suprantama pagal Direktyvą 98/34, kaip nurodyta šio sprendimo 31 punkte, Portugalijos Respublika pagal Direktyvos 98/34 8 straipsnio 1 dalį turėjo pateikti jų projektą (šiuo klausimu dėl nuostatų, panašių į Direktyvos 98/34 nuostatas, žr., be kita ko, 1998 m. gegužės 7 d. Sprendimo Komisija prieš Belgiją, 145/97, Rink. p.</w:t>
        <w:noBreakHyphen/>
        <w:noBreakHyphen/>
        <w:t xml:space="preserve">I-13, 43 punktą ir 2005 m. balandžio 21 d. </w:t>
        <w:noBreakHyphen/>
        <w:t xml:space="preserve">Sprendimo Lindberg, 267/03, Rink. p. I-, I-, 43 punktą).</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Todėl reikia konstatuoti, kad priėmusi Nutarimą Nr. 783/98, nepranešusi apie jį Komisijai projekto etape, Portugalijos Respublika neįvykdė įsipareigojimų pagal Direktyvos 98/34 8 straipsnį.“</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2006 m. spalio 26 d.</w:t>
        </w:r>
      </w:hyperlink>
      <w:r>
        <w:t xml:space="preserve"> Sprendimo Komisija/Graikija, C-65/05, EU:C:2006:673, 60–62 punktai.</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Direktyvoje reikalaujama, kad valstybės narės nedelsdamos praneštų Komisijai apie bet kokį techninio reglamento projektą. Nepateikusi tokio pranešimo prieš priimant techninį reglamentą, Graikija neįvykdė savo įsipareigojimų pagal šią direktyvą.</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reglamente Nr. 1367/2006 nėra nieko, kas leistų manyti, kad sąvoka „emisijos į aplinką“, kaip ji suprantama pagal šio reglamento 6 straipsnio 1 dalies pirmą sakinį, turi apimti tik tam tikrų pramoninių įrenginių, kaip antai gamyklų ir elektrinių, išmetamus teršalus.</w:t>
      </w:r>
    </w:p>
    <w:p w14:paraId="4BFB9A72" w14:textId="77777777">
      <w:pPr>
        <w:pStyle w:val="P68B1DB1-BodyText25"/>
        <w:ind w:left="510"/>
      </w:pPr>
    </w:p>
    <w:p w14:paraId="0E60EA19" w14:textId="5C6F09B6">
      <w:pPr>
        <w:pStyle w:val="P68B1DB1-BodyText25"/>
        <w:ind w:left="510"/>
      </w:pPr>
      <w:r>
        <w:t xml:space="preserve">61. Tokio apribojimo negalima išvesti ir iš Orhuso konvencijos, į kurią reikia atsižvelgti aiškinant Reglamentą Nr. 1367/2006, nes, kaip numatyta jo 1 straipsnyje, šio reglamento tikslas – prisidėti prie įsipareigojimų, kylančių iš šios konvencijos, įgyvendinimo nustatant taisykles dėl minėtos konvencijos nuostatų taikymo Sąjungos institucijoms ir organams.</w:t>
      </w:r>
    </w:p>
    <w:p w14:paraId="37017D07" w14:textId="77777777">
      <w:pPr>
        <w:pStyle w:val="P68B1DB1-BodyText25"/>
        <w:ind w:left="510"/>
      </w:pPr>
    </w:p>
    <w:p w14:paraId="36CD38D8" w14:textId="043FC15A">
      <w:pPr>
        <w:pStyle w:val="P68B1DB1-BodyText25"/>
        <w:ind w:left="510"/>
        <w:rPr>
          <w:iCs/>
        </w:rPr>
      </w:pPr>
      <w:r>
        <w:t xml:space="preserve">62. Priešingai, kaip Teisingumo Teismas pabrėžė šiandien priimto Sprendimo Bayer CropScience ir Stichting De Bijenstichting (C-442/14) 72 punkte, toks apribojimas prieštarautų pačiam Orhuso konvencijos 4 straipsnio 4 dalies pirmos pastraipos d punkto tekstui. Remiantis šia nuostata, visuomenei turi būti teikiama aplinkos apsaugai svarbi informacija apie teršalų išmetimą į aplinką. Informacija apie teršalų išmetimą iš kitų šaltinių nei pramoniniai įrenginiai, pavyzdžiui, informaciją apie augalų apsaugos produktus naudojant augalų apsaugos produktus ant augalų ar dirvos, aplinkos apsaugai yra tokia pat svarbi kaip ir informacija, susijusi su pramoninės kilmės išmetamaisiais teršalais.“</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Pranešimai apie naujus techninius reglamentus</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1994 m. birželio 1 d.</w:t>
        </w:r>
      </w:hyperlink>
      <w:r>
        <w:t xml:space="preserve"> Sprendimo Komisija/Vokietija, C-317/92, EU:C:1994:212, 25 ir 26 punktai.</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Pareiga pranešti taikoma esamo „techninio reglamento“ taikymo srities išplėtimui įtraukiant naujus gaminius, nors apie pradinį techninį reglamentą, kurio taikymo sritis išplečiama, jau pranešta Komisijai.</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Šiems argumentas negalima pritarti. Nagrinėjamas Vokietijos reglamentas yra nauja techninė specifikacija minėto 1 straipsnio prasme, nes nebenaudojami sterilūs medicinos instrumentai nuo šiol gali būti parduodami arba naudojami Vokietijoje tik įvykdžius tam tikrus įpareigojimus, kurie anksčiau buvo taikomi tik vaistų ženklinimui. Taisyklės, kuri anksčiau buvo taikoma tik kitiems gaminiams, taikymas konkretiems gaminiams yra naujas reglamentas, todėl apie jį turi būti pranešta pagal direktyvą.</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Šios išvados nepaneigia aplinkybė, kad, kaip teigia Vokietijos vyriausybė, taisyklės taikymo srities išplėtimas grindžiamas leidimą suteikiančia nuostata, apie kurią anksčiau buvo pranešta Komisijai. Apie šią įgalinančią priemonę, kurios imamasi kaip tokia, nereikalaujama pranešti pagal minėtą 8 straipsnį, nes ji nėra nauja specifikacija. Kitaip yra tos priemonės, kuri yra nauja specifikacija, apie kurią turi būti pranešta, įgyvendinimo atveju.“</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1999 m. birželio 3 d.</w:t>
        </w:r>
      </w:hyperlink>
      <w:r>
        <w:rPr>
          <w:b/>
          <w:i/>
          <w:sz w:val="22"/>
          <w:szCs w:val="22"/>
        </w:rPr>
        <w:t xml:space="preserve"> Sprendimo Colim NV, C-33/189, EU:C:1999:274, 22 punktas.</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Nacionalinė priemonė, kuria atkuriami arba pakeičiami galiojantys „techniniai reglamentai“, apie kuriuos jau pranešta Komisijai, neįtraukiant naujų specifikacijų, nėra „techninio reglamento“ projektas.</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direktyvos 83/189 tikslas – vykdant prevencinę kontrolę apsaugoti laisvą prekių judėjimą, kuris yra vienas iš Bendrijos pamatų (1997 m. liepos 12 d. Sprendimo Bic Benelux ν Belgium State, C-13/96, Rink. p. I-1753, 19 punktas). Šia stebėsena siekiama pašalinti arba sumažinti laisvo prekių judėjimo kliūtis, kurios gali atsirasti dėl techninių reglamentų, kuriuos valstybės narės siūlo priimti. Nacionalinė priemonė, kuri, nepridedant naujų ar papildomų specifikacijų, atkuria arba pakeičia esamus techninius reglamentus, apie kuriuos buvo tinkamai pranešta Komisijai po Direktyvos 83/189 įsigaliojimo, negali būti laikoma „techninio reglamento projektu“ Direktyvos 83/189 1 straipsnio 6 dalies prasme arba todėl jai taikoma pareiga pranešti.“</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2005 m. balandžio 21 d.</w:t>
        </w:r>
      </w:hyperlink>
      <w:r>
        <w:t xml:space="preserve"> Sprendimo Lindberg, C-267/03, EU:C:2005:246, 82 ir 85 punktai.</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Apie taisyklę, kuri tik atkuria arba pakeičia taisykles, apie kurias jau pranešta, neįtraukiant naujų „techninių reglamentų“, pranešti nereikia.</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pirmiausia reikia pažymėti, kad nacionalinė priemonė, kuri atkuria arba pakeičia esamus techninius reglamentus, kurie, priėmus Direktyvą 83/189, buvo tinkamai pranešta Komisijai, be naujų ar papildomų specifikacijų, negali būti laikoma „techninio reglamento projektu“ Direktyvos 83/189 1 straipsnio 9 dalies prasme ar todėl jai taikoma pareiga pranešti (žr. minėto sprendimo Colim 22 punktą). Šiuo atveju reikia atsižvelgti į Direktyvos 83/189 įsigaliojimo Švedijos Karalystei datą.“</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Atsižvelgiant į tai, kas išdėstyta, į trečiąjį klausimą reikia atsakyti, kad paslaugos, susijusios su gaminio dizainu, ypač paslaugos, susijusios su tam tikrų lošimo automatų eksploatavimu, kaip tai buvo padaryta 1996 m. įstatyme, pakartotinis apibrėžimas nacionalinėje teisėje gali būti techninis reglamentas, apie kurį turi būti pranešta pagal Direktyvą 83/189, jeigu šis naujas teisės aktas ne tik atkartoja ar pakeičia esamus techninius reglamentus, į kuriuos, priėmus Direktyvą 83/189 atitinkamoje valstybėje narėje, buvo tinkamai pranešta Komisijai, nepateikiant naujų ar papildomų specifikacijų.“</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2025 m. kovo 13 d.</w:t>
        </w:r>
      </w:hyperlink>
      <w:r>
        <w:rPr>
          <w:rFonts w:ascii="Times New Roman" w:hAnsi="Times New Roman" w:cs="Times New Roman" w:eastAsia="Times New Roman"/>
          <w:b/>
          <w:i/>
          <w:szCs w:val="20"/>
        </w:rPr>
        <w:t xml:space="preserve"> Sprendimo Unigames UAB, C-120/24, EU:C:2025:174, 57 ir 58 punktai.</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Apie techninio reglamento projekto pakeitimą, kuriuo iš esmės išplečiama jo taikymo sritis, turi būti pranešta. Pakeitimas, kuriuo nustatomos sankcijos už naują elgesį, turi būti laikomas esmine techninio reglamento peržiūra.</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Iš prašymo priimti prejudicinį sprendimą matyti, kad Azartinių lošimų įstatymo 10 straipsnio 19 dalyje „iš esmės pakeistas“ draudimas skatinti lošti. Konkrečiai kalbant, prašymą priimti prejudicinį sprendimą pateikęs teismas nurodo, kad veiksmai, kuriais kaltinama Unigames pagal šiuo metu galiojančius įstatymus, t. y. informacijos apie jos siūlomą lošimų veiklą paskelbimas šios bendrovės interneto svetainėje, negali būti baudžiami pagal ankstesnį azartinių lošimų įstatymą. Todėl, prašymą priimti prejudicinį sprendimą pateikusio teismo teigimu, minėtu 10 straipsnio 19 punktu išplėsta šio draudimo taikymo sritis.</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Taigi iš prašyme priimti prejudicinį sprendimą pateiktos informacijos matyti, kad Azartinių lošimų įstatymo 10 straipsnio 19 dalyje buvo nustatyti nauji arba papildomi reikalavimai, kaip tai suprantama pagal šio sprendimo 52 punkte primintą jurisprudenciją, palyginti su ankstesnio Azartinių lošimų įstatymo 10 straipsnio 19 punktu. Vadinasi, apie pakeitimą, dėl kurio priimtas šiuo metu galiojantis įstatymas, turėjo būti pranešta pagal Direktyvos 2015/1535 5 straipsnio 1 dalies pirmą pastraipą, tačiau tai turi patikrinti prašymą priimti prejudicinį sprendimą pateikęs teismas.“</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Pranešimas apie visą tekstą</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Teisingumo Teismo praktika: 1997 m. rugsėjo 16</w:t>
        </w:r>
      </w:hyperlink>
      <w:r>
        <w:t xml:space="preserve"> d. Sprendimo Komisija/Italija, C-279/94, EU:C:1997:396, 38 ir 42 punktai.</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Turi būti pranešta apie visą tekstą, kuriame yra „techniniai reglamentai“, įskaitant priemones, kurios nėra „techniniai reglamentai“, net jei sustabdymo laikotarpis taikomas tik „techniniams reglamentams“.</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Dėl Italijos vyriausybės pareigos pateikti visą Įstatymo Nr. 257/92 tekstą, įskaitant nuostatas, kurios nėra techniniai reglamentai, reikia pažymėti, kad pagal direktyvos 8 straipsnio 1 dalies pirmosios pastraipos paskutinį sakinį valstybės narės taip pat privalo pateikti Komisijai pagrindinių įstatymų ar kitų teisės aktų nuostatų, kurios iš esmės ir tiesiogiai susijusios, tekstus, jei tokio teksto išmanymas yra būtinas techninio reglamento projekto poveikiui įvertinti.“</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Tačiau vien tai, kad apie visas Įstatymo Nr. 257/92 nuostatas pranešama Komisijai, netrukdo Italijos Respublikai nedelsiant, taigi nelaukiant direktyvoje numatytos tyrimo procedūros rezultatų, įgyvendinti nuostatas, kurios nėra techniniai reglamentai.“</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Pranešimas apie susijusias pagrindines </w:t>
      </w:r>
      <w:bookmarkEnd w:id="139"/>
      <w:r>
        <w:t>nuostatas</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„Prireikus ir išskyrus atvejus, kai jis jau buvo išsiųstas kartu su išankstiniu pranešimu, valstybės narės tuo pačiu metu pateikia Komisijai iš esmės ir tiesiogiai susijusių pagrindinių įstatymų ar kitų teisės aktų nuostatų tekstą, jei apie jį reikėtų žinoti, kad būtų galima įvertinti techninio reglamento projekto poveikį.“</w:t>
      </w:r>
    </w:p>
    <w:p w14:paraId="3C018828" w14:textId="77777777">
      <w:pPr>
        <w:pStyle w:val="BodyText"/>
        <w:ind w:left="1440"/>
        <w:jc w:val="right"/>
        <w:rPr>
          <w:i/>
          <w:iCs/>
        </w:rPr>
      </w:pPr>
    </w:p>
    <w:p w14:paraId="21D14611" w14:textId="15758967">
      <w:pPr>
        <w:pStyle w:val="BodyText"/>
        <w:ind w:left="1440"/>
        <w:jc w:val="right"/>
      </w:pPr>
      <w:r>
        <w:t xml:space="preserve">(direktyvos (ES) 2015/1535 5 straipsnio 1 dalies antras sakinys)</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1998 m. gegužės 7 d.</w:t>
        </w:r>
      </w:hyperlink>
      <w:r>
        <w:t xml:space="preserve"> Sprendimo Komisija/Belgija, C-145/97, EU:C:1998:212, 11 ir 12 punktai.</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Valstybės narės turi pateikti ne tik teksto, kuriame yra „techniniai reglamentai“, projektą, bet ir iš esmės ir tiesiogiai susijusių pagrindinių įstatymų ar kitų teisės aktų nuostatų tekstą. Šios pareigos tikslas – suteikti Komisijai galimybę turėti kuo daugiau informacijos ir taip veiksmingai įgyvendinti pagal direktyvą jai suteiktus įgaliojimus.</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Antra, kiek tai susiję su tikslia pareigos pranešti apimtimi, direktyvos 8 straipsnio 1 dalies pirmos pastraipos pabaigoje numatyta, kad valstybės narės taip pat pateikia pagrindinių įstatymų ar kitų teisės aktų nuostatų, kurios iš esmės ir tiesiogiai susijusios, tekstus, jei tai būtina siekiant įvertinti techninio reglamento projekto poveikį.</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Kaip Teisingumo Teismas aiškiai nurodė 1997 m. gruodžio 12 d. Sprendime Komisija prieš Italiją(C-279/94, Rink. p. I-4743, 40 punktas), šios nuostatos tikslas – suteikti Komisijai galimybę gauti kuo daugiau informacijos apie bet kokį techninio reglamento projektą, atsižvelgiant į jo turinį, taikymo sritį ir bendrą kontekstą, kad ji galėtų kuo veiksmingiau naudotis direktyvos jai suteiktais įgaliojimais.“</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Pakartotinis</w:t>
      </w:r>
      <w:bookmarkEnd w:id="143"/>
      <w:r>
        <w:t xml:space="preserve"> pranešimas sustabdymo laikotarpiu</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„Valstybės narės iš naujo pateikia Komisijai techninio reglamento projektą šios dalies pirmoje ir antroje pastraipose nustatytomis sąlygomis, jei jos padaro projekto pakeitimus, dėl kurių iš esmės pasikeičia jo taikymo sritis, sutrumpinamas iš pradžių numatytas įgyvendinimo tvarkaraštis, įtraukiamos specifikacijos ar reikalavimai arba pastarieji tampa labiau ribojami.“</w:t>
      </w:r>
    </w:p>
    <w:p w14:paraId="3E582DDB" w14:textId="77777777">
      <w:pPr>
        <w:pStyle w:val="BodyText"/>
        <w:ind w:left="1440"/>
        <w:jc w:val="right"/>
        <w:rPr>
          <w:i/>
          <w:iCs/>
        </w:rPr>
      </w:pPr>
    </w:p>
    <w:p w14:paraId="57E3F15D" w14:textId="51B7D3EF">
      <w:pPr>
        <w:pStyle w:val="BodyText"/>
        <w:ind w:left="1440"/>
        <w:jc w:val="right"/>
      </w:pPr>
      <w:r>
        <w:t xml:space="preserve">(direktyvos (ES) 2015/1535 5 straipsnio 1 dalies trečias sakinys)</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2010 m. balandžio 15 d.</w:t>
        </w:r>
      </w:hyperlink>
      <w:r>
        <w:t xml:space="preserve"> Sprendimo Sandström, C-433/05, EU:C:2010:184, 47 ir 48 punktai.</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Techninio reglamento projekto, apie kurį jau pranešta Komisijai, pakeitimai, kuriais tik supaprastinamos atitinkamo gaminio naudojimo sąlygos, nėra reikšmingas pakeitimas, apie kurį reikia papildomai pranešti.</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atsižvelgiant į šio sprendimo 41 punkte primintą Direktyvos 98/34 tikslą, techninio reglamento projekto pakeitimai, apie kuriuos Komisijai jau pranešta pagal Direktyvos 98/34 8 straipsnio 1 dalies pirmą pastraipą, kuriais, kiek tai susiję su projektu, apie kurį pranešta, tik sušvelninamos atitinkamo gaminio naudojimo sąlygos ir kurie dėl to sumažina galimą techninio reglamento poveikį prekybai, nėra esminis projekto pakeitimas, kaip tai suprantama pagal šios direktyvos 8 straipsnio 1 dalies trečią pastraipą. Todėl apie tokius pakeitimus iš anksto pranešti nereikia.</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Nors pagal Direktyvos 98/34 8 straipsnio 3 dalį valstybės narės nedelsdamos pateikia Komisijai galutinį techninio reglamento tekstą, tai, kad apie nereikšmingą tokio reglamento pakeitimą nepranešama prieš jį priimant, neturi įtakos šio reglamento taikymui, jei nėra pareigos iš anksto apie jį pranešti.“</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2013 m. sausio 31 d.</w:t>
        </w:r>
      </w:hyperlink>
      <w:r>
        <w:t xml:space="preserve"> Sprendimo Belgische Petroleum Unie ir kt., C-26/11, EU:C:2013:44, 56 ir 57 punktai.</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Direktyvoje nereikalaujama iš naujo pranešti apie nacionalinės teisės aktų projektus, jei po pranešimo projektas buvo iš dalies pakeistas, kad būtų atsižvelgta į Komisijos pastabas, o iš dalies pakeistas projektas vėliau buvo perduotas Komisijai.</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šiomis aplinkybėmis Belgijos Karalystė, atsižvelgdama į Komisijos prašymą pašalinti prekybos kliūtis, apsiribojo teisės akto projekto nuostatų pakeitimu, todėl pagal Direktyvos 98/34 10 straipsnio 1 dalies paskutinę įtrauką pareiga pranešti Komisijai pagal šios direktyvos 8 straipsnio 1 dalies pirmą pastraipą netaikoma Įstatymo dėl įpareigojimo maišymui projektui.</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Šiomis aplinkybėmis į antrąjį klausimą reikia atsakyti, kad Direktyvos 98/34 8 straipsnis, siejamas su šios direktyvos 10 straipsnio 1 dalies paskutine įtrauka, turi būti aiškinamas taip, kad pagal jį nereikalaujama pranešti apie nacionalinės teisės akto projektą, pagal kurį naftos bendrovės, tiekiančios į rinką benziną ir (arba) dyzeliną (dyzeliną), tais pačiais kalendoriniais metais taip pat turi pateikti rinkai tam tikrą biodegalų procentinę dalį, kai projektas, apie kurį pranešta pagal 8 straipsnio 1 dalies pirmą pastraipą, buvo iš dalies pakeistas, kad būtų atsižvelgta į Komisijos pastabas dėl jo, o pakeistas projektas buvo perduotas Komisijai.“</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2014 m. liepos 10 d. Sprendimo</w:t>
        </w:r>
      </w:hyperlink>
      <w:r>
        <w:rPr>
          <w:b/>
          <w:i/>
        </w:rPr>
        <w:t xml:space="preserve"> Ivansson ir kt.</w:t>
      </w:r>
      <w:r>
        <w:rPr>
          <w:sz w:val="25"/>
        </w:rPr>
        <w:t>,</w:t>
      </w:r>
      <w:r>
        <w:rPr>
          <w:rFonts w:ascii="Open Sans" w:hAnsi="Open Sans" w:cs="Open Sans" w:eastAsiaTheme="minorHAnsi"/>
          <w:color w:val="000000"/>
          <w:sz w:val="18"/>
          <w:szCs w:val="18"/>
        </w:rPr>
        <w:t xml:space="preserve"> </w:t>
      </w:r>
      <w:r>
        <w:rPr>
          <w:b/>
          <w:i/>
        </w:rPr>
        <w:t xml:space="preserve">C-307/13, EU:C:2014:2058, 48–50 punktai</w:t>
      </w:r>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Apie visus svarbius nacionalinės priemonės įgyvendinimo tvarkaraščio pakeitimus, įskaitant esminį sutrumpinimą, turi būti pranešta Komisijai. Nepranešus apie priemonę, ji tampa netaikytina ir negali būti taikoma privatiems asmenims.</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Šiuo klausimu reikia priminti, kad Teisingumo Teismas nusprendė, jog pareigos pranešti Komisijai nesilaikymas yra procedūros pažeidimas priimant atitinkamus techninius reglamentus, lemiantis šių techninių reglamentų netaikymą, vadinasi, jais negali būti remiamasi prieš privačius asmenis (žr., be kita ko, sprendimų CIA Security International, C-194/94, EU:C:1996:172, 54 punktą ir Schwibbert, C-20/05, EU:C:2007:652, 44 punktą). Privatūs asmenys šiuo netaikymu gali remtis nacionaliniame teisme, kuris turi atsisakyti taikyti nacionalinį techninį reglamentą, apie kurį nebuvo pranešta pagal Direktyvą 98/34 (žr., be kita ko, Sprendimo Schwibbert, EU:C:2007:652, 44 punktą ir nurodytą teismo praktiką).</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Tuo remiantis darytina išvada, kad tokiu atveju, jeigu pranešime Komisijai dėl Dekreto (1988:539) 9 straipsnio 2003 m. gegužės 1 d. iš tikrųjų nurodyta kaip įsigaliojimo data ir jeigu jo įgyvendinimo termino sutrumpinimas iki tų pačių metų balandžio 15 d. yra reikšmingas, iš naujo nepranešus apie šią nacionalinę priemonę Komisijai ji tampa netaikytina kaltinamiesiems pagrindinėje byloje.</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Todėl į antrąjį klausimą reikia atsakyti taip: jeigu techninio reglamento įsigaliojimo tvarkaraščio sutrumpinimui taikoma Direktyvos 98/34 8 straipsnio 1 dalies trečioje pastraipoje numatyta pareiga pranešti Komisijai, dėl tokio pranešimo nepateikimo ši nacionalinė priemonė taptų netaikytina, todėl ja nebūtų galima remtis prieš privačius asmenis.“</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Pareigos pranešti išimtys</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Europos akto perkėlimas į nacionalinę teisę</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„5 ir 6 straipsniai netaikomi tiems valstybių narių įstatymams ir kitiems teisės aktams arba savanoriškiems susitarimams, kuriais valstybės narės: </w:t>
      </w:r>
    </w:p>
    <w:p w14:paraId="2762B474" w14:textId="77777777">
      <w:pPr>
        <w:pStyle w:val="BodyText"/>
        <w:ind w:left="567"/>
        <w:rPr>
          <w:i/>
        </w:rPr>
      </w:pPr>
    </w:p>
    <w:p w14:paraId="753FC221" w14:textId="4E9C46C0">
      <w:pPr>
        <w:pStyle w:val="P68B1DB1-BodyText11"/>
        <w:ind w:left="1440"/>
        <w:rPr>
          <w:iCs/>
        </w:rPr>
      </w:pPr>
      <w:r>
        <w:t xml:space="preserve">a) laikosi privalomų Sąjungos aktų, pagal kuriuos priimamos techninės specifikacijos arba paslaugų taisyklės;“</w:t>
      </w:r>
    </w:p>
    <w:p w14:paraId="2A077376" w14:textId="77777777">
      <w:pPr>
        <w:pStyle w:val="BodyText"/>
        <w:ind w:left="567"/>
        <w:rPr>
          <w:i/>
          <w:iCs/>
        </w:rPr>
      </w:pPr>
    </w:p>
    <w:p w14:paraId="7AE538ED" w14:textId="4CFA3BCA">
      <w:pPr>
        <w:pStyle w:val="BodyText"/>
        <w:jc w:val="right"/>
      </w:pPr>
      <w:r>
        <w:t xml:space="preserve">(Direktyvos (ES) 2015/1535 7 straipsnio 1 dalies a punktas)</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1996 m. rugsėjo 17 d.</w:t>
        </w:r>
      </w:hyperlink>
      <w:r>
        <w:t xml:space="preserve"> Sprendimo Komisija/Italija, C-289/94, EU:C:1996:330, 43–45 punktai.</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Tam, kad nacionalinė priemonė būtų laikoma perkėlimo į nacionalinę teisę priemone, kuriai netaikomas reikalavimas pranešti, turi būti nustatytas tiesioginis ryšys su privalomu Bendrijos aktu.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Direktyvoje 91/492 įtvirtintos daug platesnės nuostatos dėl prekybos ne tik dvigeldžiais moliuskais, bet ir jūrų pilvakojais, gaubtagyviais ir dygiaodžiais. Jame nustatomi nauji reikalavimai visiems moliuskų surinkimo, tvarkymo, laikymo, vežimo ir paskirstymo etapams, taip pat įvedama registravimo ir ženklinimo sistema, leidžianti nustatyti kiekvienos partijos kilmę sveikatos tikslais.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Be to, tai, kad tarp Direktyvos 91/492 ir dviejų nagrinėjamų dekretų nėra tiesioginio ryšio, patvirtina Italijos vyriausybės teiginys, kad ši direktyva buvo perkelta į Italijos teisę minėtu 1992 m. gruodžio 30 d. Įstatyminiu dekretu Nr. 530, kuris, kaip ji teigia, yra vienintelė Direktyvos 91/492 įgyvendinimo priemonė ir dėl kurio 1993 m. sausio 27 d. Komisija pateikė išsamią nuomonę, kurioje kritikuojamas kitas toksinas (NSP), nenurodytas Direktyvoje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Kadangi jie nėra Direktyvos 91/492 perkėlimo priemonės, galinčios pateisinti Direktyvos 83/189 10 straipsnio taikymą, apie 1990 m. rugpjūčio 1 d. Dekretą Nr. 257 ir 1990 m. rugsėjo 1 d. dekretą turėjo būti pranešta Komisijai pagal pastarosios direktyvos 8 straipsnį.“</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2000 m. rugsėjo 26 d.</w:t>
        </w:r>
      </w:hyperlink>
      <w:r>
        <w:t xml:space="preserve"> Sprendimo Unilever, C-443/98, EU:C:2000:496, 28 ir 29 punktai.</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Kai valstybės narės turi didelę diskreciją perkelti Sąjungos direktyvą į nacionalinę teisę, šiuo tikslu priimtos nacionalinės priemonės negali būti laikomos nacionalinėmis nuostatomis, „atitinkančiomis privalomą Bendrijos aktą“.</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Antra, Italijos vyriausybė teigia, kad ginčijamas įstatymas buvo atleistas nuo pareigos pranešti pagal Direktyvos 83/189 10 straipsnį, nes jis buvo priimtas pagal 1978 m. gruodžio 18 d. Tarybos direktyvą 79/112/EEB dėl valstybių narių įstatymų, susijusių su galutiniam vartotojui skirtų maisto produktų ženklinimu etiketėmis, pateikimu ir reklama, suderinimo (OL L 33, 1979, p. 1). Šios direktyvos 3 straipsnio 1 dalies 7 punkte reikalaujama, kad etiketėje būtų nurodyta produkto kilmės vieta, jei tokios informacijos nepateikimas galėtų suklaidinti vartotojus dėl tikrosios maisto produkto kilmės.</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Su šiuo teiginiu sutikti negalima. Kaip pažymėjo Komisija, ši bendrai suformuluota Direktyvos 79/112 nuostata palieka valstybėms narėms pakankamai veiksmų laisvės, kad būtų galima daryti išvadą, jog nacionalinės kilmės ženklinimo taisyklės, kaip antai įtvirtintos ginčijamame įstatyme, negali būti laikomos nacionalinėmis nuostatomis, atitinkančiomis privalomą Bendrijos aktą Direktyvos 83/189 10 straipsnio 1 dalies pirmos įtraukos prasme.“</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2000 m. sausio 22 d.</w:t>
        </w:r>
      </w:hyperlink>
      <w:r>
        <w:t xml:space="preserve"> Sprendimo Canal Satélite Digital, C-390/99, EU:C:2002:34, 48 punktas.</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Nacionalinėms nuostatoms, kuriomis į nacionalinę teisę perkeliamos privalomos Bendrijos priemonės, kuriose yra „techninių specifikacijų“, pareiga pranešti netaikoma, jeigu jos griežtai apsiriboja tokiu perkėlimu.</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Dėl trečiojo klausimo antros dalies, susijusios su Direktyvos 83/189 8 straipsnyje numatyta pareiga pateikti Komisijai bet kokį techninio reglamento projektą, iš šios direktyvos 10 straipsnio matyti, kad 8 ir 9 straipsniai netaikomi valstybių narių įstatymams ir kitiems teisės aktams arba jų sudarytiems savanoriškiems susitarimams, pagal kuriuos valstybės narės laikosi privalomų Bendrijos priemonių, dėl kurių priimamos techninės specifikacijos. Taigi tiek, kiek pagrindinėje byloje nagrinėjamais nacionalinės teisės aktais perkeliama Direktyva 95/47, ir tik tiek, kiek pagal Direktyvą 83/189 nėra pareigos pranešti.“</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2005 m. rugsėjo 8 d.</w:t>
        </w:r>
      </w:hyperlink>
      <w:r>
        <w:t xml:space="preserve"> Sprendimo Komisija/Portugalija, C-500/03, EU:C:2005:515, 34 ir 35 punktai.</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Nacionalinėms nuostatoms, kuriomis nustatomos pramoginių laivų charakteristikos, negali būti taikoma tik perkėlimo į nacionalinę teisę išimtis, kai direktyva, kuria remiamasi, leidžia valstybėms narėms laisvai apibrėžti sąlygas, kurias jos laiko būtinomis aplinkai, konfigūracijai ir vandens kelių saugai apsaugoti.</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(Sprendimas prieinamas tik prancūzų ir portugalų kalbomis, toliau pateikiamas tekstas yra vertimas.)</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Valstybės narės turi teisę, kaip numatyta Direktyvos 94/25 2 straipsnio 2 dalyje, nacionaliniu lygiu apibrėžti sąlygas, kurias jos laiko būtinomis navigacijai tam tikruose vandenyse, siekiant apsaugoti aplinką ir vandens kelių struktūrą bei užtikrinti saugą tuose vandenyse. Tačiau šios nacionalinės teisės nuostatos jokiu būdu negali būti laikomos priimtomis siekiant laikytis privalomo Bendrijos akto.</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Darytina išvada, kad Reglamentas dėl laivybos lagūnomis, kuriuo pagal Direktyvos 94/25 2 straipsnio 2 dalį nustatomi pramoginiams laivams taikomi techniniai apribojimai, nepatenka į Direktyvos 98/34 10 straipsnio 1 dalies pirmos įtraukos taikymo sritį.“</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Apsaugos sąlygos taikymas</w:t>
      </w:r>
      <w:bookmarkEnd w:id="158"/>
      <w:bookmarkEnd w:id="159"/>
    </w:p>
    <w:p w14:paraId="19EB441C" w14:textId="77777777">
      <w:pPr>
        <w:pStyle w:val="BodyText"/>
        <w:ind w:left="567"/>
      </w:pPr>
    </w:p>
    <w:p w14:paraId="3421D751" w14:textId="45643AD7">
      <w:pPr>
        <w:pStyle w:val="P68B1DB1-BodyText11"/>
        <w:ind w:left="567"/>
        <w:rPr>
          <w:iCs/>
        </w:rPr>
      </w:pPr>
      <w:r>
        <w:t xml:space="preserve">„5 ir 6 straipsniai </w:t>
      </w:r>
      <w:r>
        <w:rPr>
          <w:i w:val="0"/>
        </w:rPr>
        <w:t xml:space="preserve">[dėl pareigos pranešti ir atidėjimo laikotarpio] </w:t>
      </w:r>
      <w:r>
        <w:t xml:space="preserve">netaikomi tiems valstybių narių įstatymams ir kitiems teisės aktams arba savanoriškiems susitarimams, kuriais valstybės narės: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naudojasi apsaugos sąlygomis, numatytomis privalomuose Sąjungos aktuose;“</w:t>
      </w:r>
    </w:p>
    <w:p w14:paraId="3AF0BFA4" w14:textId="77777777">
      <w:pPr>
        <w:pStyle w:val="P68B1DB1-BodyText11"/>
        <w:ind w:left="567"/>
        <w:rPr>
          <w:iCs/>
        </w:rPr>
      </w:pPr>
    </w:p>
    <w:p w14:paraId="6099E717" w14:textId="6C5840E7">
      <w:pPr>
        <w:pStyle w:val="BodyText"/>
        <w:jc w:val="right"/>
      </w:pPr>
      <w:r>
        <w:t xml:space="preserve">(Direktyvos (ES) 2015/1535 7 straipsnio 1 dalies c punktas)</w:t>
      </w:r>
    </w:p>
    <w:p w14:paraId="0B43480F" w14:textId="77777777">
      <w:pPr>
        <w:pStyle w:val="BodyText"/>
        <w:jc w:val="right"/>
      </w:pPr>
    </w:p>
    <w:p w14:paraId="2F300DBD" w14:textId="39C2EC6A">
      <w:pPr>
        <w:pStyle w:val="P68B1DB1-BodyText11"/>
        <w:ind w:left="567"/>
        <w:rPr>
          <w:iCs/>
        </w:rPr>
      </w:pPr>
      <w:r>
        <w:t xml:space="preserve">„Pirmiau paminėtos suderinimo priemonės atitinkamais atvejais apima ir apsaugos sąlygą, leidžiančią valstybėms narės dėl vienos ar kelių 36 straipsnyje nurodytų neekonominių priežasčių imtis laikinų priemonių kartu joms taikant Sąjungos kontrolės tvarką.“</w:t>
      </w:r>
    </w:p>
    <w:p w14:paraId="618BDE87" w14:textId="77777777">
      <w:pPr>
        <w:pStyle w:val="BodyText"/>
        <w:jc w:val="right"/>
      </w:pPr>
    </w:p>
    <w:p w14:paraId="4DE4DD33" w14:textId="77777777">
      <w:pPr>
        <w:pStyle w:val="BodyText"/>
        <w:jc w:val="right"/>
      </w:pPr>
      <w:r>
        <w:t xml:space="preserve">(Sutarties dėl Europos Sąjungos veikimo 114 straipsnio 10 dalis)</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2005 m. rugsėjo 8 d.</w:t>
        </w:r>
      </w:hyperlink>
      <w:r>
        <w:t xml:space="preserve"> Sprendimo Komisija/Portugalija, C-500/03, EU:C:2005:515, 34 ir 35 punktai.</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Nacionalinėms nuostatoms, kuriomis sukuriamos nuolatinės priemonės, negali būti taikomas atleidimas nuo pareigos pranešti, taikomas tik apsaugos sąlygoms, nes pastarosios iš esmės apima tik laikinąsias priemones.</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(Kadangi teismo sprendimas skelbiamas tik prancūzų ir portugalų kalbomis, šis tekstas yra vertimas.)</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Kadangi šis ieškinys dėl įsipareigojimų neįvykdymo susijęs tik su prašymu pripažinti formalios išankstinio pranešimo procedūros nesilaikymą, pakanka priminti, nesant reikalo atsakyti į kitus šalių argumentus, kad Teisingumo Teismas jau yra nusprendęs, jog Direktyvos 98/34 8 straipsnio 1 dalis įpareigoja valstybes nares nedelsiant pateikti Komisijai bet kokį techninio reglamento projektą (šiuo klausimu dėl nuostatų, panašių į šios direktyvos nuostatas, žr., be kita ko, 1993 m. rugpjūčio 2 d. Sprendimo Komisija prieš Italiją, C-139/92, Rink. p. I-3, 31 punktą ir 1996 m. sausio 11 d. Sprendimo Komisija prieš Nyderlandus, C-273/94, Rink. p. I-, 31 punktą).</w:t>
      </w:r>
    </w:p>
    <w:p w14:paraId="4A696586" w14:textId="77777777">
      <w:pPr>
        <w:pStyle w:val="BodyText"/>
        <w:ind w:left="567"/>
        <w:rPr>
          <w:i/>
          <w:iCs/>
          <w:sz w:val="20"/>
          <w:szCs w:val="16"/>
        </w:rPr>
      </w:pPr>
    </w:p>
    <w:p w14:paraId="7FC8797C" w14:textId="46BA7B1B">
      <w:pPr>
        <w:pStyle w:val="P68B1DB1-BodyText25"/>
        <w:ind w:left="567"/>
        <w:jc w:val="left"/>
      </w:pPr>
      <w:r>
        <w:t xml:space="preserve">40. Kadangi atitinkamos Dekreto Nr. 783/98 nuostatos yra techniniai reglamentai, kaip tai suprantama pagal Direktyvą 98/34, kaip nurodyta šio sprendimo 31 punkte, Portugalijos Respublika pagal Direktyvos 98/34 8 straipsnio 1 dalį turėjo pateikti jų projektą (šiuo klausimu dėl nuostatų, panašių į Direktyvos 98/34 nuostatas, žr., be kita ko, 1998 m. gegužės 7 d. SprendimoKomisija prieš Belgiją, C-145/97, Rink. p. I-13, 43 punktą ir 2005 m. balandžio 21 d. SprendimoLindberg, C-267/03, Rink. p. I-, I-, punktą).“</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2020 m. spalio 8 d.</w:t>
        </w:r>
      </w:hyperlink>
      <w:r>
        <w:t xml:space="preserve"> Sprendimo Union des industries de la protection des plantes, C-514/19, EU:C:2020:803, 46 ir 47 punktai.</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(nuoroda į </w:t>
      </w:r>
      <w:hyperlink r:id="rId93" w:history="1">
        <w:r>
          <w:rPr>
            <w:rStyle w:val="Hyperlink"/>
            <w:rFonts w:ascii="Times New Roman" w:hAnsi="Times New Roman" w:cs="Times New Roman" w:eastAsia="Times New Roman"/>
            <w:b/>
            <w:i/>
            <w:color w:val="0000FF"/>
            <w:szCs w:val="20"/>
          </w:rPr>
          <w:t xml:space="preserve">generalinės advokatės J. Kokott išvados</w:t>
        </w:r>
      </w:hyperlink>
      <w:r>
        <w:rPr>
          <w:rFonts w:ascii="Times New Roman" w:hAnsi="Times New Roman" w:cs="Times New Roman" w:eastAsia="Times New Roman"/>
          <w:b/>
          <w:i/>
          <w:szCs w:val="20"/>
        </w:rPr>
        <w:t xml:space="preserve">, EU:C:2020:422, 58 punktą)</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Sąlyga, atitinkanti Sutarties dėl Europos Sąjungos veikimo 114 straipsnyje pateiktą apibrėžtį, yra apsaugos sąlyga, net jei ji nėra nurodyta teisės akte, kuriame ji numatyta. Todėl jai taikoma pareigos pranešti išimtis.</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(Teisingumo Teismo sprendimas)</w:t>
      </w:r>
      <w:r>
        <w:rPr>
          <w:i/>
        </w:rPr>
        <w:t xml:space="preserve"> „46 šio reglamento 71 straipsnio 1 dalis turi būti laikoma apsaugos sąlyga, kaip savo išvados 58 punkte pažymėjo generalinė advokatė.</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Taigi skirtumą tarp šios direktyvos 5 straipsnyje ir šio reglamento 71 straipsnyje numatytų procedūrų patvirtina šios direktyvos 7 straipsnio 1 dalies c punktas, kuriame numatyta, kad šios direktyvos 5 ir 6 straipsniai netaikomi valstybių narių nuostatoms, pagal kurias pastarosios naudojasi apsaugos sąlygomis, numatytomis privalomuose Sąjungos aktuose.“</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(generalinės advokatės J. Kokott nuomonė)</w:t>
      </w:r>
      <w:r>
        <w:rPr>
          <w:i/>
        </w:rPr>
        <w:t xml:space="preserve"> </w:t>
      </w:r>
      <w:bookmarkStart w:id="163" w:name="point58"/>
      <w:r>
        <w:rPr>
          <w:i/>
        </w:rPr>
        <w:t>„</w:t>
      </w:r>
      <w:bookmarkEnd w:id="163"/>
      <w:r>
        <w:rPr>
          <w:i/>
        </w:rPr>
        <w:t xml:space="preserve">58.      Nors Augalų apsaugos reglamento 71 straipsnio pavadinime, skirtingai nuo kai kurių kitų panašių normų, nėra sąvokos „apsaugos sąlyga“, savo turiniu ši nuostata atitinka SESV 114 straipsnio 10 dalyje pateiktą apsaugos sąlygų apibrėžtį. Todėl ji taip pat gali būti laikoma apsaugos sąlyga Pranešimo direktyvos 7 straipsnio 1 dalies c punkto tikslais.“</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2023 m. kovo 9 d.</w:t>
        </w:r>
      </w:hyperlink>
      <w:r>
        <w:rPr>
          <w:rFonts w:ascii="Times New Roman" w:hAnsi="Times New Roman" w:cs="Times New Roman" w:eastAsia="Times New Roman"/>
          <w:b/>
          <w:i/>
          <w:szCs w:val="20"/>
        </w:rPr>
        <w:t xml:space="preserve"> Sprendimo Vapo Atlantic, C</w:t>
        <w:noBreakHyphen/>
        <w:t xml:space="preserve">604/21, EU:C:2023:175, 55–57 punktai.</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Reikalavimo pranešti išimtis, pagrįsta apsaugos sąlyga, galima tik tuo atveju, jei derinimo akte, kuriuo remiamasi, aiškiai yra nuostata, atitinkanti Sutarties dėl Europos Sąjungos veikimo 114 straipsnyje pateiktą apibrėžtį.</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Reikia pažymėti, kad Direktyvos 2009/30 4 straipsnio 1 dalies pirmose dviejose pastraipose valstybėms narėms tik nustatomas šios direktyvos perkėlimo į nacionalinę teisę terminas, t. y. iki 2010 m. gruodžio 31 d., priimant tam reikalingus įstatymus ir kitus teisės aktus, be to, jos įpareigojamos nedelsiant pateikti Komisijai tų priemonių tekstus. Šios nuostatos trečioje pastraipoje numatyta, kad valstybės narės, tvirtindamos šias priemones, daro jose nuorodą į Direktyvą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Vis dėlto, vadovaujantis Direktyvos 2009/30 4 straipsnio 1 dalies formuluote negalima teigti, kad Sąjungos teisės aktų leidėjas ketino šią direktyvą papildyti apsaugos sąlyga, kaip ji suprantama pagal SESV 114 straipsnio 10 dalį, kad ja galėtų pasinaudoti valstybės narės.</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Šiuo klausimu pastarojoje nuostatoje numatyta, kad suderinimo priemonės atitinkamais atvejais apima ir apsaugos sąlygą, leidžiančią valstybėms narėms dėl vienos ar kelių 36 straipsnyje nurodytų neekonominių priežasčių imtis laikinų priemonių kartu joms taikant Sąjungos kontrolės tvarką. Vadinasi, tokia apsaugos sąlyga turi būti aiškiai numatyta suderinimo akte. Direktyvos 2009/30 4 straipsnio 1 dalis neturi tokių savybių, todėl negali būti tokia apsaugos sąlyga.“</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Pakeitimas pagal Komisijos prašymą</w:t>
      </w:r>
      <w:bookmarkEnd w:id="169"/>
      <w:bookmarkEnd w:id="170"/>
    </w:p>
    <w:p w14:paraId="049085CF" w14:textId="77777777">
      <w:pPr>
        <w:pStyle w:val="BodyText"/>
        <w:jc w:val="left"/>
      </w:pPr>
    </w:p>
    <w:p w14:paraId="40F4BBF6" w14:textId="77777777">
      <w:pPr>
        <w:pStyle w:val="P68B1DB1-BodyText11"/>
        <w:ind w:left="567"/>
        <w:rPr>
          <w:iCs/>
        </w:rPr>
      </w:pPr>
      <w:r>
        <w:t xml:space="preserve">„5 ir 6 straipsniai </w:t>
      </w:r>
      <w:r>
        <w:rPr>
          <w:i w:val="0"/>
        </w:rPr>
        <w:t xml:space="preserve">[dėl pareigos pranešti ir atidėjimo laikotarpio] </w:t>
      </w:r>
      <w:r>
        <w:t xml:space="preserve">netaikomi tiems valstybių narių įstatymams ir kitiems teisės aktams arba savanoriškiems susitarimams, kuriais valstybės narės: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Komisijos prašymu tik iš dalies keisti techninį reglamentą, kaip apibrėžta 1 straipsnio 1 dalies f punkte, siekiant pašalinti kliūtis prekybai arba, paslaugų taisyklių atveju, laisvam paslaugų judėjimui arba paslaugų teikėjų įsisteigimo laisvei.“</w:t>
      </w:r>
    </w:p>
    <w:p w14:paraId="21F03EA5" w14:textId="77777777">
      <w:pPr>
        <w:pStyle w:val="BodyText"/>
        <w:jc w:val="center"/>
      </w:pPr>
    </w:p>
    <w:p w14:paraId="7883B4B7" w14:textId="369773F7">
      <w:pPr>
        <w:pStyle w:val="BodyText"/>
        <w:jc w:val="right"/>
      </w:pPr>
      <w:r>
        <w:t xml:space="preserve">(Direktyvos (ES) 2015/1535 7 straipsnio 1 dalies f punktas)</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2013 m. sausio 31 d.</w:t>
        </w:r>
      </w:hyperlink>
      <w:r>
        <w:t xml:space="preserve"> Sprendimo Belgische Petroleum Unie ir kt., C-26/11, EU:C:2013:44, 56 ir 57 punktai.</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Direktyvoje nereikalaujama pranešti apie nacionalinės teisės aktų projektus, jei po pirminio pranešimo projektas buvo iš dalies pakeistas, kad būtų atsižvelgta į Komisijos pastabas, o pakeista redakcija vėliau buvo perduota Komisijai.</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šiomis aplinkybėmis Belgijos Karalystė, atsižvelgdama į Komisijos prašymą pašalinti prekybos kliūtis, apsiribojo teisės akto projekto nuostatų pakeitimu, todėl pagal Direktyvos 98/34 10 straipsnio 1 dalies paskutinę įtrauką pareiga pranešti Komisijai pagal šios direktyvos 8 straipsnio 1 dalies pirmą pastraipą netaikoma Įstatymo dėl įpareigojimo maišymui projektui.</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Šiomis aplinkybėmis į antrąjį klausimą reikia atsakyti, kad Direktyvos 98/34 8 straipsnis, siejamas su šios direktyvos 10 straipsnio 1 dalies paskutine įtrauka, turi būti aiškinamas taip, kad pagal jį nereikalaujama pranešti apie nacionalinės teisės akto projektą, pagal kurį naftos bendrovės, tiekiančios į rinką benziną ir (arba) dyzeliną (dyzeliną), tais pačiais kalendoriniais metais taip pat turi pateikti rinkai tam tikrą biodegalų procentinę dalį, kai projektas, apie kurį pranešta pagal 8 straipsnio 1 dalies pirmą pastraipą, buvo iš dalies pakeistas, kad būtų atsižvelgta į Komisijos pastabas dėl jo, o pakeistas projektas buvo perduotas Komisijai.“</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Aplinkybės, kurios nesudaro išimčių</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1996 m. sausio 11 d.</w:t>
        </w:r>
      </w:hyperlink>
      <w:r>
        <w:t xml:space="preserve"> Sprendimo Komisija/Nyderlandai, C-273/94, EU:C:1996:4, 14 ir 15 punktai.</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Pareiga pranešti nepriklauso nuo numanomo taisyklės poveikio valstybių narių tarpusavio prekybai.</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Šio vertinimo negali paneigti Nyderlandų vyriausybės argumentas, kad ginčijamu potvarkiu skatinama prekyba margarinu, todėl jis atitinka pagrindinį direktyvos tikslą – panaikinti Bendrijos vidaus prekybos prekėmis kliūtis.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Valstybės narės privalo pateikti Komisijai kiekvieno techninio reglamento projektą pagal direktyvos 8 straipsnį. Tokia pareiga negali priklausyti nuo vienašališko poveikio, kurį ji gali turėti valstybių narių tarpusavio prekybai, vertinimo, kurį valstybė narė, parengusi reglamentą, turi vienašališkai.“</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1998 m. birželio 16 d.</w:t>
        </w:r>
      </w:hyperlink>
      <w:r>
        <w:t xml:space="preserve"> Sprendimo Lemmens, C-226/97, EU:C:1998:296, 18–20 punktai.</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Direktyva taikoma „techniniams reglamentams“, neatsižvelgiant į jų priėmimo priežastį. Tai, kad priemonė apima baudžiamąją teisę, neatleidžia jos nuo pareigos pranešti. Taigi nacionalinės nuostatos, reglamentuojančios kvėpavimo takų analizės aparatus, kuriuos policija naudoja alkoholiui matuoti, yra techninis reglamentas, apie kurį turėjo būti pranešta Komisijai prieš jį priimant.</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Prancūzijos vyriausybė savo ruožtu teigia, kad direktyva netaikoma produktams, kurie, kaip šioje byloje, skirti naudoti vykdant viešosios valdžios funkcijas ir a fortiori valstybių narių iškeltose baudžiamosiose bylose.</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Šių argumentų negalima priimti. Nors iš esmės baudžiamosios teisės aktai ir baudžiamojo proceso taisyklės yra klausimai, už kuriuos atsakingos valstybės narės, tai nereiškia, kad Bendrijos teisė negali paveikti šios teisės (šiuo klausimu žr. 1989 m. liepos 12 d. Sprendimo Cowan, 186/87, Rink. p. 195, 19 punktą ir 1981 m. gruodžio 12 d. Sprendimo Casati, 203/80, Rink. p. 2595, 27 punktą).</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Šiuo atveju direktyvoje nėra nieko, kas leistų manyti, kad techniniams reglamentams, kaip jie suprantami pagal jos 1 straipsnį, netaikomas reikalavimas pranešti, nes jie patenka į baudžiamosios teisės taikymo sritį, arba kad direktyva taikoma tik gaminiams, skirtiems naudoti ne vykdant viešosios valdžios funkcijas. Kaip Teisingumo Teismas jau yra pareiškęs 1997 m. gruodžio 12 d. Sprendime Bic Benelux (C-13/96, Rink. p. I-1753, 19 punktas), direktyva taikoma techniniams reglamentams, neatsižvelgiant į jų priėmimo motyvus.“</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2005 m. balandžio 21 d.</w:t>
        </w:r>
      </w:hyperlink>
      <w:r>
        <w:t xml:space="preserve"> Sprendimo Lindberg, C-267/03, EU:C:2005:246, 86, 91 ir 92 punktai.</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Produkto, kuriam taikoma taisyklė, vertė, rinkos dydis ir šios taisyklės poveikis Bendrijos vidaus prekybai nėra svarbūs kriterijai nustatant, ar apie „techninį reglamentą“ turi būti pranešta.</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Ketvirtuoju klausimu prašymą priimti prejudicinį sprendimą pateikęs teismas Teisingumo Teismo klausia, kokią įtaką Direktyvoje 83/189 nustatytai pareigai pranešti turi šios aplinkybės: –</w:t>
      </w:r>
    </w:p>
    <w:p w14:paraId="767A8711" w14:textId="77777777">
      <w:pPr>
        <w:pStyle w:val="P68B1DB1-P68B1DB1-ListParagraph226"/>
        <w:tabs>
          <w:tab w:val="left" w:pos="396"/>
          <w:tab w:val="left" w:pos="425"/>
        </w:tabs>
        <w:ind w:left="709"/>
      </w:pPr>
      <w:r>
        <w:t xml:space="preserve">– Licencijos reikalavimo pakeitimas nacionalinėje teisėje nustatytu draudimu,</w:t>
      </w:r>
    </w:p>
    <w:p w14:paraId="559C82EC" w14:textId="77777777">
      <w:pPr>
        <w:pStyle w:val="P68B1DB1-P68B1DB1-ListParagraph226"/>
        <w:tabs>
          <w:tab w:val="left" w:pos="396"/>
          <w:tab w:val="left" w:pos="425"/>
        </w:tabs>
        <w:ind w:left="709"/>
      </w:pPr>
      <w:r>
        <w:t xml:space="preserve">– Didesnė ar mažesnė produkto/paslaugos vertė,</w:t>
      </w:r>
    </w:p>
    <w:p w14:paraId="7057795D" w14:textId="77777777">
      <w:pPr>
        <w:pStyle w:val="P68B1DB1-P68B1DB1-ListParagraph226"/>
        <w:tabs>
          <w:tab w:val="left" w:pos="396"/>
          <w:tab w:val="left" w:pos="425"/>
        </w:tabs>
        <w:ind w:left="709"/>
      </w:pPr>
      <w:r>
        <w:t xml:space="preserve">– Produkto/paslaugos rinkos dydį arba</w:t>
      </w:r>
    </w:p>
    <w:p w14:paraId="7E4DCD6F" w14:textId="27AB1FF7">
      <w:pPr>
        <w:pStyle w:val="P68B1DB1-P68B1DB1-ListParagraph226"/>
        <w:tabs>
          <w:tab w:val="left" w:pos="396"/>
          <w:tab w:val="left" w:pos="425"/>
        </w:tabs>
        <w:ind w:left="709"/>
      </w:pPr>
      <w:r>
        <w:t xml:space="preserve">– Naujos nacionalinės nuostatos poveikis naudojimui, kuris galėtų būti visiškas naudojimo draudimas arba draudimas ar apribojimas vienoje iš galimų naudojimo sričių?“</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Dėl ketvirtajame prejudiciniame klausime nurodytų antrosios ir trečiosios aplinkybių būtina priminti, kaip buvo nurodyta šio sprendimo 50 punkte, kad Direktyva 83/189 numato prevencinės priežiūros mechanizmą, leidžiantį patikrinti, ar nacionalinė norma, nustatanti techninį standartą, patenka į su laisvu prekių judėjimu susijusių sutarties nuostatų taikymo sritį ir, jei taip, patikrinti, ar tokia norma yra suderinama su šiomis nuostatomis.</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Šiuo klausimu šio sprendimo 51 punkte buvo nuspręsta, kad galimas techninio reglamento poveikis Bendrijos vidaus prekybai nėra kriterijus Direktyvos 83/189 taikymo sričiai apibrėžti, kiek tai susiję, be kita ko, su joje numatyta pareiga pranešti.“</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Netaikymas</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Netaikymas pranešimo nepateikimo atveju</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1996 m. balandžio 30 d.</w:t>
        </w:r>
      </w:hyperlink>
      <w:r>
        <w:t xml:space="preserve"> Sprendimo CIA Security International SA, C-194/94, EU:C:1996:172, 48 ir 55 punktai.</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Dėl pareigos pranešti pažeidimo atitinkami „techniniai reglamentai“ netaikomi, todėl jais negalima remtis prieš privačius asmenis. Asmenys gali remtis Direktyvos 83/189 8 ir 9 straipsniais nacionaliniame teisme, kuris turi atsisakyti taikyti nacionalinį „techninį reglamentą“, apie kurį nebuvo pranešta pagal šią direktyvą.</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Tokia iš Direktyvos 83/189 išplaukiančių įsipareigojimų neįvykdymo pasekmė yra nesusijusi su šiuo atžvilgiu aiškios nuostatos buvimu. Kaip nurodyta pirmiau, neginčijama, kad šios direktyvos tikslas yra prevencinės kontrolės priemonėmis apsaugoti laisvą prekių judėjimą ir kad įpareigojimas pranešti yra pagrindinė šios Bendrijos kontrolės įgyvendinimo priemonė. Bendrijos kontrolės veiksmingumas bus daug didesnis, jei direktyva bus aiškinama taip, kad pareigos pranešti pažeidimas yra esminis procedūrinis pažeidimas, dėl kurio atitinkami techniniai reglamentai negali būti taikomi privatiems asmenims.“</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Todėl į penktąjį ir šeštąjį klausimus reikia atsakyti, kad Direktyvos 83/189 8 ir 9 straipsniai turi būti aiškinami taip, kad privatūs asmenys gali jais remtis nacionaliniame teisme, kuris turi atsisakyti taikyti nacionalinį techninį reglamentą, apie kurį nebuvo pranešta pagal šią direktyvą.“</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1998 m. birželio 16 d.</w:t>
        </w:r>
      </w:hyperlink>
      <w:r>
        <w:t xml:space="preserve"> Sprendimo Lemmens, C-226/97, EU:C:1998:296, 34–37 punktai.</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Pareigos pranešti apie techninį reglamentą, susijusį su kvėpavimo analizės aparatais, nesilaikymas nereiškia, kad asmens, privalančio vairuoti apsvaigus nuo alkoholio, įrodymai, gauti naudojant kvėpavimo takų analizės aparatus, apie kuriuos nebuvo pranešta, tampa nevykdytini.</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Baudžiamajame procese, kaip antai nagrinėjamame pagrindinėje byloje, kaltinamiesiems taikomos taisyklės, pagal kurias, pirma, draudžiamas ir baustinas vairavimas apsvaigus nuo alkoholio ir, antra, reikalaujama, kad vairuotojas iškvėptų savo orą į aparatą, skirtą alkoholio kiekiui matuoti, o šio patikrinimo rezultatas yra įrodymas baudžiamajame procese. Tokie reglamentai skiriasi nuo tų, kurie, nepranešus Komisijai pagal direktyvą, negali būti taikomi privatiems asmenims.</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Nors dėl nepranešimo apie techninius reglamentus, o tai yra jų priėmimo procedūrinis trūkumas, tokie reglamentai tampa netaikytini tiek, kiek jie trukdo naudoti ar pateikti į rinką jų neatitinkantį gaminį, tačiau tai nereiškia, kad bet koks gaminio, atitinkančio taisykles, apie kurias nebuvo pranešta, naudojimas tampa neteisėtas.</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Tai, kad valdžios institucijos naudoja produktą tokiu atveju, koks nagrinėjamas šioje byloje, negali sudaryti prekybos kliūčių, kurių būtų buvę galima išvengti, jei būtų laikomasi pranešimo procedūros.</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Todėl į pirmąjį klausimą reikia atsakyti, kad direktyva turi būti aiškinama taip, kad jos 8 straipsnyje nustatytos pareigos pranešti apie kvėpavimo analizės aparatų techninį reglamentą pažeidimas nereiškia, kad negalima remtis įrodymais, gautais naudojant tokį aparatą, leidžiamą pagal taisykles, apie kurias nebuvo pranešta, prieš asmenį, kaltinamą vairavimu apsvaigus nuo alkoholio.“</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2002 m. birželio 6 d.</w:t>
        </w:r>
      </w:hyperlink>
      <w:r>
        <w:t xml:space="preserve"> Sprendimo Sapod Audic, C-159/00, EU:C:2002:343, 52 ir 53 punktai.</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Nacionalinis teismas turi atsisakyti taikyti nuostatas, kurios netaikomos dėl nepranešimo. Tokio netaikymo pasekmes reglamentuoja nacionalinė teisė, jeigu ji nėra mažiau palanki nei panašiems nacionaline teise grindžiamiems ieškiniams ir dėl to naudojimasis Sąjungos teisėmis netampa neįmanomas.</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Vis dėlto reikia pažymėti, kad klausimas, kokių pasekmių pagrindinėje byloje kyla dėl Dekreto Nr. 92–377 4 straipsnio antros pastraipos netaikymo, kiek tai susiję su sankcijos griežtumu pagal taikytiną nacionalinę teisę, kaip antai Sapod ir Eco-Emballages sutarties negaliojimu ar nevykdymu, yra nacionalinės teisės reglamentuojamas klausimas, visų pirma kiek tai susiję su sutarčių teisės normomis ir principais, kuriais ši sankcija ribojama arba koreguojama taip, kad jos griežtumas būtų proporcingas nustatytam trūkumui. Vis dėlto šios taisyklės ir principai negali būti mažiau palankūs nei tie, kurie taikomi panašiems nacionaline teise grindžiamiems ieškiniams (lygiavertiškumo principas), ir negali būti suformuluoti taip, kad naudojimasis Bendrijos teisės suteiktomis teisėmis taptų praktiškai neįmanomas (veiksmingumo principas) (žr., be kita ko, 1976 m. liepos 12 d. Sprendimo Rewe prieš Landwirtschaftskammer für das Saarland, 33/76, Rink. p. 1989, 5 punktą ir 2001 m. kovo 10 d. Sprendimo Camorotto ir Vignone, C-52/99 ir C-53/99, Rink. p. I-1395, 21 punktą).</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Todėl į antrojo klausimo antrą dalį, kiek ji susijusi su Direktyva 83/189, reikia atsakyti taip: tuo atveju, jei nacionalinės teisės nuostata, kaip antai Dekreto Nr. 92–377 4 straipsnio antra pastraipa, būtų aiškinama taip, kad pagal ją reikalaujama naudoti prekių ženklą ar etiketę, privatus asmuo gali remtis nepranešimu apie šią nacionalinės teisės nuostatą pagal šios direktyvos 8 straipsnį. Taigi prašymą priimti prejudicinį sprendimą pateikęs teismas turi atsisakyti taikyti šią nuostatą, nes klausimas dėl pasekmių, kylančių iš šios nacionalinės nuostatos netaikymo, kiek tai susiję su taikytinoje nacionalinėje teisėje numatytos sankcijos griežtumu, kaip antai sutarties negaliojimu ar nevykdymu, yra nacionalinės teisės reglamentuojamas klausimas. Tačiau ši išvada priklauso nuo sąlygos, kad taikytinos nacionalinės teisės normos nėra mažiau palankios nei tos, kurios taikomos panašiems nacionaline teise grindžiamiems ieškiniams, ir nėra suformuluotos taip, kad naudojimasis Bendrijos teisės suteiktomis teisėmis taptų praktiškai neįmanomas.“</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2005 m. rugsėjo 8 d.</w:t>
        </w:r>
      </w:hyperlink>
      <w:r>
        <w:t xml:space="preserve"> Sprendimo Lidl Italia, C-303/04, EU:C:2005:528, 22 ir 23 punktai.</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Pareigos pranešti pažeidimas yra esminis procedūrinis pažeidimas, dėl kurio nagrinėjami „techniniai reglamentai“ negali būti taikomi ir todėl negali būti taikomi privatiems asmenims.</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iš nusistovėjusios teismo praktikos matyti, kad Direktyva 98/34 siekiama taikant prevencinę kontrolę apsaugoti laisvą prekių judėjimą, kuris yra vienas iš Bendrijos pagrindų, ir kad ši kontrolė yra naudinga, nes techniniai reglamentai, patenkantys į šios direktyvos taikymo sritį, gali sudaryti prekybos prekėmis tarp valstybių narių kliūtis, o tokios kliūtys leidžiamos tik tuo atveju, jei jos yra būtinos siekiant įvykdyti privalomus bendrojo intereso reikalavimus (šiuo klausimu žr. 1996 m. liepos 11 d. Sprendimo CIA Security International, C-194/94, Rink. p. I-2201, 40 punktą ir 1998 m. birželio 16 d. Sprendimo Lemmens, C-226/97, Rink. p. I-3711, 32 punktą).</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Kadangi pareiga pranešti, be kita ko, numatyta Direktyvos 98/34 8 straipsnio 1 dalies pirmoje pastraipoje, yra būtina šiai Bendrijos kontrolei užtikrinti, tokia kontrolė bus daug veiksmingesnė, jeigu ši direktyva būtų aiškinama taip, kad pareigos pranešti nesilaikymas yra esminis procedūrinis pažeidimas, dėl kurio nagrinėjami techniniai reglamentai tampa netaikytini ir todėl negali būti taikomi privatiems asmenims (minėtų sprendimų CIA Security International 44, 48 ir 54 punktai ir Lemmens 33 punktas).“</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2013 m. sausio 31 d.</w:t>
        </w:r>
      </w:hyperlink>
      <w:r>
        <w:t xml:space="preserve"> Sprendimo Belgische Petroleum Unie ir kt., C 26/11</w:t>
        <w:noBreakHyphen/>
        <w:t xml:space="preserve">, EU:C:2013:44, 50 punktas.</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Pareigos pranešti pažeidimas yra esminis procedūrinis pažeidimas, dėl kurio nagrinėjami „techniniai reglamentai“ negali būti taikomi ir todėl negali būti taikomi privatiems asmenims.</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Kadangi Direktyvos 98/34 8 straipsnio 1 dalies pirmoje pastraipoje numatyta pareiga pranešti yra būtina šiai kontrolei pasiekti, tokia kontrolė bus daug veiksmingesnė, jei ši direktyva būtų aiškinama taip, kad pareigos pranešti nesilaikymas yra esminis procedūrinis pažeidimas, dėl kurio nagrinėjami techniniai reglamentai tampa netaikytini ir todėl negali būti taikomi privatiems asmenims (žr. minėtų sprendimų Lidl Italia 23 punktą ir Sandström 43 punktą).“</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2016 m. vasario 2 d.</w:t>
        </w:r>
      </w:hyperlink>
      <w:r>
        <w:t xml:space="preserve"> Sprendimo Ince, C-336/14, EU:C:2016:72, 67 ir 68 punktai.</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Nepranešus apie „techninį reglamentą“, jis tampa netaikytinas ir negali būti taikomas privatiems asmenims. Pastarieji gali remtis Direktyvos 98/34 8 straipsniu nacionaliniuose teismuose, kurie privalo atsisakyti taikyti taisyklę, apie kurią nepranešta.</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Pirmiausia reikia priminti, kad Direktyvos 98/34 8 straipsnio 1 dalyje numatytos pareigos pranešti pažeidimas yra atitinkamų techninių reglamentų priėmimo procedūrinis pažeidimas, dėl kurio šie techniniai reglamentai tampa netaikytini ir todėl negali būti taikomi privatiems asmenims (žr., be kita ko, Sprendimo Ivansson ir kt., C-307/13, EU:C:2014:2058, 48 punktą ir jame nurodytą teismo praktiką).</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Šiuo klausimu reikia pabrėžti, kad, kaip savo išvados 60 punkte pažymėjo generalinis advokatas, nors pagal šios direktyvos 8 straipsnio 1 dalį reikalaujama, kad Komisijai būtų pateiktas visas įstatymo, kuriame yra techninių reglamentų, projektas (šiuo klausimu žr. Sprendimo Komisija/Italija, C-279/94, EU:C:1997:396, 40 ir 41 punktus), dėl šios pareigos pažeidimo kylantis netaikymas taikomas ne visoms tokio įstatymo nuostatoms, o tik jame esantiems techniniams reglamentams.“</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2016 m. balandžio 21 d. Nutarties</w:t>
        </w:r>
      </w:hyperlink>
      <w:r>
        <w:t xml:space="preserve"> Beca Engineering, C-285/15, EU:C:2016:295, 37 punktas.</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Nepranešus apie „techninį reglamentą“, jis tampa netaikytinas ir negali būti taikomas privatiems asmenims, kurie gali remtis Direktyvos 98/34 8 straipsniu nacionaliniuose teismuose, kurie dėl to privalo atsisakyti jį taikyti.</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(Kadangi nutartis pateikiama tik prancūzų ir italų kalbomis, šis tekstas yra vertimas.)</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Iš suformuotos jurisprudencijos matyti, kad dėl Direktyvos 98/34 8 straipsnyje numatytos valstybių narių pareigos nedelsiant pranešti Komisijai apie techninius reglamentus nevykdymo atitinkami techniniai reglamentai tampa netaikytini, todėl jais negalima remtis prieš privačius asmenis, todėl pastarasis gali remtis Direktyvos 98/34 8 straipsniu nacionaliniame teisme, kuris turi atsisakyti taikyti nacionalinį techninį reglamentą, apie kurį nebuvo pranešta pagal šią direktyvą (šiuo klausimu žr. 1996 m. balandžio 30 d. SprendimoCIA Security International, 194/94</w:t>
        <w:noBreakHyphen/>
        <w:t xml:space="preserve">, EU:C:1996:172, 44 ir 54 punktus; 2000 m. rugsėjo 26 d. Sprendimo Unilever</w:t>
        <w:noBreakHyphen/>
        <w:t xml:space="preserve">, 443/98, EU:C:2000:496, 49 punktą; ir 2015 m. liepos 16 d. Sprendimo UNIC ir Uni.co.pel,</w:t>
        <w:noBreakHyphen/>
        <w:t xml:space="preserve">95/14, EU:C:2015:492, 29 punktą).“</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2017 m. vasario 1 d.</w:t>
        </w:r>
      </w:hyperlink>
      <w:r>
        <w:t xml:space="preserve"> Sprendimo Município de Palmela, C</w:t>
        <w:noBreakHyphen/>
        <w:t xml:space="preserve">144/16, EU:C:2017:76, 36 ir 37 punktai.</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Techninių reglamentų, apie kuriuos nepranešta, netaikymas taikomas tik tokioms nuostatoms, o ne visam tekstui, kuriame jie išdėstyti.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Be to, sankcija už tokios pareigos pranešti neįvykdymą yra techninių taisyklių, apie kurias nebuvo pranešta, netaikymas (šiuo klausimu dėl Direktyvos 83/189 žr. 1996 m. balandžio 30 d. Sprendimo CIA Security International, C-194/94, EU:C:1996:172, 54 punktą ir, kiek tai susiję su Direktyva 98/34, 2016 m. vasario 4 d. Sprendimo Ince, C-336/14, EU:C:2016:72, 67 punktą ir jame nurodytą jurisprudenciją).</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Dėl tokios sankcijos apimties pažymėtina, kad nors pagal Direktyvos 83/189 8 straipsnio 1 dalį ir Direktyvos 98/34 8 straipsnio 1 dalį reikalaujama, kad Komisijai būtų pateiktas visas įstatymo, kuriame yra techninių reglamentų, projektas, dėl šios pareigos pažeidimo kylantis netaikymas taikomas ne visoms tokio įstatymo nuostatoms, o tik jame esantiems techniniams reglamentams (šiuo klausimu žr. 2016 m. vasario 4 d. Sprendimo Ince, C-336/14, EU:C:2016:72, 68 punktą).“</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2019 m. rugsėjo 12 d.</w:t>
        </w:r>
      </w:hyperlink>
      <w:r>
        <w:t xml:space="preserve"> Sprendimo VG Media, C-299/17, EU:C:2019:716, 39 punktas.</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„Techninio reglamento“, apie kurį nepranešta, netaikymu galima remtis nagrinėjant privačių asmenų ginčą.</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Jeigu taisyklė, kaip antai nagrinėjama pagrindinėje byloje, yra konkrečiai susijusi su informacinės visuomenės paslaugomis, apie techninio reglamento projektą turi būti iš anksto pranešta Komisijai, remiantis Direktyvos 98/34 8 straipsnio 1 dalimi. Priešingu atveju pagal suformuotą jurisprudenciją techniniu reglamentu, apie kurį nebuvo pranešta pagal šią nuostatą, galima remtis nagrinėjant privačių asmenų ginčą (2016 m. spalio 27 d. Sprendimo James Elliott Construction, C 613/14</w:t>
        <w:noBreakHyphen/>
        <w:t xml:space="preserve">, EU:C:2016:821, 64 punktas ir jame nurodyta jurisprudencija).“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Netaikymas priėmimo įvykio metu sustabdymo laikotarpiu</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2000 m. rugsėjo 26 d.</w:t>
        </w:r>
      </w:hyperlink>
      <w:r>
        <w:t xml:space="preserve"> Sprendimo Unilever, C-443/98, EU:C:2000:496, 44 ir 49 punktai.</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Pareigos atidėti „techninio reglamento“ priėmimą pažeidimas yra esminis procedūrinis trūkumas, todėl jo netaikymas gali būti keliamas nagrinėjant civilines sutarčių teisės bylas.</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Nors Sprendimo CIA Security 48 punkte, pakartojęs, kad Direktyvos 83/189 tikslas buvo apsaugoti laisvą prekių judėjimą vykdant prevencinę kontrolę ir kad pareiga pranešti yra būtina tokiai Bendrijos kontrolei pasiekti, Teisingumo Teismas nusprendė, kad tokios kontrolės veiksmingumas būtų daug didesnis, jei direktyva būtų aiškinama taip, kad pareigos pranešti pažeidimas yra esminis procedūrinis pažeidimas, dėl kurio nagrinėjami techniniai reglamentai negali būti taikomi privatiems asmenims, tačiau iš šio sprendimo 40–43 punktuose išdėstytų argumentų matyti, kad Direktyvos 83/189 9 straipsnyje numatytų įpareigojimų atidėti priėmimą pažeidimas taip pat yra esminis procedūrinis pažeidimas, dėl kurio techniniai reglamentai taptų netaikytini.“</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Taigi iš Teisingumo Teismo praktikos matyti, kad techninio reglamento, apie kurį nebuvo pranešta pagal Direktyvos 83/189 8 straipsnį, netaikymu galima remtis nagrinėjant privačių asmenų ginčą dėl šio sprendimo 40–43 punktuose nurodytų priežasčių. Tas pats pasakytina ir apie šios direktyvos 9 straipsnyje numatytų pareigų nesilaikymą, todėl nereikia skirtingai vertinti privačių asmenų ginčų nesąžiningos konkurencijos srityje, kaip ir byloje CIA Security International, palyginti su ginčais tarp privačių asmenų dėl sutartinio pobūdžio teisių ir pareigų, kaip yra pagrindinėje byloje.“</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2015 m. liepos 16 d.</w:t>
        </w:r>
      </w:hyperlink>
      <w:r>
        <w:t xml:space="preserve"> Sprendimo UNIC ir Uni.co.pel, C-95/14, EU:C:2015:492, 29 ir 30 punktai.</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„Techninis reglamentas“ negali būti taikomas, jei apie jį nebuvo pranešta arba jeigu, nors apie jį pranešta, jis buvo priimtas ir įgyvendintas iki atidėjimo laikotarpio pabaigos. Šio atidėjimo laikotarpio nesilaikymas yra esminis procedūrinis pažeidimas, dėl kurio nagrinėjamas „techninis reglamentas“ netaikytinas ir negali būti taikomas privatiems asmenims.</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Šiuo klausimu svarbu pažymėti, kad techninis reglamentas negali būti taikomas, kol apie jį nepranešta laikantis Direktyvos 98/34 8 straipsnio 1 dalies arba, nors apie jį pranešta, jeigu jis buvo patvirtintas ir įvykdytas prieš pasibaigiant šios direktyvos 9 straipsnio 1 dalyje nustatytam trijų mėnesių atidėjimo laikotarpiui (žr. Sprendimo CIA Security International, C-194/94, EU:C:1996:172, 41, 44 ir 54 punktus ir Sprendimo Unilever, C-443/98, EU:C:2000:496, 49 punktą).</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Taigi pagrindinėje byloje prašymą priimti prejudicinį sprendimą pateikęs teismas turi patikrinti, ar Įstatymas Nr. 8/2013 įsigaliojo nesilaikant Direktyvos 98/34 9 straipsnyje nustatyto atidėjimo laikotarpio. Jei taip, šio termino nesilaikymas yra esminio procedūrinio reikalavimo nesilaikymas, dėl kurio aptariamas techninis reglamentas tampa netaikomas. Kaip savo išvados 44–47 punktuose pažymėjo generalinė advokatė, tokiu atveju Įstatymo Nr. 8/2103 3 straipsnio 2 dalimi nebūtų galima remtis prieš privačius asmenis.“</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2023 m. gruodžio 21 d.</w:t>
        </w:r>
      </w:hyperlink>
      <w:r>
        <w:rPr>
          <w:rFonts w:ascii="Times New Roman" w:hAnsi="Times New Roman" w:cs="Times New Roman" w:eastAsia="Times New Roman"/>
          <w:b/>
          <w:i/>
          <w:szCs w:val="20"/>
        </w:rPr>
        <w:t xml:space="preserve"> Sprendimo Papier Mettler Italia, C-86/22, EU:C:2023:1023, 48 ir 51 punktai.</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„Techninio reglamento“ projekto priėmimas praėjus šešioms dienoms po pranešimo apie jį prieštarauja direktyvai.</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Nuostatos, pagal kurias teisės aktų įsigaliojimas priklauso nuo to, ar Komisija nereaguoja į šiuos teisės aktus („sustabdymo sąlygos“), prieštarauja direktyvai, nes tokių teisės aktų priėmimas neleidžia atsižvelgti į kitų valstybių narių nuomonę ir pažeidžia teisinio saugumo principą.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Antra, pagrindinėje byloje nagrinėjamo dekreto priėmimas per šešias dienas nuo pranešimo apie jį Komisijai pagal šios direktyvos 8 straipsnio 1 dalį dienos taip pat pažeidžia jos 9 straipsnio 1 dalyje nustatytą pareigą, pagal kurią valstybės narės atideda „techninio reglamento projekto“ priėmimą trims mėnesiams nuo tos dienos, kai Komisija gavo šios direktyvos 8 straipsnio 1 dalyje nurodytą pranešimą.“</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Kita vertus, minėta vyriausybė teigia, kad pagrindinėje byloje nagrinėjamo dekreto 6 straipsnyje nustatyta jo įsigaliojimo sąlyga – Komisijoje 2013 m. kovo 12 d. pagal Direktyvos 98/34 8 straipsnio 1 dalį pradėta pranešimo procedūra turi baigtis „sėkmingai“. Vis dėlto ši procedūra neturėjo tokios baigties, nes Komisija nepateikė nuomonės dėl šio dekreto. Šis argumentas turi būti atmestas, nes, pirma, šio dekreto priėmimas ir paskelbimas per se gali turėti tam tikrų pasekmių laisvam atitinkamų prekių judėjimui, antra, jos neleido atsižvelgti į Nyderlandų Karalystės, Švedijos Karalystės ir Jungtinės Didžiosios Britanijos ir Šiaurės Airijos Karalystės pateiktas pastabas ir išsamias nuomones, trečia, kaip savo išvados 52 punkte pažymėjo generalinis advokatas, jos yra su teisinio saugumo principu nesuderinama teisėkūros technika.“</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Paaiškinimas dėl netaikymo poveikio</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2015 m. birželio 11 d.</w:t>
        </w:r>
      </w:hyperlink>
      <w:r>
        <w:t xml:space="preserve"> Sprendimo Berlington Hungary ir kt., C-98/14, EU:C:2015:386, 108 ir 109 punktai.</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Pranešimo ir sustabdymo įpareigojimais nesiekiama suteikti teisių asmenims. Todėl valstybės narės padarytas jų pažeidimas pagal Sąjungos teisę nesuteikia privatiems asmenims teisės reikalauti, kad ši valstybė narė atlygintų galimą žalą.</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Šiuo klausimu iš jurisprudencijos matyti, kad nors Direktyva 98/34 siekiama užtikrinti laisvą prekių judėjimą organizuojant prevencinę kontrolę, kurios veiksmingumas reikalauja, kad nagrinėjant privačių asmenų ginčą nebūtų taikoma pažeidžiant jos 8 ir 9 straipsnius priimta nacionalinė priemonė, šioje direktyvoje niekaip neapibrėžta teisės normos, kuria remdamasis nacionalinis teismas turi priimti sprendimą jo nagrinėjamoje byloje, materialinė taikymo sritis. Taigi ši direktyva nesukuria nei teisių, nei pareigų privatiems asmenims (Sprendimo Unilever, C-443/98, EU:C:2000:496, 51 punktas).</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Tokiomis aplinkybėmis reikia konstatuoti, kad pirmoji iš 104 punkte išvardytų sąlygų nėra įvykdyta, todėl privatūs asmenys negali remtis šios direktyvos 8 ir 9 straipsnių pažeidimu, kad nustatytų atitinkamos valstybės narės atsakomybę pagal Sąjungos teisę.“</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Pažeidimo nagrinėjimo procedūra</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2009 m. birželio 4 d.</w:t>
        </w:r>
      </w:hyperlink>
      <w:r>
        <w:t xml:space="preserve"> Sprendimo Komisija/Graikija, C-109/08, EU:C:2009:346, 14–17 punktai.</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Teisingumo Teismo sprendimas, kuriuo konstatuojamas pareigos pranešti neįvykdymas, turi būti įvykdytas nedelsiant, kad būtų užtikrintas vienodas Sąjungos teisės taikymas. Klausimas, ar toks pažeidimas buvo padarytas pagal EB 228 straipsnį, vertinamas pagrįstoje nuomonėje nustatyto termino pabaigoje. Šiuo atveju, kadangi Graikija nesiėmė jokių priemonių iki nustatyto termino pabaigos, ji neįvykdė įsipareigojimų pagal EB 228 straipsnio 1 dalį.</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Nors EB 228 straipsnyje nenurodytas terminas, per kurį turi būti įvykdytas Teisingumo Teismo sprendimas, konstatuojantis valstybės įsipareigojimų neįvykdymą, iš nusistovėjusios teismo praktikos matyti, kad neatidėliotinas ir vienodas Bendrijos teisės taikymas reiškia, jog įvykdymo procesas turi būti pradėtas iš karto ir užbaigtas kuo greičiau (žr., be kita ko, 2008 m. gruodžio 12 d. Sprendimo Komisija prieš Prancūziją, C-121/07, Rink. p. I</w:t>
        <w:noBreakHyphen/>
        <w:t xml:space="preserve">0000, 21 punktą ir jame nurodytą teismo</w:t>
        <w:noBreakHyphen/>
        <w:t>praktiką).</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Be to, atskaitos data vertinant įsipareigojimų neįvykdymą pagal EB 228 straipsnį yra pagal šią nuostatą pateiktoje pagrįstoje nuomonėje nustatyto termino pasibaigimas (žr., be kita ko, 2007 m. gruodžio 12 d. Sprendimo</w:t>
        <w:noBreakHyphen/>
        <w:t xml:space="preserve">Komisija prieš Vokietiją, C 503/04, Rink. p. I</w:t>
        <w:noBreakHyphen/>
        <w:t xml:space="preserve">6153, 19 punktą ir jame nurodytą teismo</w:t>
        <w:noBreakHyphen/>
        <w:t>praktiką).</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Šiuo atveju akivaizdu, kad iki 2007 m. birželio 29 d. pagrįstoje nuomonėje nustatyto dviejų mėnesių termino pabaigos Graikijos Respublika nesiėmė jokių būtinų priemonių minėtam sprendimui</w:t>
        <w:noBreakHyphen/>
        <w:t xml:space="preserve">Komisija prieš Graikiją įvykdyti, nes apie pirmosios priemonės, skirtos įvykdyti šį sprendimą, projektą Komisijai buvo pranešta tik 2008 m. gegužės 7 d.</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Tokiomis aplinkybėmis reikia konstatuoti, kad, kaip pripažįsta pati Graikijos Respublika, ji neįvykdė įsipareigojimų pagal EB 228 straipsnio 1 dalį.“</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Direktyvos 2015/1535 ir Direktyvos 83/189/EEB palyginimas grindžiamas pirminiais nepakeistais aktais, o Direktyvos 98/34/EB – su pakeitimais, padarytais 1998 m. liepos 20 d. Direktyva 98/48/EB.</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2015 m. rugsėjo 9 d. Europos Parlamento ir Tarybos direktyva (ES) 2015/1535, kuria nustatoma informacijos apie techninius reglamentus ir informacinės visuomenės paslaugų taisykles teikimo tvarka (kodifikuota redakcija)</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1998 m. birželio 22 d. Europos Parlamento ir Tarybos direktyva 98/34/EB, nustatanti informacijos apie techninius standartus ir reglamentus teikimo tvarką, su pakeitimais, padarytais 1998 m. liepos 20 d. Direktyva 98/48/EB (įskaitant paslaugų taisykles)</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1983 m. kovo 28 d. Tarybos direktyva 83/189/EEB, nustatanti informacijos apie techninius standartus ir reglamentus teikimo tvarką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lt"/>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