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2ACD" w14:textId="77777777" w:rsidR="003741D1" w:rsidRDefault="003741D1" w:rsidP="003741D1">
      <w:pPr>
        <w:pStyle w:val="PlainText"/>
        <w:rPr>
          <w:rFonts w:ascii="Courier New" w:hAnsi="Courier New" w:cs="Courier New"/>
          <w:sz w:val="20"/>
          <w:szCs w:val="20"/>
        </w:rPr>
      </w:pPr>
      <w:r>
        <w:rPr>
          <w:rFonts w:ascii="Courier New" w:hAnsi="Courier New"/>
          <w:sz w:val="20"/>
          <w:szCs w:val="20"/>
        </w:rPr>
        <w:t xml:space="preserve">1. ------IND- 2020 0087 F- DE- ------ 20200429 --- --- FINAL </w:t>
      </w:r>
    </w:p>
    <w:p w14:paraId="3BDEA435"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November 2019</w:t>
      </w:r>
    </w:p>
    <w:p w14:paraId="674E65C2"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45A2C1E1"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0FF4BEFD"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Amtsblatt der Französischen Republik Nr. 0267 vom 17. November 2019</w:t>
      </w:r>
    </w:p>
    <w:p w14:paraId="3B4FB91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C7D7921"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Nr. 16</w:t>
      </w:r>
    </w:p>
    <w:p w14:paraId="749CE0E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16C9F6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F2C6079"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Erlass vom 15. November 2019 über die Anzeige der spezifischen Absorptionsrate von Funkendeinrichtungen und die Information der Verbraucher</w:t>
      </w:r>
    </w:p>
    <w:p w14:paraId="647E004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0DDD3F3"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NOR-Nr.: SSAP1834792A</w:t>
      </w:r>
    </w:p>
    <w:p w14:paraId="6918EC8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C374D1C"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0962959"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ELI:https://www.legifrance.gouv.fr/eli/arrete/2019/11/15/SSAP1834792A/jo/texte</w:t>
      </w:r>
    </w:p>
    <w:p w14:paraId="4BBD370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4F55047"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2157EDF"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DB10B00"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BFFDE9C"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20BD7D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Die Ministerin für Solidarität und Gesundheit und der Minister für Wirtschaft und Finanzen,</w:t>
      </w:r>
    </w:p>
    <w:p w14:paraId="5B63624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EBD8F6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Richtlinie 2014/53/EU des Europäischen Parlaments und des Rates vom 16. April 2014 über die Bereitstellung von Funkanlagen auf dem Markt und zur Aufhebung der Richtlinie 1999/5/EG;</w:t>
      </w:r>
    </w:p>
    <w:p w14:paraId="19339EA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59B7D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Richtlinie (EU) 2015/1535 des Europäischen Parlaments und des Rates vom 9. September 2015 über ein Informationsverfahren auf dem Gebiet der technischen Vorschriften und der Vorschriften für die Dienste der Informationsgesellschaft;</w:t>
      </w:r>
    </w:p>
    <w:p w14:paraId="48EEB12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80E534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das Gesetz über Postwesen und elektronische Kommunikation, insbesondere auf die Artikel R. 9, R. 20-11 und R. 20-19;</w:t>
      </w:r>
    </w:p>
    <w:p w14:paraId="289D69D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9F1320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das Dekret Nr. 2010-1207 vom 12. Oktober 2010 über die Anzeige der spezifischen Absorptionsrate von Funkendeinrichtungen in seiner durch das Dekret Nr. 2019-1186 vom 15. November 2019 geänderten Fassung;</w:t>
      </w:r>
    </w:p>
    <w:p w14:paraId="7519B5E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664139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Erlass vom 8. Oktober 2003 über die Information der Verbraucher über Funkendeinrichtungen, der in Anwendung des Artikels R. 20-10 des Gesetzes über Postwesen und Telekommunikation ergangen ist;</w:t>
      </w:r>
    </w:p>
    <w:p w14:paraId="78507C5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2C00D5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Erlass vom 8. Oktober 2003 zur Festlegung der technischen Spezifikationen für Funkendeinrichtungen;</w:t>
      </w:r>
    </w:p>
    <w:p w14:paraId="5CCDCCA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E31060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Erlass vom 12. Oktober 2010 über die Anzeige der spezifischen Absorptionsrate von Funkendeinrichtungen;</w:t>
      </w:r>
    </w:p>
    <w:p w14:paraId="19C0E87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8A3511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Notifizierung Nr. 2018/0087/F, die in Anwendung der Richtlinie (EU) 2015/1535 an die Europäische Kommission übermittelt wurde;</w:t>
      </w:r>
    </w:p>
    <w:p w14:paraId="4C6983E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6F59AB2" w14:textId="77777777" w:rsidR="00A65212" w:rsidRPr="00E75A83" w:rsidRDefault="00C90EA9" w:rsidP="002B38CB">
      <w:pPr>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gestützt auf die Bemerkungen, die im Rahmen der öffentlichen Konsultation vom 16. April bis 13. Mai 2018 in Anwendung des Artikels L. 123-19-1 des Umweltgesetzbuchs vorgebracht wurden;</w:t>
      </w:r>
    </w:p>
    <w:p w14:paraId="173C627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29AA49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Stellungnahme Nr. 2019-0964 der französischen Regulierungsbehörde für elektronische Kommunikation und Postwesen vom 4. Juli 2019,</w:t>
      </w:r>
    </w:p>
    <w:p w14:paraId="01A7CB4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D2F428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erlassen: </w:t>
      </w:r>
    </w:p>
    <w:p w14:paraId="3917578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F85A8B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5A6BF1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w:t>
      </w:r>
    </w:p>
    <w:p w14:paraId="78FD8ED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25D1AB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8D6548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Der oben genannte Erlass vom 8. Oktober 2003 über die Information der Verbraucher über Funkendeinrichtungen, der in Anwendung des Artikels R. 20-10 des Gesetzes über Postwesen und Telekommunikation ergangen ist, wird wie folgt geändert:</w:t>
      </w:r>
    </w:p>
    <w:p w14:paraId="11751FB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54ED8E4" w14:textId="77777777" w:rsidR="00A65212" w:rsidRPr="002B38CB" w:rsidRDefault="00C90EA9">
      <w:pPr>
        <w:widowControl w:val="0"/>
        <w:autoSpaceDE w:val="0"/>
        <w:autoSpaceDN w:val="0"/>
        <w:adjustRightInd w:val="0"/>
        <w:spacing w:after="0" w:line="240" w:lineRule="auto"/>
        <w:rPr>
          <w:rFonts w:ascii="Arial" w:hAnsi="Arial" w:cs="Arial"/>
          <w:spacing w:val="-2"/>
          <w:sz w:val="24"/>
          <w:szCs w:val="24"/>
        </w:rPr>
      </w:pPr>
      <w:r w:rsidRPr="002B38CB">
        <w:rPr>
          <w:rFonts w:ascii="Arial" w:hAnsi="Arial"/>
          <w:spacing w:val="-2"/>
          <w:sz w:val="24"/>
          <w:szCs w:val="24"/>
        </w:rPr>
        <w:t>1. In der Überschrift wird in dem Wort „Funkendeinrichtungen“ die Silbe „end“ gestrichen, der Verweis auf „Artikel R. 20-10“ wird durch den Verweis auf „Artikel R. 20-11“ ersetzt und das Wort „Telekommunikation“ wird durch die Worte „elektronische Kommunikation“ ersetzt;</w:t>
      </w:r>
    </w:p>
    <w:p w14:paraId="4CE3971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229302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Artikel 1 erhält folgenden Wortlaut: „Der Wert bzw. die Werte der spezifischen Absorptionsrate von Funkeinrichtungen mit einer Sendeleistung von mehr als 20 mW, die vernünftigerweise vorhersehbar in einer Entfernung von höchstens 20 cm vom Kopf oder einem sonstigen menschlichen Körperteil genutzt werden, sind lesbar, verständlich und sichtbar in der Bedienungsanleitung von Funkeinrichtungen angegeben, die in Betrieb genommen werden und zur Nutzung in Frankreich bestimmt sind.“;</w:t>
      </w:r>
    </w:p>
    <w:p w14:paraId="1128B18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12FDA8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in Artikel 2 wird in dem Wort „Endeinrichtungen“ die Silbe „end“ gestrichen;</w:t>
      </w:r>
    </w:p>
    <w:p w14:paraId="03DEDC9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7C0354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der Anhang wird gestrichen und durch den dem vorliegenden Erlass beigefügten Anhang ersetzt. </w:t>
      </w:r>
    </w:p>
    <w:p w14:paraId="43C91B7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52F9E4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w:t>
      </w:r>
    </w:p>
    <w:p w14:paraId="5ED8529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BE5AFF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59D792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Der oben genannte Erlass vom 8. Oktober 2003 zur Festlegung der technischen Spezifikationen für Funkendeinrichtungen wird wie folgt geändert:</w:t>
      </w:r>
    </w:p>
    <w:p w14:paraId="253D3A1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8E9457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der Überschrift des Erlasses und in der Überschrift des Anhangs wird in dem Wort „Funkendeinrichtungen“ die Silbe „end“ gestrichen;</w:t>
      </w:r>
    </w:p>
    <w:p w14:paraId="6819BA6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E1187D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Artikel 1 erhält folgenden Wortlaut: „Funkeinrichtungen mit einer Sendeleistung von mehr als 20 mW, die vernünftigerweise vorhersehbar in einer Entfernung von höchstens 20 cm vom Kopf oder einem sonstigen menschlichen Körperteil genutzt werden, dürfen nur in Betrieb genommen werden, wenn sie die technischen Spezifikationen im Anhang dieses Erlasses erfüllen.“;</w:t>
      </w:r>
    </w:p>
    <w:p w14:paraId="41943AD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EA107E4" w14:textId="77777777" w:rsidR="00A65212" w:rsidRPr="002B38CB" w:rsidRDefault="00C90EA9" w:rsidP="002B38CB">
      <w:pPr>
        <w:keepNext/>
        <w:keepLines/>
        <w:widowControl w:val="0"/>
        <w:autoSpaceDE w:val="0"/>
        <w:autoSpaceDN w:val="0"/>
        <w:adjustRightInd w:val="0"/>
        <w:spacing w:after="0" w:line="240" w:lineRule="auto"/>
        <w:rPr>
          <w:rFonts w:ascii="Arial" w:hAnsi="Arial" w:cs="Arial"/>
          <w:spacing w:val="-6"/>
          <w:sz w:val="24"/>
          <w:szCs w:val="24"/>
        </w:rPr>
      </w:pPr>
      <w:r w:rsidRPr="002B38CB">
        <w:rPr>
          <w:rFonts w:ascii="Arial" w:hAnsi="Arial"/>
          <w:spacing w:val="-6"/>
          <w:sz w:val="24"/>
          <w:szCs w:val="24"/>
        </w:rPr>
        <w:lastRenderedPageBreak/>
        <w:t>3. im Anhang wird nach der dritten Tabellenspalte eine Spalte mit folgendem Wortlaut ergänzt:</w:t>
      </w:r>
    </w:p>
    <w:p w14:paraId="32B896D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E80587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7331F215"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2E82"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1CDB1F73"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Lokale SAR Gliedmaßen</w:t>
            </w:r>
          </w:p>
          <w:p w14:paraId="1D5239AC" w14:textId="77777777"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14:paraId="767B4C7B"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(W/kg)</w:t>
            </w:r>
          </w:p>
        </w:tc>
      </w:tr>
      <w:tr w:rsidR="00A65212" w:rsidRPr="008E2269" w14:paraId="40C079C7"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2102F1"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337AC65F"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w:t>
            </w:r>
          </w:p>
        </w:tc>
        <w:tc>
          <w:tcPr>
            <w:tcW w:w="2" w:type="dxa"/>
            <w:tcBorders>
              <w:top w:val="nil"/>
              <w:left w:val="nil"/>
              <w:bottom w:val="nil"/>
              <w:right w:val="nil"/>
            </w:tcBorders>
          </w:tcPr>
          <w:p w14:paraId="0818F6CB"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4608CC63"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0C8B54"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0349ECA9"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5A95C64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EE3D01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4B2840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14:paraId="0F7EF40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46580D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3</w:t>
      </w:r>
    </w:p>
    <w:p w14:paraId="150BD9E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2B4003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E78EA6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Der oben genannte Erlass vom 12. Oktober 2010 wird wie folgt geändert:</w:t>
      </w:r>
    </w:p>
    <w:p w14:paraId="0FC5B35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E7DB80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der Überschrift wird in dem Wort „Funkendeinrichtungen“ die Silbe „end“ gestrichen;</w:t>
      </w:r>
    </w:p>
    <w:p w14:paraId="2809602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AB969F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2. Artikel 1 wird wie folgt geändert:</w:t>
      </w:r>
    </w:p>
    <w:p w14:paraId="0623075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8DE647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Absatz 1 wird durch einen Absatz mit folgendem Wortlaut ersetzt: „Der Wert bzw. die Werte der spezifischen Absorptionsrate von Funkeinrichtungen mit einer Sendeleistung von mehr als 20 mW, die vernünftigerweise vorhersehbar in einer Entfernung von höchstens 20 cm vom Kopf oder einem sonstigen menschlichen Körperteil genutzt werden, sind in unmittelbarer Nähe der Einrichtung, auf die sie sich beziehen, festgelegt:“;</w:t>
      </w:r>
    </w:p>
    <w:p w14:paraId="56BFD48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848656E" w14:textId="77777777" w:rsidR="00A65212" w:rsidRPr="002B38CB" w:rsidRDefault="00C90EA9">
      <w:pPr>
        <w:widowControl w:val="0"/>
        <w:autoSpaceDE w:val="0"/>
        <w:autoSpaceDN w:val="0"/>
        <w:adjustRightInd w:val="0"/>
        <w:spacing w:after="0" w:line="240" w:lineRule="auto"/>
        <w:rPr>
          <w:rFonts w:ascii="Arial" w:hAnsi="Arial" w:cs="Arial"/>
          <w:spacing w:val="-4"/>
          <w:sz w:val="24"/>
          <w:szCs w:val="24"/>
        </w:rPr>
      </w:pPr>
      <w:r w:rsidRPr="002B38CB">
        <w:rPr>
          <w:rFonts w:ascii="Arial" w:hAnsi="Arial"/>
          <w:spacing w:val="-4"/>
          <w:sz w:val="24"/>
          <w:szCs w:val="24"/>
        </w:rPr>
        <w:t>b) im letzten Absatz werden nach den Worten „Angabe der SAR“ die Worte „auf die – je nach Fall – das Wort ,Kopf‘, das Wort ,Rumpf‘ oder das Wort ,Gliedmaßen‘ folgt“ eingefügt;</w:t>
      </w:r>
    </w:p>
    <w:p w14:paraId="2C67FD8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C75482F"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Artikel 2 wird wie folgt geändert:</w:t>
      </w:r>
    </w:p>
    <w:p w14:paraId="2A5EF26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785AC7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In Absatz 1 werden die Worte „und in jeder Werbung“ gestrichen.</w:t>
      </w:r>
    </w:p>
    <w:p w14:paraId="7E36054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976646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Absatz 2 wird durch einen Absatz mit folgendem Wortlaut ersetzt: „Die lokale spezifische Absorptionsrate (SAR) gibt die Exposition des Nutzers gegenüber elektromagnetischen Wellen der betreffenden Einrichtung an. Die maximal zulässige SAR beträgt 2 W/kg für den Kopf und den Rumpf sowie 4 W/kg für die Gliedmaßen.“;</w:t>
      </w:r>
    </w:p>
    <w:p w14:paraId="4DF62F4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87FFC9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Artikel 3 wird aufgehoben. </w:t>
      </w:r>
    </w:p>
    <w:p w14:paraId="6109681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0EA5E4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4</w:t>
      </w:r>
    </w:p>
    <w:p w14:paraId="7A2F4DD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3CA039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7F9045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vorliegende Erlass tritt am 1. Juli 2020 in Kraft. </w:t>
      </w:r>
    </w:p>
    <w:p w14:paraId="2728257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A323859"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Anhang</w:t>
      </w:r>
    </w:p>
    <w:p w14:paraId="03A87A5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169099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A16DA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ANHANG</w:t>
      </w:r>
    </w:p>
    <w:p w14:paraId="7CF84EF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CF98B5B" w14:textId="77777777" w:rsidR="00A65212" w:rsidRPr="002B38CB" w:rsidRDefault="00C90EA9" w:rsidP="00836ACB">
      <w:pPr>
        <w:keepNext/>
        <w:widowControl w:val="0"/>
        <w:autoSpaceDE w:val="0"/>
        <w:autoSpaceDN w:val="0"/>
        <w:adjustRightInd w:val="0"/>
        <w:spacing w:after="0" w:line="240" w:lineRule="auto"/>
        <w:rPr>
          <w:rFonts w:ascii="Arial" w:hAnsi="Arial" w:cs="Arial"/>
          <w:spacing w:val="-2"/>
          <w:sz w:val="24"/>
          <w:szCs w:val="24"/>
        </w:rPr>
      </w:pPr>
      <w:r w:rsidRPr="002B38CB">
        <w:rPr>
          <w:rFonts w:ascii="Arial" w:hAnsi="Arial"/>
          <w:spacing w:val="-2"/>
          <w:sz w:val="24"/>
          <w:szCs w:val="24"/>
        </w:rPr>
        <w:t>ARTEN VON INFORMATIONEN, DIE UNTER DER RUBRIK „VORSICHTSMASSNAHMEN BEI DER BENUTZUNG DES GERÄTS“ ANZUGEBEN SIND</w:t>
      </w:r>
    </w:p>
    <w:p w14:paraId="6C63FC3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2CEF7B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 – Informationen über die Sicherheit der Benutzer und sonstiger Personen </w:t>
      </w:r>
    </w:p>
    <w:p w14:paraId="6901CA2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4B5D7A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Einhaltung der spezifischen Nutzungseinschränkungen an bestimmten Orten (Krankenhäuser, Flugzeuge, Tankstellen, Schulen usw.).</w:t>
      </w:r>
    </w:p>
    <w:p w14:paraId="4F1EB0B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76EBCF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Bei Mobiltelefonen Hinweis auf das Nutzungsverbot von mithilfe der Hand gehaltenen Telefonen durch Fahrzeugführer während der Fahrt.</w:t>
      </w:r>
    </w:p>
    <w:p w14:paraId="1E54311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EEB0AC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Vorsichtsmaßnahmen, die von Trägern elektronischer Implantate (Herzschrittmacher, Insulinpumpen, Neurostimulatoren usw.) insbesondere in Bezug auf die Entfernung zwischen der Funkeinrichtung und dem Implantat (15 cm bei den stärksten Expositionsquellen, wie z. B. bei Mobiltelefonen) zu ergreifen sind. </w:t>
      </w:r>
    </w:p>
    <w:p w14:paraId="3A09579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3716FB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B. – Informationen über Verhaltensweisen zur Reduzierung der Emission gegenüber den von der Funkeinrichtung ausgesendeten Strahlungen </w:t>
      </w:r>
    </w:p>
    <w:p w14:paraId="01D81DC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AFBCBD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Benutzung der Funkeinrichtung unter guten Empfangsbedingungen, um die empfangenen Strahlungen mengenmäßig zu reduzieren.</w:t>
      </w:r>
    </w:p>
    <w:p w14:paraId="08C6C6F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CCB47B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Benutzung einer Freisprecheinrichtung bzw. eines Lautsprechers, sofern mit der Funkeinrichtung kompatibel.</w:t>
      </w:r>
    </w:p>
    <w:p w14:paraId="2D8A555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EF82CF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Vernünftige Nutzung von Funkeinrichtungen wie Mobiltelefonen durch Kinder und Jugendliche, indem z. B. nächtliche Kommunikationen vermieden werden und die Häufigkeit und die Dauer von Anrufen begrenzt werden.</w:t>
      </w:r>
    </w:p>
    <w:p w14:paraId="01E0E09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B14957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Fernhalten der Funkeinrichtungen von dem Bauch schwangerer Frauen.</w:t>
      </w:r>
    </w:p>
    <w:p w14:paraId="4FB6A7D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5190A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Fernhalten der F</w:t>
      </w:r>
      <w:bookmarkStart w:id="0" w:name="_GoBack"/>
      <w:bookmarkEnd w:id="0"/>
      <w:r>
        <w:rPr>
          <w:rFonts w:ascii="Arial" w:hAnsi="Arial"/>
          <w:sz w:val="24"/>
          <w:szCs w:val="24"/>
        </w:rPr>
        <w:t>unkeinrichtungen von dem Unterleib von Jugendlichen. </w:t>
      </w:r>
    </w:p>
    <w:p w14:paraId="2D278E0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1801B7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AABD47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Geschehen am 15. November 2019. </w:t>
      </w:r>
    </w:p>
    <w:p w14:paraId="7D03BB3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331235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Die Ministerin für Solidarität und Gesundheit, </w:t>
      </w:r>
    </w:p>
    <w:p w14:paraId="5F2580A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3CC6059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3D0AFF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Minister für Wirtschaft und Finanzen, </w:t>
      </w:r>
    </w:p>
    <w:p w14:paraId="47FC8A1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E4BAB" w14:textId="77777777" w:rsidR="007B614A" w:rsidRDefault="007B614A" w:rsidP="00262748">
      <w:pPr>
        <w:spacing w:after="0" w:line="240" w:lineRule="auto"/>
      </w:pPr>
      <w:r>
        <w:separator/>
      </w:r>
    </w:p>
  </w:endnote>
  <w:endnote w:type="continuationSeparator" w:id="0">
    <w:p w14:paraId="195A3F7C"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9DCD6" w14:textId="77777777" w:rsidR="007B614A" w:rsidRDefault="007B614A" w:rsidP="00262748">
      <w:pPr>
        <w:spacing w:after="0" w:line="240" w:lineRule="auto"/>
      </w:pPr>
      <w:r>
        <w:separator/>
      </w:r>
    </w:p>
  </w:footnote>
  <w:footnote w:type="continuationSeparator" w:id="0">
    <w:p w14:paraId="3553883F"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62748"/>
    <w:rsid w:val="002B38CB"/>
    <w:rsid w:val="002E0907"/>
    <w:rsid w:val="003741D1"/>
    <w:rsid w:val="005A28DA"/>
    <w:rsid w:val="007B614A"/>
    <w:rsid w:val="00836ACB"/>
    <w:rsid w:val="008E2269"/>
    <w:rsid w:val="00933E0D"/>
    <w:rsid w:val="00A65212"/>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2A55736E"/>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985</Words>
  <Characters>6245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4</cp:revision>
  <dcterms:created xsi:type="dcterms:W3CDTF">2020-01-13T05:33:00Z</dcterms:created>
  <dcterms:modified xsi:type="dcterms:W3CDTF">2020-04-29T13:53:00Z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