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7C2" w:rsidRPr="00813FDF" w:rsidRDefault="003E27C2" w:rsidP="003E27C2">
      <w:pPr>
        <w:jc w:val="center"/>
        <w:textAlignment w:val="baseline"/>
        <w:rPr>
          <w:rFonts w:ascii="Courier New" w:hAnsi="Courier New"/>
          <w:sz w:val="20"/>
          <w:szCs w:val="20"/>
        </w:rPr>
      </w:pPr>
      <w:r w:rsidRPr="00813FDF">
        <w:rPr>
          <w:rFonts w:ascii="Courier New" w:hAnsi="Courier New"/>
          <w:sz w:val="20"/>
        </w:rPr>
        <w:t>1. ------IND- 2018 0324 FIN DA- ------ 20180719 --- --- PROJET</w:t>
      </w:r>
    </w:p>
    <w:p w:rsidR="003466CD" w:rsidRPr="00C51AA4" w:rsidRDefault="003466CD" w:rsidP="00C51AA4">
      <w:pPr>
        <w:jc w:val="both"/>
        <w:rPr>
          <w:rFonts w:ascii="Times New Roman" w:eastAsia="Times New Roman" w:hAnsi="Times New Roman" w:cs="Times New Roman"/>
          <w:b/>
          <w:sz w:val="24"/>
          <w:szCs w:val="24"/>
        </w:rPr>
      </w:pPr>
      <w:r>
        <w:rPr>
          <w:rFonts w:ascii="Times New Roman" w:hAnsi="Times New Roman"/>
          <w:b/>
          <w:sz w:val="24"/>
        </w:rPr>
        <w:t>Udkast til lov om ændring af lov om alkohol</w:t>
      </w:r>
    </w:p>
    <w:p w:rsidR="003466CD" w:rsidRPr="00C51AA4" w:rsidRDefault="003466CD" w:rsidP="00C51AA4">
      <w:pPr>
        <w:jc w:val="both"/>
        <w:rPr>
          <w:rFonts w:ascii="Times New Roman" w:eastAsia="Times New Roman" w:hAnsi="Times New Roman" w:cs="Times New Roman"/>
          <w:b/>
          <w:sz w:val="24"/>
          <w:szCs w:val="24"/>
        </w:rPr>
      </w:pPr>
    </w:p>
    <w:p w:rsidR="00185B55" w:rsidRPr="00C51AA4" w:rsidRDefault="00185B55" w:rsidP="00C51AA4">
      <w:pPr>
        <w:jc w:val="both"/>
        <w:rPr>
          <w:rFonts w:ascii="Times New Roman" w:eastAsia="Times New Roman" w:hAnsi="Times New Roman" w:cs="Times New Roman"/>
          <w:b/>
          <w:sz w:val="24"/>
          <w:szCs w:val="24"/>
        </w:rPr>
      </w:pPr>
    </w:p>
    <w:p w:rsidR="00185B55" w:rsidRPr="00C51AA4" w:rsidRDefault="00185B55" w:rsidP="00C51AA4">
      <w:pPr>
        <w:jc w:val="both"/>
        <w:rPr>
          <w:rFonts w:ascii="Times New Roman" w:eastAsia="Times New Roman" w:hAnsi="Times New Roman" w:cs="Times New Roman"/>
          <w:b/>
          <w:sz w:val="24"/>
          <w:szCs w:val="24"/>
        </w:rPr>
      </w:pPr>
    </w:p>
    <w:p w:rsidR="00A61390" w:rsidRPr="00C51AA4" w:rsidRDefault="003B6A80" w:rsidP="00C51AA4">
      <w:pPr>
        <w:jc w:val="both"/>
        <w:rPr>
          <w:rFonts w:ascii="Times New Roman" w:eastAsia="Times New Roman" w:hAnsi="Times New Roman" w:cs="Times New Roman"/>
          <w:b/>
          <w:sz w:val="24"/>
          <w:szCs w:val="24"/>
        </w:rPr>
      </w:pPr>
      <w:r>
        <w:rPr>
          <w:rFonts w:ascii="Times New Roman" w:hAnsi="Times New Roman"/>
          <w:b/>
          <w:sz w:val="24"/>
        </w:rPr>
        <w:t>Konsekvensvurdering for lovforslaget</w:t>
      </w:r>
    </w:p>
    <w:p w:rsidR="00185B55" w:rsidRPr="00C51AA4" w:rsidRDefault="00185B55" w:rsidP="00C51AA4">
      <w:pPr>
        <w:pStyle w:val="ListParagraph"/>
        <w:ind w:left="0"/>
        <w:jc w:val="both"/>
        <w:rPr>
          <w:b/>
        </w:rPr>
      </w:pPr>
    </w:p>
    <w:p w:rsidR="00F33320" w:rsidRPr="00C51AA4" w:rsidRDefault="00B627A6" w:rsidP="00C51AA4">
      <w:pPr>
        <w:pStyle w:val="ListParagraph"/>
        <w:ind w:left="0"/>
        <w:jc w:val="both"/>
        <w:rPr>
          <w:b/>
        </w:rPr>
      </w:pPr>
      <w:r>
        <w:rPr>
          <w:b/>
        </w:rPr>
        <w:t>1. Behovet for udkast til lovgivning</w:t>
      </w:r>
    </w:p>
    <w:p w:rsidR="00B627A6" w:rsidRPr="00C51AA4" w:rsidRDefault="00B627A6" w:rsidP="00C51AA4">
      <w:pPr>
        <w:pStyle w:val="ListParagraph"/>
        <w:jc w:val="both"/>
        <w:rPr>
          <w:rFonts w:eastAsiaTheme="minorHAnsi"/>
        </w:rPr>
      </w:pPr>
    </w:p>
    <w:p w:rsidR="00F33320" w:rsidRPr="00C51AA4" w:rsidRDefault="00F33320" w:rsidP="00C51AA4">
      <w:pPr>
        <w:jc w:val="both"/>
        <w:rPr>
          <w:rFonts w:ascii="Times New Roman" w:hAnsi="Times New Roman" w:cs="Times New Roman"/>
          <w:sz w:val="24"/>
          <w:szCs w:val="24"/>
        </w:rPr>
      </w:pPr>
      <w:r>
        <w:rPr>
          <w:rFonts w:ascii="Times New Roman" w:hAnsi="Times New Roman"/>
          <w:sz w:val="24"/>
        </w:rPr>
        <w:t>Den finske alkohollovgivning blev reformeret ved den nye lov om alkohol (1102/2017), der trådte i kraft i sin helhed den 1. marts 2018. På samme tid blev den gamle lov om alkohol (1143/1994) ophævet.</w:t>
      </w:r>
    </w:p>
    <w:p w:rsidR="00082F80" w:rsidRPr="00C51AA4" w:rsidRDefault="00F33320" w:rsidP="00C51AA4">
      <w:pPr>
        <w:jc w:val="both"/>
        <w:rPr>
          <w:rFonts w:ascii="Times New Roman" w:hAnsi="Times New Roman" w:cs="Times New Roman"/>
          <w:sz w:val="24"/>
          <w:szCs w:val="24"/>
        </w:rPr>
      </w:pPr>
      <w:r>
        <w:rPr>
          <w:rFonts w:ascii="Times New Roman" w:hAnsi="Times New Roman"/>
          <w:sz w:val="24"/>
        </w:rPr>
        <w:t>Grænseoverskridende fjernsalg af alkoholholdige drikkevarer omfatter for eksempel salget af alkoholholdige drikkevarer til finske forbrugere og organiseringen af deres transport til kunden i Finland, der foretages af en udenlandsk onlineforretning.</w:t>
      </w:r>
    </w:p>
    <w:p w:rsidR="003466CD" w:rsidRPr="00C51AA4" w:rsidRDefault="003466CD" w:rsidP="00C51AA4">
      <w:pPr>
        <w:jc w:val="both"/>
        <w:rPr>
          <w:rFonts w:ascii="Times New Roman" w:hAnsi="Times New Roman" w:cs="Times New Roman"/>
          <w:i/>
          <w:sz w:val="24"/>
          <w:szCs w:val="24"/>
        </w:rPr>
      </w:pPr>
    </w:p>
    <w:p w:rsidR="00B627A6" w:rsidRPr="00C51AA4" w:rsidRDefault="006D1604" w:rsidP="00C51AA4">
      <w:pPr>
        <w:jc w:val="both"/>
        <w:rPr>
          <w:rFonts w:ascii="Times New Roman" w:hAnsi="Times New Roman" w:cs="Times New Roman"/>
          <w:i/>
          <w:sz w:val="24"/>
          <w:szCs w:val="24"/>
        </w:rPr>
      </w:pPr>
      <w:r>
        <w:rPr>
          <w:rFonts w:ascii="Times New Roman" w:hAnsi="Times New Roman"/>
          <w:i/>
          <w:sz w:val="24"/>
        </w:rPr>
        <w:t>1.1 Regulering af grænseoverskridende fjernsalg i henhold til den gamle lov om alkohol</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Grænseoverskridende fjernsalg var ikke reguleret separat i den gamle finske lov om alkohol, men tre artikler vedrørte salget af alkoholholdige drikkevarer fra udlandet:</w:t>
      </w:r>
    </w:p>
    <w:p w:rsidR="00B627A6" w:rsidRPr="00C51AA4" w:rsidRDefault="00B627A6" w:rsidP="00C51AA4">
      <w:pPr>
        <w:pStyle w:val="ListParagraph"/>
        <w:numPr>
          <w:ilvl w:val="0"/>
          <w:numId w:val="17"/>
        </w:numPr>
        <w:jc w:val="both"/>
        <w:rPr>
          <w:rFonts w:eastAsiaTheme="minorHAnsi"/>
        </w:rPr>
      </w:pPr>
      <w:r>
        <w:t>I henhold til § 8 i den gamle lov om alkohol var indførsel af alkoholholdige drikkevarer til Finland fra udlandet tilladt uden nogen tilladelse, men hvis importøren af alkoholholdige drikkevarer praktiserede kommerciel aktivitet - såsom detailsalg af drikkevarer til finske kunder - i henhold til artiklen, krævede sådan aktivitet en tilladelse i overensstemmelse med loven om alkohol - i tilfældet anført som eksempel en detailhandelstilladelse.</w:t>
      </w:r>
    </w:p>
    <w:p w:rsidR="00B627A6" w:rsidRPr="00C51AA4" w:rsidRDefault="00B627A6" w:rsidP="00C51AA4">
      <w:pPr>
        <w:pStyle w:val="ListParagraph"/>
        <w:jc w:val="both"/>
        <w:rPr>
          <w:rFonts w:eastAsiaTheme="minorHAnsi"/>
        </w:rPr>
      </w:pPr>
    </w:p>
    <w:p w:rsidR="00B627A6" w:rsidRPr="00C51AA4" w:rsidRDefault="00B627A6" w:rsidP="00C51AA4">
      <w:pPr>
        <w:pStyle w:val="ListParagraph"/>
        <w:numPr>
          <w:ilvl w:val="0"/>
          <w:numId w:val="17"/>
        </w:numPr>
        <w:jc w:val="both"/>
        <w:rPr>
          <w:rFonts w:eastAsiaTheme="minorHAnsi"/>
        </w:rPr>
      </w:pPr>
      <w:r>
        <w:t>På den anden side kunne ingen detailhandelstilladelse udstedes til salg af de alkoholholdige drikkevarer, der hører under området for eneretten til detailsalg for den statsejede virksomhed, det statslige alkoholmonopol, i henhold til § 13 i den gamle lov om alkohol.</w:t>
      </w:r>
    </w:p>
    <w:p w:rsidR="00B627A6" w:rsidRPr="00C51AA4" w:rsidRDefault="00B627A6" w:rsidP="00C51AA4">
      <w:pPr>
        <w:pStyle w:val="ListParagraph"/>
        <w:jc w:val="both"/>
        <w:rPr>
          <w:rFonts w:eastAsiaTheme="minorHAnsi"/>
        </w:rPr>
      </w:pPr>
    </w:p>
    <w:p w:rsidR="00B627A6" w:rsidRPr="00C51AA4" w:rsidRDefault="00B627A6" w:rsidP="00C51AA4">
      <w:pPr>
        <w:pStyle w:val="ListParagraph"/>
        <w:numPr>
          <w:ilvl w:val="0"/>
          <w:numId w:val="17"/>
        </w:numPr>
        <w:jc w:val="both"/>
        <w:rPr>
          <w:rFonts w:eastAsiaTheme="minorHAnsi"/>
        </w:rPr>
      </w:pPr>
      <w:r>
        <w:t>For så vidt, der kunne udstedes en detailhandelstilladelse til detailsalg af alkoholholdige drikkevarer i henhold til § 14 i den gamle lov om alkohol, kunne salg i henhold til artiklen kun udføres i "lokaler", som var godkendt af den tilladelsesudstedende myndighed. Eftersom salg kun var tilladt i lokaler, kunne selv en, der var indehaver af en tilladelse til detailsalg af alkoholholdige drikkevarer, og som var etableret i Finland, ikke praktisere salg af alkoholholdige drikkevarer med hjemmelevering til forbrugere med opholdssted i Finland.</w:t>
      </w:r>
    </w:p>
    <w:p w:rsidR="00D55EFF" w:rsidRPr="00C51AA4" w:rsidRDefault="00D55EFF" w:rsidP="00C51AA4">
      <w:pPr>
        <w:jc w:val="both"/>
        <w:rPr>
          <w:rFonts w:ascii="Times New Roman" w:hAnsi="Times New Roman" w:cs="Times New Roman"/>
          <w:sz w:val="24"/>
          <w:szCs w:val="24"/>
        </w:rPr>
      </w:pP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 xml:space="preserve">I henhold til § 8 i den gamle lov om alkohol sammenholdt med §§ 13 og 14 var det ikke tilladt for nogen at praktisere grænseoverskridende fjernsalg af nogen alkoholholdige drikkevarer til Finland. Det har imidlertid vist sig vanskeligt at håndhæve bestemmelserne, og der er afsagt en række </w:t>
      </w:r>
      <w:r>
        <w:rPr>
          <w:rFonts w:ascii="Times New Roman" w:hAnsi="Times New Roman"/>
          <w:sz w:val="24"/>
        </w:rPr>
        <w:lastRenderedPageBreak/>
        <w:t>domstolsafgørelser med hensyn til fortolkning af bestemmelserne. De finske myndigheder har heller ikke været sikre angående overensstemmelsen mellem EU-lovgivningen og forbuddet om fjernsalg omtalt ovenfor.</w:t>
      </w:r>
    </w:p>
    <w:p w:rsidR="003466CD" w:rsidRPr="00C51AA4" w:rsidRDefault="003466CD" w:rsidP="00C51AA4">
      <w:pPr>
        <w:jc w:val="both"/>
        <w:rPr>
          <w:rFonts w:ascii="Times New Roman" w:hAnsi="Times New Roman" w:cs="Times New Roman"/>
          <w:i/>
          <w:sz w:val="24"/>
          <w:szCs w:val="24"/>
        </w:rPr>
      </w:pPr>
    </w:p>
    <w:p w:rsidR="006E04C3" w:rsidRPr="00C51AA4" w:rsidRDefault="006D1604" w:rsidP="00C51AA4">
      <w:pPr>
        <w:keepNext/>
        <w:jc w:val="both"/>
        <w:rPr>
          <w:rFonts w:ascii="Times New Roman" w:hAnsi="Times New Roman" w:cs="Times New Roman"/>
          <w:i/>
          <w:sz w:val="24"/>
          <w:szCs w:val="24"/>
        </w:rPr>
      </w:pPr>
      <w:r>
        <w:rPr>
          <w:rFonts w:ascii="Times New Roman" w:hAnsi="Times New Roman"/>
          <w:i/>
          <w:sz w:val="24"/>
        </w:rPr>
        <w:t>1.2 Præjudiciel afgørelse fra Den Europæiske Unions Domstol i sag C-198/14 Visnapuu</w:t>
      </w:r>
    </w:p>
    <w:p w:rsidR="003466CD" w:rsidRPr="00C51AA4" w:rsidRDefault="00B627A6" w:rsidP="00C51AA4">
      <w:pPr>
        <w:jc w:val="both"/>
        <w:rPr>
          <w:rFonts w:ascii="Times New Roman" w:hAnsi="Times New Roman" w:cs="Times New Roman"/>
          <w:sz w:val="24"/>
          <w:szCs w:val="24"/>
        </w:rPr>
      </w:pPr>
      <w:r>
        <w:rPr>
          <w:rFonts w:ascii="Times New Roman" w:hAnsi="Times New Roman"/>
          <w:sz w:val="24"/>
        </w:rPr>
        <w:t>I sin dom i sag C-198/14 Visnapuu tog Den Europæiske Unions domstol alle artiklerne i den gamle lov om alkohol omtalt ovenfor i betragtning. I sagen solgte en virksomhed etableret i Estland alkoholholdige drikkevarer til personer bosiddende i Finland via internettet og organiserede deres transport fra Estland til Finland.</w:t>
      </w:r>
    </w:p>
    <w:p w:rsidR="003466CD" w:rsidRPr="00C51AA4" w:rsidRDefault="00B627A6" w:rsidP="00C51AA4">
      <w:pPr>
        <w:jc w:val="both"/>
        <w:rPr>
          <w:rFonts w:ascii="Times New Roman" w:hAnsi="Times New Roman" w:cs="Times New Roman"/>
          <w:sz w:val="24"/>
          <w:szCs w:val="24"/>
        </w:rPr>
      </w:pPr>
      <w:r>
        <w:rPr>
          <w:rFonts w:ascii="Times New Roman" w:hAnsi="Times New Roman"/>
          <w:sz w:val="24"/>
        </w:rPr>
        <w:t>Anmodningen om en præjudiciel afgørelse fra appeldomstolen i Helsingfors vedrørte, hvorvidt artikel 34 eller 37 i TEUF ville forhindre Finland i at fastlægge et krav om en detailhandelstilladelse til en importør, når sælgeren transporterer den alkoholholdige drikkevare til køberen.</w:t>
      </w:r>
    </w:p>
    <w:p w:rsidR="00B627A6" w:rsidRPr="00C51AA4" w:rsidRDefault="003466CD" w:rsidP="00C51AA4">
      <w:pPr>
        <w:jc w:val="both"/>
        <w:rPr>
          <w:rFonts w:ascii="Times New Roman" w:hAnsi="Times New Roman" w:cs="Times New Roman"/>
          <w:sz w:val="24"/>
          <w:szCs w:val="24"/>
        </w:rPr>
      </w:pPr>
      <w:r>
        <w:rPr>
          <w:rFonts w:ascii="Times New Roman" w:hAnsi="Times New Roman"/>
          <w:sz w:val="24"/>
        </w:rPr>
        <w:t>Efter at have taget det aktuelle forbud om grænseoverskridende fjernsalg i betragtning, der er påbudt i den finske lov om alkohol, erklærede domstolen, at</w:t>
      </w:r>
    </w:p>
    <w:p w:rsidR="00B627A6" w:rsidRPr="00C51AA4" w:rsidRDefault="00B627A6" w:rsidP="00C51AA4">
      <w:pPr>
        <w:ind w:left="1304"/>
        <w:jc w:val="both"/>
        <w:rPr>
          <w:rFonts w:ascii="Times New Roman" w:hAnsi="Times New Roman" w:cs="Times New Roman"/>
          <w:i/>
          <w:iCs/>
          <w:sz w:val="24"/>
          <w:szCs w:val="24"/>
        </w:rPr>
      </w:pPr>
      <w:r>
        <w:rPr>
          <w:rFonts w:ascii="Times New Roman" w:hAnsi="Times New Roman"/>
          <w:i/>
          <w:sz w:val="24"/>
        </w:rPr>
        <w:t>"artikel 34 TEUF og 36 TEUF ikke er til hinder for en ordning i en medlemsstat som den i hovedsagen omhandlede, i henhold til hvilken en sælger, der er etableret i en anden medlemsstat, er underlagt et krav om detailhandelstilladelse til indførsel af alkoholholdige drikkevarer med henblik på detailsalg af disse til forbrugere med bopæl i den første medlemsstat, når denne sælger selv sørger for transporten af disse drikkevarer eller har overdraget transporten til en tredjemand, forudsat at ordningen er egnet til at sikre opfyldelsen af det forfulgte mål, i den foreliggende sag beskyttelsen af den offentlige sundhed og orden, at dette mål ikke kan nås på mindst lige så effektiv vis med mindre indgribende foranstaltninger, og at ordningen hverken udgør et middel til vilkårlig forskelsbehandling eller en skjult begrænsning af samhandelen mellem medlemsstaterne, hvilket det tilkommer den forelæggende domstol at efterprøve."</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De omtalte artikler i den gamle lov om alkohol tages især i betragtning i §§ 82, 93 og 101.</w:t>
      </w:r>
    </w:p>
    <w:p w:rsidR="003466CD" w:rsidRPr="00C51AA4" w:rsidRDefault="003466CD" w:rsidP="00C51AA4">
      <w:pPr>
        <w:jc w:val="both"/>
        <w:rPr>
          <w:rFonts w:ascii="Times New Roman" w:hAnsi="Times New Roman" w:cs="Times New Roman"/>
          <w:i/>
          <w:sz w:val="24"/>
          <w:szCs w:val="24"/>
        </w:rPr>
      </w:pPr>
    </w:p>
    <w:p w:rsidR="006E04C3" w:rsidRPr="00C51AA4" w:rsidRDefault="006D1604" w:rsidP="00C51AA4">
      <w:pPr>
        <w:keepNext/>
        <w:jc w:val="both"/>
        <w:rPr>
          <w:rFonts w:ascii="Times New Roman" w:hAnsi="Times New Roman" w:cs="Times New Roman"/>
          <w:i/>
          <w:sz w:val="24"/>
          <w:szCs w:val="24"/>
        </w:rPr>
      </w:pPr>
      <w:r>
        <w:rPr>
          <w:rFonts w:ascii="Times New Roman" w:hAnsi="Times New Roman"/>
          <w:i/>
          <w:sz w:val="24"/>
        </w:rPr>
        <w:t>1.3 Underretningen fra Finland om forbuddet mod fjernsalg og den udførlige udtalelse fra Kommissionen</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Den 14. december 2016 fremsendte social- og sundhedsministeriet udkastet til lov vedrørende reform af loven om alkohol til Kommissionen inden for rammerne af underretningsproceduren i henhold til direktiv (EU) 2015/1535.</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 30 i udkastet til lov indeholdte det samme forbud om grænseoverskridende fjernsalg som §§ 8, 13 og 14 i den gamle lov om alkohol, som Den Europæiske Unions Domstol tog i betragtning. I henhold til artiklen ville loven have forbudt grænseoverskridende fjernsalg af alkoholholdige drikkevarer og indførsel til Finland, der er forbundet med sådant salg. I henhold til definitionen i § 3, stk. 1, nr. 14, ville begrebet fjernsalg have betydet "</w:t>
      </w:r>
      <w:r>
        <w:rPr>
          <w:rFonts w:ascii="Times New Roman" w:hAnsi="Times New Roman"/>
          <w:i/>
          <w:sz w:val="24"/>
        </w:rPr>
        <w:t>fjernsalg til forbrugere, hvor forbrugeren, der bestiller substansen eller produktet hos en detailforretning, har hjemsted i en EU-medlemsstat eller et tredjeland, der er et andet end det land, hvor detailforretningen er placeret".</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lastRenderedPageBreak/>
        <w:t>Den 15. marts 2017 har Kommissionen afgivet en udførlig udtalelse til meddelelsen. Kommissionen skønnede, at forbuddet om grænseoverskridende fjernsalg af alkoholholdige drikkevarer, som det var defineret på daværende tidspunkt, ville udgøre en forbudt kvantitativ restriktion for varernes frie bevægelighed i henhold til artikel 34 i TEUF.</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I den henseende henviste Kommissionen til det forhold, at det statslige alkoholmonopol i overensstemmelse med § 26, stk. 1, i udkastet til lov, når det praktiserede sin eneret til detailsalg af alkoholholdige drikkevarer, også kunne levere alkoholholdige drikkevarer, som blev købt hos det, til købere i det statslige alkoholmonopols leveringslokaler, der ikke befandt sig på dets egne detailsalgssteder. Ifølge Kommissionen var bestemmelsen i § 26, stk. 1, vedrørende det statslige monopols leveringslokaler ikke omfattet af området for det statslige alkoholmonopols eneret, men dog, set bort fra dets detailmonopolstatus, forbundet med det, og derfor bør spørgsmålet tages i betragtning i henhold til artikel 34 i TEUF.</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Kommissionen meddelte, at et forbud om grænseoverskridende salg af alkoholholdige drikkevarer kun ville påvirke onlinesalget af alkoholholdige drikkevarer og deres transport til Finland fra andre medlemsstater. På den anden side ville det statslige alkoholmonopol have ret til at sælge alkoholholdige drikkevarer online i Finland og levere dets egne drikkevarer til leveringslokaler uden for det statslige alkoholmonopols godkendte detailsalgssteder. Dette ville forårsage en ulige juridisk behandling af indførte alkoholholdige drikkevarer, og af disse grunde var det Kommissionens opfattelse, at det planlagte forbud ville udgøre en kvantitativ restriktion for varernes frie bevægelighed i henhold til artikel 34 i TEUF.</w:t>
      </w:r>
    </w:p>
    <w:p w:rsidR="006E04C3" w:rsidRPr="00C51AA4" w:rsidRDefault="006E04C3" w:rsidP="00C51AA4">
      <w:pPr>
        <w:jc w:val="both"/>
        <w:rPr>
          <w:rFonts w:ascii="Times New Roman" w:hAnsi="Times New Roman" w:cs="Times New Roman"/>
          <w:sz w:val="24"/>
          <w:szCs w:val="24"/>
        </w:rPr>
      </w:pPr>
      <w:r>
        <w:rPr>
          <w:rFonts w:ascii="Times New Roman" w:hAnsi="Times New Roman"/>
          <w:sz w:val="24"/>
        </w:rPr>
        <w:t>Kommissionen skønnede endvidere, at forbuddet ikke kunne betragtes som en salgsordning, der ikke hjemler forskelsbehandling, og tog i betragtning, at det pågældende forbud kunne være begrundet ud fra sundhed og offentlig orden som anerkendt i artikel 36 i TEUF.</w:t>
      </w:r>
    </w:p>
    <w:p w:rsidR="00282988" w:rsidRPr="00C51AA4" w:rsidRDefault="006E04C3" w:rsidP="00C51AA4">
      <w:pPr>
        <w:jc w:val="both"/>
        <w:rPr>
          <w:rFonts w:ascii="Times New Roman" w:hAnsi="Times New Roman" w:cs="Times New Roman"/>
          <w:sz w:val="24"/>
          <w:szCs w:val="24"/>
        </w:rPr>
      </w:pPr>
      <w:r>
        <w:rPr>
          <w:rFonts w:ascii="Times New Roman" w:hAnsi="Times New Roman"/>
          <w:sz w:val="24"/>
        </w:rPr>
        <w:t>Derefter fremsendte social- og sundhedsministeriet Kommissionen den 24. april 2017 dommen fra appeldomstolen i Helsingfors i Visnapuu-sagen, i hvilken forbuddet om fjernsalg i henhold til den gældende lov om alkohol blev betragtet som værende i overensstemmelse med EU-lovgivningen med undtagelse af det forhold, at loven krævede faste "lokaler" til detailsalg af alkoholholdige drikkevarer, der er produceret ved fermentering, og som ikke indeholder mere end 4,7 procent alkohol udtrykt i volumen. På et møde den 27. april 2017 fremlagde repræsentanter for ministeriet derudover spørgsmål over for Kommissionen, der var opstået i løbet af forberedelsen.</w:t>
      </w:r>
    </w:p>
    <w:p w:rsidR="006E04C3" w:rsidRPr="00C51AA4" w:rsidRDefault="00282988" w:rsidP="00C51AA4">
      <w:pPr>
        <w:jc w:val="both"/>
        <w:rPr>
          <w:rFonts w:ascii="Times New Roman" w:hAnsi="Times New Roman" w:cs="Times New Roman"/>
          <w:sz w:val="24"/>
          <w:szCs w:val="24"/>
        </w:rPr>
      </w:pPr>
      <w:r>
        <w:rPr>
          <w:rFonts w:ascii="Times New Roman" w:hAnsi="Times New Roman"/>
          <w:sz w:val="24"/>
        </w:rPr>
        <w:t>Senere i juni 2017 fremsendte social- og sundhedsministeriet et svar fra Finland på Kommissionens udførlige udtalelse. I den henseende meddelte Finland i sit svar, at forbuddet om grænseoverskridende fjernsalg af alkoholholdige drikkevarer ville forblive i finsk lovgivning i dets hidtidige form eller i den foreslåede form i udkastet til lov som underrettet til Kommissionen.</w:t>
      </w:r>
    </w:p>
    <w:p w:rsidR="003466CD" w:rsidRPr="00C51AA4" w:rsidRDefault="003466CD" w:rsidP="00C51AA4">
      <w:pPr>
        <w:jc w:val="both"/>
        <w:rPr>
          <w:rFonts w:ascii="Times New Roman" w:hAnsi="Times New Roman" w:cs="Times New Roman"/>
          <w:i/>
          <w:sz w:val="24"/>
          <w:szCs w:val="24"/>
        </w:rPr>
      </w:pPr>
    </w:p>
    <w:p w:rsidR="006D1604" w:rsidRPr="00C51AA4" w:rsidRDefault="006D1604" w:rsidP="00C51AA4">
      <w:pPr>
        <w:keepNext/>
        <w:jc w:val="both"/>
        <w:rPr>
          <w:rFonts w:ascii="Times New Roman" w:hAnsi="Times New Roman" w:cs="Times New Roman"/>
          <w:i/>
          <w:sz w:val="24"/>
          <w:szCs w:val="24"/>
        </w:rPr>
      </w:pPr>
      <w:r>
        <w:rPr>
          <w:rFonts w:ascii="Times New Roman" w:hAnsi="Times New Roman"/>
          <w:i/>
          <w:sz w:val="24"/>
        </w:rPr>
        <w:t>1.4 Regulering af grænseoverskridende fjernsalg i henhold til den nye lov om alkohol</w:t>
      </w:r>
    </w:p>
    <w:p w:rsidR="006E04C3" w:rsidRPr="00C51AA4" w:rsidRDefault="006D1604" w:rsidP="00C51AA4">
      <w:pPr>
        <w:jc w:val="both"/>
        <w:rPr>
          <w:rFonts w:ascii="Times New Roman" w:hAnsi="Times New Roman" w:cs="Times New Roman"/>
          <w:sz w:val="24"/>
          <w:szCs w:val="24"/>
        </w:rPr>
      </w:pPr>
      <w:r>
        <w:rPr>
          <w:rFonts w:ascii="Times New Roman" w:hAnsi="Times New Roman"/>
          <w:sz w:val="24"/>
        </w:rPr>
        <w:t>Regeringen fremlagde regeringslovforslaget til den nye lov om alkohol HE 100/2017 vp for parlamentet den 14. september 2017. Definitionen af grænseoverskridende fjernsalg (§ 3, stk. 1, nr. 14, i udkastet til lov) og forbuddet om dette fjernsalg (§ 30 i udkastet til lov) blev fjernet fra lovforslaget, men de følgende lovbestemmelser, der tidligere er taget i betragtning, vedrørende fjernsalg blev medtaget i lovforslaget og efterfølgende i den nye lov om alkohol vedtaget den 28. december 2017:</w:t>
      </w:r>
    </w:p>
    <w:p w:rsidR="006E04C3" w:rsidRPr="00C51AA4" w:rsidRDefault="006E04C3" w:rsidP="00C51AA4">
      <w:pPr>
        <w:pStyle w:val="ListParagraph"/>
        <w:numPr>
          <w:ilvl w:val="0"/>
          <w:numId w:val="23"/>
        </w:numPr>
        <w:jc w:val="both"/>
        <w:rPr>
          <w:rFonts w:eastAsiaTheme="minorHAnsi"/>
        </w:rPr>
      </w:pPr>
      <w:r>
        <w:lastRenderedPageBreak/>
        <w:t>Bestemmelsen vedrørende indførsel af alkoholholdige drikkevarer i § 8 i den gamle lov om alkohol blev overført til § 32 i den nye lov om alkohol.</w:t>
      </w:r>
    </w:p>
    <w:p w:rsidR="006E04C3" w:rsidRPr="00C51AA4" w:rsidRDefault="006E04C3" w:rsidP="00C51AA4">
      <w:pPr>
        <w:pStyle w:val="ListParagraph"/>
        <w:ind w:left="1080"/>
        <w:jc w:val="both"/>
        <w:rPr>
          <w:rFonts w:eastAsiaTheme="minorHAnsi"/>
        </w:rPr>
      </w:pPr>
    </w:p>
    <w:p w:rsidR="006E04C3" w:rsidRPr="00C51AA4" w:rsidRDefault="006E04C3" w:rsidP="00C51AA4">
      <w:pPr>
        <w:pStyle w:val="ListParagraph"/>
        <w:numPr>
          <w:ilvl w:val="0"/>
          <w:numId w:val="23"/>
        </w:numPr>
        <w:jc w:val="both"/>
        <w:rPr>
          <w:rFonts w:eastAsiaTheme="minorHAnsi"/>
        </w:rPr>
      </w:pPr>
      <w:r>
        <w:t>Bestemmelsen vedrørende det statslige alkoholmonopols detailmonopol i § 13 i den gamle lov om alkohol blev overført til dens eget kapitel i den nye lov om alkohol, "Kapitel 3 Det statslige alkoholmonopol", (mere præcist til §§ 23, 26 og 27 i loven).</w:t>
      </w:r>
    </w:p>
    <w:p w:rsidR="00282988" w:rsidRPr="00C51AA4" w:rsidRDefault="00282988" w:rsidP="00C51AA4">
      <w:pPr>
        <w:pStyle w:val="ListParagraph"/>
        <w:jc w:val="both"/>
        <w:rPr>
          <w:rFonts w:eastAsiaTheme="minorHAnsi"/>
        </w:rPr>
      </w:pPr>
    </w:p>
    <w:p w:rsidR="00282988" w:rsidRPr="00C51AA4" w:rsidRDefault="006E04C3" w:rsidP="00C51AA4">
      <w:pPr>
        <w:pStyle w:val="ListParagraph"/>
        <w:numPr>
          <w:ilvl w:val="0"/>
          <w:numId w:val="23"/>
        </w:numPr>
        <w:jc w:val="both"/>
      </w:pPr>
      <w:r>
        <w:t>Bestemmelsen vedrørende en detailhandelstilladelse til alkoholholdige drikkevarer i § 14 i den gamle lov om alkohol blev overført til §§ 17 og 35 i den nye lov om alkohol. Undtagelser fra det statslige alkoholmonopols lovbestemte monopol er for det først et salg af alkoholholdige drikkevarer med højest 5,5 procent alkohol udtrykt i volumen i godkendte handelsetablissementer og for det andet et begrænset salg af tilaviini og håndbrygget øl udelukkende på deres produktionssteder.</w:t>
      </w:r>
    </w:p>
    <w:p w:rsidR="00282988" w:rsidRPr="00C51AA4" w:rsidRDefault="00282988" w:rsidP="00C51AA4">
      <w:pPr>
        <w:pStyle w:val="ListParagraph"/>
        <w:jc w:val="both"/>
      </w:pPr>
    </w:p>
    <w:p w:rsidR="006E04C3" w:rsidRPr="00C51AA4" w:rsidRDefault="006E04C3" w:rsidP="00C51AA4">
      <w:pPr>
        <w:pStyle w:val="ListParagraph"/>
        <w:ind w:left="0"/>
        <w:jc w:val="both"/>
      </w:pPr>
      <w:r>
        <w:t>Under afstemning om vedtagelsen af loven om alkohol den 19. december 2017 gjorde parlamentet opmærksom på den manglende klarhed i bestemmelserne vedrørende fjernsalg af alkoholholdige drikkevarer og bestemte, at regeringen skulle præcisere reguleringen af fjernsalg.</w:t>
      </w:r>
    </w:p>
    <w:p w:rsidR="00D152C9" w:rsidRPr="00C51AA4" w:rsidRDefault="00D152C9" w:rsidP="00C51AA4">
      <w:pPr>
        <w:pStyle w:val="ListParagraph"/>
        <w:ind w:left="0"/>
        <w:jc w:val="both"/>
      </w:pPr>
    </w:p>
    <w:p w:rsidR="006D1604" w:rsidRPr="00C51AA4" w:rsidRDefault="006E04C3" w:rsidP="00C51AA4">
      <w:pPr>
        <w:pStyle w:val="ListParagraph"/>
        <w:ind w:left="0"/>
        <w:jc w:val="both"/>
      </w:pPr>
      <w:r>
        <w:t>På grund af dette nedsatte social- og sundhedsministeriet den 20. december 2017 en arbejdsgruppe til at undersøge begrænsningen for grænseoverskridende fjernsalg af alkoholholdige drikkevarer, og arbejdsgruppen skulle færdiggøre sit forslag inden den 31. marts 2018.</w:t>
      </w:r>
    </w:p>
    <w:p w:rsidR="006D1604" w:rsidRPr="00C51AA4" w:rsidRDefault="006D1604" w:rsidP="00C51AA4">
      <w:pPr>
        <w:pStyle w:val="ListParagraph"/>
        <w:ind w:left="0"/>
        <w:jc w:val="both"/>
      </w:pPr>
    </w:p>
    <w:p w:rsidR="006D1604" w:rsidRPr="00C51AA4" w:rsidRDefault="006D1604" w:rsidP="00C51AA4">
      <w:pPr>
        <w:pStyle w:val="ListParagraph"/>
        <w:ind w:left="0"/>
        <w:jc w:val="both"/>
      </w:pPr>
      <w:r>
        <w:t>Ifølge forslaget fra arbejdsgruppen skal nuværende bestemmelser præciseres ved at definere grænseoverskridende fjernsalg af alkoholholdige drikkevarer samt forbyde grænseoverskridende fjernsalg og indførsel, der er forbundet med dette, mere tydeligt, men tillade fjernkøb af alkoholholdige drikkevarer som defineret i loven om punktafgifter. Under henvisning til dommen fra appeldomstolen i Helsingfors nævnt ovenfor foreslog arbejdsgruppen også, at der skulle fastlægges en bestemmelse med hensyn til at give operatører etableret uden for Finland en mulighed for at praktisere fjernsalg af alkoholholdige drikkevarer med højest 5,5 procent alkohol udtrykt i volumen til Finland uden en forpligtelse til at etablere faste lokaler i Finland. Det skulle imidlertid kræves, at alkoholholdige drikkevarer, der sælges via fjernsalg, kun leveres til købere i godkendte detailsalgsetablissementer.</w:t>
      </w:r>
    </w:p>
    <w:p w:rsidR="006E04C3" w:rsidRPr="00C51AA4" w:rsidRDefault="006E04C3" w:rsidP="00C51AA4">
      <w:pPr>
        <w:jc w:val="both"/>
        <w:rPr>
          <w:rFonts w:ascii="Times New Roman" w:hAnsi="Times New Roman" w:cs="Times New Roman"/>
          <w:sz w:val="24"/>
          <w:szCs w:val="24"/>
        </w:rPr>
      </w:pPr>
    </w:p>
    <w:p w:rsidR="006E04C3" w:rsidRPr="00C51AA4" w:rsidRDefault="006D1604" w:rsidP="00C51AA4">
      <w:pPr>
        <w:keepNext/>
        <w:spacing w:after="0" w:line="240" w:lineRule="auto"/>
        <w:jc w:val="both"/>
        <w:rPr>
          <w:rFonts w:ascii="Times New Roman" w:hAnsi="Times New Roman" w:cs="Times New Roman"/>
          <w:i/>
          <w:sz w:val="24"/>
          <w:szCs w:val="24"/>
        </w:rPr>
      </w:pPr>
      <w:r>
        <w:rPr>
          <w:rFonts w:ascii="Times New Roman" w:hAnsi="Times New Roman"/>
          <w:i/>
          <w:sz w:val="24"/>
        </w:rPr>
        <w:t>1.5 Dom fra Finlands højesteret i Visnapuu-sagen (KKO:2018:49)</w:t>
      </w:r>
    </w:p>
    <w:p w:rsidR="003466CD" w:rsidRPr="00C51AA4" w:rsidRDefault="003466CD" w:rsidP="00C51AA4">
      <w:pPr>
        <w:spacing w:after="0" w:line="240" w:lineRule="auto"/>
        <w:jc w:val="both"/>
        <w:rPr>
          <w:rFonts w:ascii="Times New Roman" w:hAnsi="Times New Roman" w:cs="Times New Roman"/>
          <w:i/>
          <w:sz w:val="24"/>
          <w:szCs w:val="24"/>
        </w:rPr>
      </w:pPr>
    </w:p>
    <w:p w:rsidR="00B627A6" w:rsidRPr="00C51AA4" w:rsidRDefault="00FA5927" w:rsidP="00C51AA4">
      <w:pPr>
        <w:jc w:val="both"/>
        <w:rPr>
          <w:rFonts w:ascii="Times New Roman" w:hAnsi="Times New Roman" w:cs="Times New Roman"/>
          <w:sz w:val="24"/>
          <w:szCs w:val="24"/>
        </w:rPr>
      </w:pPr>
      <w:r>
        <w:rPr>
          <w:rFonts w:ascii="Times New Roman" w:hAnsi="Times New Roman"/>
          <w:sz w:val="24"/>
        </w:rPr>
        <w:t>Den 28. juni 2018 traf Finlands højesteret en afgørelse i den ovennævnte Visnapuu-sag og offentliggjorde sin dom KKO:2018:49 som en principiel dom. I sin dom opdelte højesteretten bestemmelserne i den gamle finske lov om alkohol i to dele i følgende henseende:</w:t>
      </w:r>
    </w:p>
    <w:p w:rsidR="00B627A6" w:rsidRPr="00C51AA4" w:rsidRDefault="00B627A6" w:rsidP="00C51AA4">
      <w:pPr>
        <w:pStyle w:val="ListParagraph"/>
        <w:jc w:val="both"/>
        <w:rPr>
          <w:rFonts w:eastAsiaTheme="minorHAnsi"/>
        </w:rPr>
      </w:pPr>
      <w:r>
        <w:t>- For så vidt angik alkoholholdige drikkevarer omfattet af eneretten for det kommercielle statslige monopol, det statslige alkoholmonopol, lod Den Europæiske Unions Domstol det være op til en finsk domstol at vurdere, om det statslige alkoholmonopols aktivitet skulle anses for ikke at hjemle forskelsbehandling som omtalt i artikel 37 i TEUF (§ 96). Højesteretten indtog det standpunkt, at det statslige alkoholmonopols monopol i henhold til § 13 i loven om alkohol opfylder disse krav.</w:t>
      </w:r>
    </w:p>
    <w:p w:rsidR="00B627A6" w:rsidRPr="00C51AA4" w:rsidRDefault="00B627A6" w:rsidP="00C51AA4">
      <w:pPr>
        <w:pStyle w:val="ListParagraph"/>
        <w:jc w:val="both"/>
        <w:rPr>
          <w:rFonts w:eastAsiaTheme="minorHAnsi"/>
        </w:rPr>
      </w:pPr>
    </w:p>
    <w:p w:rsidR="007A4B07" w:rsidRPr="00C51AA4" w:rsidRDefault="00B627A6" w:rsidP="00C51AA4">
      <w:pPr>
        <w:pStyle w:val="ListParagraph"/>
        <w:jc w:val="both"/>
        <w:rPr>
          <w:rFonts w:eastAsiaTheme="minorHAnsi"/>
        </w:rPr>
      </w:pPr>
      <w:r>
        <w:t xml:space="preserve">- Den Europæiske Unions Domstol lod det også være op til en finsk domstol at vurdere, hvordan systemet for detailhandelstilladelser til alkoholholdige drikkevarer i henhold til (den gamle) lov om alkohol er passende med henblik på beskyttelse af den offentlige sundhed (§ 119), og om salgssystemet for tilaviini i henhold til (den gamle) lov om alkohol er et middel til vilkårlig forskelsbehandling eller en skjult begrænsning af samhandelen </w:t>
      </w:r>
      <w:r>
        <w:lastRenderedPageBreak/>
        <w:t>mellem medlemsstater (§ 128). Højesteretten konkluderede, at detailhandelstilladelsessystemet (alkoholholdige drikkevarer, der er produceret ved fermentering, og som ikke indeholder mere end 4,7 procent alkohol udtryk i volumen) i henhold til § 14, stk. 1, i loven om alkohol og detailhandelstilladelsessystemet (såkaldt tilaviini) i henhold til § 14, stk. 2, i loven om alkohol samt det påbudte krav deri om praktisering af salg udelukkende i lokaler godkendt af en myndighed ikke var i modstrid med artikel 34 og 36 i TEUF.</w:t>
      </w:r>
    </w:p>
    <w:p w:rsidR="00FE765E" w:rsidRPr="00C51AA4" w:rsidRDefault="00FE765E" w:rsidP="00C51AA4">
      <w:pPr>
        <w:pStyle w:val="ListParagraph"/>
        <w:jc w:val="both"/>
        <w:rPr>
          <w:rFonts w:eastAsiaTheme="minorHAnsi"/>
        </w:rPr>
      </w:pPr>
    </w:p>
    <w:p w:rsidR="00FF6A81" w:rsidRPr="00C51AA4" w:rsidRDefault="008C71D4" w:rsidP="00C51AA4">
      <w:pPr>
        <w:jc w:val="both"/>
        <w:rPr>
          <w:rFonts w:ascii="Times New Roman" w:hAnsi="Times New Roman" w:cs="Times New Roman"/>
          <w:sz w:val="24"/>
          <w:szCs w:val="24"/>
        </w:rPr>
      </w:pPr>
      <w:r>
        <w:rPr>
          <w:rFonts w:ascii="Times New Roman" w:hAnsi="Times New Roman"/>
          <w:sz w:val="24"/>
        </w:rPr>
        <w:t>Den erhvervsdrivende etableret i Estland, der solgte alkoholholdige drikkevarer via internettet til personer bosiddende i Finland og organiserede transporten af drikkevarerne til deres hjem, blev derfor idømt betinget fængselsstraf for overtrædelse af loven om alkohol.</w:t>
      </w:r>
    </w:p>
    <w:p w:rsidR="00B627A6" w:rsidRPr="00C51AA4" w:rsidRDefault="00B627A6" w:rsidP="00C51AA4">
      <w:pPr>
        <w:jc w:val="both"/>
        <w:rPr>
          <w:rFonts w:ascii="Times New Roman" w:hAnsi="Times New Roman" w:cs="Times New Roman"/>
          <w:sz w:val="24"/>
          <w:szCs w:val="24"/>
        </w:rPr>
      </w:pPr>
      <w:r>
        <w:rPr>
          <w:rFonts w:ascii="Times New Roman" w:hAnsi="Times New Roman"/>
          <w:sz w:val="24"/>
        </w:rPr>
        <w:t>Både Den Europæiske Unions Domstol og højesteretten indtog det standpunkt i deres afgørelser, at forbuddet om grænseoverskridende fjernsalg af alkoholholdige drikkevarer, der er påbudt i den gamle lov om alkohol, er i overensstemmelse med EU-lovgivningen set i lyset af alle fremlagte aspekter i sagen.</w:t>
      </w:r>
    </w:p>
    <w:p w:rsidR="007A2489" w:rsidRPr="00C51AA4" w:rsidRDefault="007A2489" w:rsidP="00C51AA4">
      <w:pPr>
        <w:jc w:val="both"/>
        <w:rPr>
          <w:rFonts w:ascii="Times New Roman" w:hAnsi="Times New Roman" w:cs="Times New Roman"/>
          <w:sz w:val="24"/>
          <w:szCs w:val="24"/>
        </w:rPr>
      </w:pPr>
      <w:r>
        <w:rPr>
          <w:rFonts w:ascii="Times New Roman" w:hAnsi="Times New Roman"/>
          <w:sz w:val="24"/>
        </w:rPr>
        <w:t>I sin dom tog højesteretten også overensstemmelse mellem den nye lov om alkohol og EU-lovgivningen i betragtning i medfør af retsprincippet, der er anført i sag C</w:t>
      </w:r>
      <w:r>
        <w:noBreakHyphen/>
      </w:r>
      <w:r>
        <w:rPr>
          <w:rFonts w:ascii="Times New Roman" w:hAnsi="Times New Roman"/>
          <w:sz w:val="24"/>
        </w:rPr>
        <w:t>333/14 ved Den Europæiske Unions Domstol (Scotch Whisky Association, §§ 62-65). I den henseende bekræftede højesteretten, at den nye lov om alkohol også var i overensstemmelse med EU-lovgivningen med hensyn til følgende aspekter:</w:t>
      </w:r>
    </w:p>
    <w:p w:rsidR="00D04209" w:rsidRPr="00C51AA4" w:rsidRDefault="00D04209" w:rsidP="00C51AA4">
      <w:pPr>
        <w:jc w:val="both"/>
        <w:rPr>
          <w:rFonts w:ascii="Times New Roman" w:hAnsi="Times New Roman" w:cs="Times New Roman"/>
        </w:rPr>
      </w:pPr>
      <w:r>
        <w:rPr>
          <w:rFonts w:ascii="Times New Roman" w:hAnsi="Times New Roman"/>
          <w:sz w:val="24"/>
        </w:rPr>
        <w:t>- Alle leveringsmetoder for alkoholholdige drikkevarer, der udelukkende er tilgængelige for det statslige alkoholmonopol (Alko Oy), skal vurderes i henhold til artikel 37 i TEUF i stedet for artikel 34 og 36 i TEUF (§§ 31-32 dommen).</w:t>
      </w:r>
    </w:p>
    <w:p w:rsidR="006D1604" w:rsidRPr="00C51AA4" w:rsidRDefault="00D04209" w:rsidP="00C51AA4">
      <w:pPr>
        <w:jc w:val="both"/>
        <w:rPr>
          <w:rFonts w:ascii="Times New Roman" w:hAnsi="Times New Roman" w:cs="Times New Roman"/>
          <w:sz w:val="24"/>
          <w:szCs w:val="24"/>
        </w:rPr>
      </w:pPr>
      <w:r>
        <w:rPr>
          <w:rFonts w:ascii="Times New Roman" w:hAnsi="Times New Roman"/>
          <w:sz w:val="24"/>
        </w:rPr>
        <w:t>- De fastlagte ændringer i den nye lov om alkohol, der udvider tilgængeligheden af alkoholholdige drikkevarer, skal ikke betragtes som værende væsentlige ændringer i henhold til EU-lovgivningen (§§ 60 og 71).</w:t>
      </w:r>
    </w:p>
    <w:p w:rsidR="00A610CB" w:rsidRPr="00C51AA4" w:rsidRDefault="00A610CB" w:rsidP="00C51AA4">
      <w:pPr>
        <w:jc w:val="both"/>
        <w:rPr>
          <w:rFonts w:ascii="Times New Roman" w:hAnsi="Times New Roman" w:cs="Times New Roman"/>
          <w:b/>
          <w:sz w:val="24"/>
          <w:szCs w:val="24"/>
        </w:rPr>
      </w:pPr>
    </w:p>
    <w:p w:rsidR="00A5142E" w:rsidRPr="00C51AA4" w:rsidRDefault="00A5142E" w:rsidP="00C51AA4">
      <w:pPr>
        <w:jc w:val="both"/>
        <w:rPr>
          <w:rFonts w:ascii="Times New Roman" w:hAnsi="Times New Roman" w:cs="Times New Roman"/>
          <w:b/>
          <w:sz w:val="24"/>
          <w:szCs w:val="24"/>
        </w:rPr>
      </w:pPr>
      <w:r>
        <w:rPr>
          <w:rFonts w:ascii="Times New Roman" w:hAnsi="Times New Roman"/>
          <w:b/>
          <w:sz w:val="24"/>
        </w:rPr>
        <w:t>2. Forslagets formål</w:t>
      </w:r>
    </w:p>
    <w:p w:rsidR="005F364E" w:rsidRPr="00C51AA4" w:rsidRDefault="005F364E" w:rsidP="00C51AA4">
      <w:pPr>
        <w:jc w:val="both"/>
        <w:rPr>
          <w:rFonts w:ascii="Times New Roman" w:hAnsi="Times New Roman" w:cs="Times New Roman"/>
          <w:sz w:val="24"/>
          <w:szCs w:val="24"/>
        </w:rPr>
      </w:pPr>
      <w:r>
        <w:rPr>
          <w:rFonts w:ascii="Times New Roman" w:hAnsi="Times New Roman"/>
          <w:sz w:val="24"/>
        </w:rPr>
        <w:t>Parlamentet bestemte, at regeringen skulle præcisere de uklare bestemmelser vedrørende fjernsalg.</w:t>
      </w:r>
    </w:p>
    <w:p w:rsidR="00A5142E" w:rsidRPr="00C51AA4" w:rsidRDefault="005F364E" w:rsidP="00C51AA4">
      <w:pPr>
        <w:jc w:val="both"/>
        <w:rPr>
          <w:rFonts w:ascii="Times New Roman" w:hAnsi="Times New Roman" w:cs="Times New Roman"/>
          <w:sz w:val="24"/>
          <w:szCs w:val="24"/>
        </w:rPr>
      </w:pPr>
      <w:r>
        <w:rPr>
          <w:rFonts w:ascii="Times New Roman" w:hAnsi="Times New Roman"/>
          <w:sz w:val="24"/>
        </w:rPr>
        <w:t>Forslaget skal tage højde for dommen fra højesteretten i Visnapuu-sagen, kravene i EU-lovgivningen og især det forhold, at løsningerne vedrørende fjernsalg ikke må bringe bevarelsen af den nuværende eneret til detailsalg af alkoholholdige drikkevarer eller det finske erhvervslivs ligestilling med hensyn til udenlandske konkurrenter i fare. Under udarbejdelsen skal der også tages højde for de påbudte krav med hensyn til en effektiv opkrævning af punktafgifter.</w:t>
      </w:r>
    </w:p>
    <w:p w:rsidR="00615909" w:rsidRPr="00C51AA4" w:rsidRDefault="00A610CB" w:rsidP="00C51AA4">
      <w:pPr>
        <w:jc w:val="both"/>
        <w:rPr>
          <w:rFonts w:ascii="Times New Roman" w:hAnsi="Times New Roman" w:cs="Times New Roman"/>
          <w:sz w:val="24"/>
          <w:szCs w:val="24"/>
        </w:rPr>
      </w:pPr>
      <w:r>
        <w:rPr>
          <w:rFonts w:ascii="Times New Roman" w:hAnsi="Times New Roman"/>
          <w:sz w:val="24"/>
        </w:rPr>
        <w:t>Dommen fra højesteretten bekræftede, at forbuddet om grænseoverskridende fjernsalg af alle alkoholholdige drikkevarer er i overensstemmelse med EU-lovgivningen. Dommen er retskraftig.</w:t>
      </w:r>
    </w:p>
    <w:p w:rsidR="00A5142E" w:rsidRPr="00C51AA4" w:rsidRDefault="00A610CB" w:rsidP="00C51AA4">
      <w:pPr>
        <w:jc w:val="both"/>
        <w:rPr>
          <w:rFonts w:ascii="Times New Roman" w:hAnsi="Times New Roman" w:cs="Times New Roman"/>
          <w:sz w:val="24"/>
          <w:szCs w:val="24"/>
        </w:rPr>
      </w:pPr>
      <w:r>
        <w:rPr>
          <w:rFonts w:ascii="Times New Roman" w:hAnsi="Times New Roman"/>
          <w:sz w:val="24"/>
        </w:rPr>
        <w:t>I den henseende tager dommen især kravet i betragtning om, at salget af alkoholholdige drikkevarer kun er tilladt i Finland i lokaler godkendt af en myndighed. Højesteretten anfører, at hvis detailhandleren (dvs. fjernsælgeren) kan transportere alkoholholdige drikkevarer direkte til forbrugernes hjem eller et andet sted, som de vælger, så vil det ikke være muligt at gennemføre effektiv håndhævelse.</w:t>
      </w:r>
    </w:p>
    <w:p w:rsidR="00A610CB" w:rsidRPr="00C51AA4" w:rsidRDefault="00A610CB" w:rsidP="00C51AA4">
      <w:pPr>
        <w:jc w:val="both"/>
        <w:rPr>
          <w:rFonts w:ascii="Times New Roman" w:hAnsi="Times New Roman" w:cs="Times New Roman"/>
          <w:b/>
          <w:sz w:val="24"/>
          <w:szCs w:val="24"/>
        </w:rPr>
      </w:pPr>
    </w:p>
    <w:p w:rsidR="005F364E" w:rsidRPr="00C51AA4" w:rsidRDefault="0010412A" w:rsidP="00C51AA4">
      <w:pPr>
        <w:keepNext/>
        <w:jc w:val="both"/>
        <w:rPr>
          <w:rFonts w:ascii="Times New Roman" w:hAnsi="Times New Roman" w:cs="Times New Roman"/>
          <w:b/>
          <w:sz w:val="24"/>
          <w:szCs w:val="24"/>
        </w:rPr>
      </w:pPr>
      <w:r>
        <w:rPr>
          <w:rFonts w:ascii="Times New Roman" w:hAnsi="Times New Roman"/>
          <w:b/>
          <w:sz w:val="24"/>
        </w:rPr>
        <w:lastRenderedPageBreak/>
        <w:t>3. Løsningsmuligheder</w:t>
      </w:r>
    </w:p>
    <w:p w:rsidR="0010412A" w:rsidRPr="00C51AA4" w:rsidRDefault="0010412A" w:rsidP="00C51AA4">
      <w:pPr>
        <w:pStyle w:val="ListParagraph"/>
        <w:keepNext/>
        <w:ind w:left="360"/>
        <w:jc w:val="both"/>
        <w:rPr>
          <w:i/>
        </w:rPr>
      </w:pPr>
    </w:p>
    <w:p w:rsidR="005F364E" w:rsidRPr="00C51AA4" w:rsidRDefault="005F364E" w:rsidP="00C51AA4">
      <w:pPr>
        <w:pStyle w:val="ListParagraph"/>
        <w:keepNext/>
        <w:numPr>
          <w:ilvl w:val="1"/>
          <w:numId w:val="24"/>
        </w:numPr>
        <w:jc w:val="both"/>
        <w:rPr>
          <w:i/>
        </w:rPr>
      </w:pPr>
      <w:r>
        <w:rPr>
          <w:i/>
        </w:rPr>
        <w:t>Bevarelse af den nuværende situation</w:t>
      </w:r>
    </w:p>
    <w:p w:rsidR="00FE765E" w:rsidRPr="00C51AA4" w:rsidRDefault="00FE765E" w:rsidP="00C51AA4">
      <w:pPr>
        <w:pStyle w:val="ListParagraph"/>
        <w:keepNext/>
        <w:ind w:left="360"/>
        <w:jc w:val="both"/>
        <w:rPr>
          <w:b/>
        </w:rPr>
      </w:pPr>
    </w:p>
    <w:p w:rsidR="00D943A6" w:rsidRPr="00C51AA4" w:rsidRDefault="0043303C" w:rsidP="00C51AA4">
      <w:pPr>
        <w:pStyle w:val="ListParagraph"/>
        <w:ind w:left="0"/>
        <w:jc w:val="both"/>
      </w:pPr>
      <w:r>
        <w:t>De gældende bestemmelser i loven om alkohol svarer til bestemmelserne i den gamle lov om alkohol, i henhold til hvilke højesteretten idømte fængselsstraf til en sælger af alkoholholdige drikkevarer fra en anden medlemsstat, der havde organiseret transport af alkoholholdige drikkevarer hjem til kunder i Finland, som havde købt dem. Dommen var udtrykkeligt baseret på den præjudicielle afgørelse ved Den Europæiske Unions Domstol.</w:t>
      </w:r>
    </w:p>
    <w:p w:rsidR="006D1604" w:rsidRPr="00C51AA4" w:rsidRDefault="006D1604" w:rsidP="00C51AA4">
      <w:pPr>
        <w:pStyle w:val="ListParagraph"/>
        <w:ind w:left="0"/>
        <w:jc w:val="both"/>
      </w:pPr>
    </w:p>
    <w:p w:rsidR="00D943A6" w:rsidRPr="00C51AA4" w:rsidRDefault="0091510E" w:rsidP="00C51AA4">
      <w:pPr>
        <w:jc w:val="both"/>
        <w:rPr>
          <w:rFonts w:ascii="Times New Roman" w:hAnsi="Times New Roman" w:cs="Times New Roman"/>
          <w:sz w:val="24"/>
          <w:szCs w:val="24"/>
        </w:rPr>
      </w:pPr>
      <w:r>
        <w:rPr>
          <w:rFonts w:ascii="Times New Roman" w:hAnsi="Times New Roman"/>
          <w:sz w:val="24"/>
        </w:rPr>
        <w:t>Bevarelse af de gældende artikler ville betyde, at det grænseoverskridende fjernsalg af alkoholholdige drikkevarer ville forblive forbudt og en strafbar overtrædelse. Tilsvarende ville det forblive tilladt for en finsk forbruger at købe alkoholholdige drikkevarer i en anden medlemsstat og personligt at indføre dem til Finland, eftersom dette ikke er forbudt i henhold til loven om alkohol.</w:t>
      </w:r>
    </w:p>
    <w:p w:rsidR="0043303C" w:rsidRPr="00C51AA4" w:rsidRDefault="00D943A6" w:rsidP="00C51AA4">
      <w:pPr>
        <w:jc w:val="both"/>
        <w:rPr>
          <w:rFonts w:ascii="Times New Roman" w:hAnsi="Times New Roman" w:cs="Times New Roman"/>
          <w:sz w:val="24"/>
          <w:szCs w:val="24"/>
        </w:rPr>
      </w:pPr>
      <w:r>
        <w:rPr>
          <w:rFonts w:ascii="Times New Roman" w:hAnsi="Times New Roman"/>
          <w:sz w:val="24"/>
        </w:rPr>
        <w:t>På den anden side som parlamentet anførte, har bestemmelserne vist sig at være uigennemsigtige og genstand for fortolkning. Uanset den præjudicielle afgørelse ved højesteretten er forbuddet om grænseoverskridende fjernsalg ikke tydeligt angivet i bestemmelserne, selvom virksomheder og borgere på grundlag af lovbestemmelser bør være i stand til at kunne bedømme, om en bestemt aktivitet udgør en strafbar overtrædelse.</w:t>
      </w:r>
    </w:p>
    <w:p w:rsidR="005F364E" w:rsidRPr="00C51AA4" w:rsidRDefault="0091510E" w:rsidP="00C51AA4">
      <w:pPr>
        <w:jc w:val="both"/>
        <w:rPr>
          <w:rFonts w:ascii="Times New Roman" w:hAnsi="Times New Roman" w:cs="Times New Roman"/>
          <w:sz w:val="24"/>
          <w:szCs w:val="24"/>
        </w:rPr>
      </w:pPr>
      <w:r>
        <w:rPr>
          <w:rFonts w:ascii="Times New Roman" w:hAnsi="Times New Roman"/>
          <w:sz w:val="24"/>
        </w:rPr>
        <w:t>Problemet med den nuværende situation er især, at grænseoverskridende fjernsalg ikke har nogen definition. Dette fører til, at forbrugere ikke er i stand til klart at bedømme, hvilken slags aktivitet, der vil være tilladt fjernkøb. Selv i henhold til regeringslovforslaget har denne uklare situation endvidere ført til omstændigheder, hvor alle bestemmelser i loven om alkohol muligvis ikke er overholdt i forbindelse med direkte levering af alkoholholdige drikkevarer, og mange kunder har været i stand til at kunne bestille alkoholholdige drikkevarer afgiftsfrit via fjernsalg fra udlandet.</w:t>
      </w:r>
    </w:p>
    <w:p w:rsidR="0010412A" w:rsidRPr="00C51AA4" w:rsidRDefault="0010412A" w:rsidP="00C51AA4">
      <w:pPr>
        <w:pStyle w:val="ListParagraph"/>
        <w:ind w:left="360"/>
        <w:jc w:val="both"/>
        <w:rPr>
          <w:b/>
        </w:rPr>
      </w:pPr>
    </w:p>
    <w:p w:rsidR="005F364E" w:rsidRPr="00C51AA4" w:rsidRDefault="00992E1C" w:rsidP="00C51AA4">
      <w:pPr>
        <w:pStyle w:val="ListParagraph"/>
        <w:keepNext/>
        <w:numPr>
          <w:ilvl w:val="1"/>
          <w:numId w:val="24"/>
        </w:numPr>
        <w:jc w:val="both"/>
        <w:rPr>
          <w:i/>
        </w:rPr>
      </w:pPr>
      <w:r>
        <w:rPr>
          <w:i/>
        </w:rPr>
        <w:t>Lovgivningsmæssig præcisering med hensyn til den nuværende situation</w:t>
      </w:r>
    </w:p>
    <w:p w:rsidR="00992E1C" w:rsidRPr="00C51AA4" w:rsidRDefault="00992E1C" w:rsidP="00C51AA4">
      <w:pPr>
        <w:pStyle w:val="ListParagraph"/>
        <w:keepNext/>
        <w:ind w:left="0"/>
        <w:jc w:val="both"/>
        <w:rPr>
          <w:b/>
        </w:rPr>
      </w:pPr>
    </w:p>
    <w:p w:rsidR="00992E1C" w:rsidRPr="00C51AA4" w:rsidRDefault="00992E1C" w:rsidP="00C51AA4">
      <w:pPr>
        <w:pStyle w:val="ListParagraph"/>
        <w:ind w:left="0"/>
        <w:jc w:val="both"/>
      </w:pPr>
      <w:r>
        <w:t>Den tidligere nævnte arbejdsgruppe foreslog, at de nuværende bestemmelser skal præciseres ved at definere grænseoverskridende fjernsalg af alkoholholdige drikkevarer samt forbyde grænseoverskridende fjernsalg og indførsel, der er forbundet med dette, mere tydeligt, men tillade fjernkøb af alkoholholdige drikkevarer som defineret i loven om punktafgifter.</w:t>
      </w:r>
    </w:p>
    <w:p w:rsidR="00751AA4" w:rsidRPr="00C51AA4" w:rsidRDefault="00751AA4" w:rsidP="00C51AA4">
      <w:pPr>
        <w:pStyle w:val="ListParagraph"/>
        <w:ind w:left="0"/>
        <w:jc w:val="both"/>
      </w:pPr>
    </w:p>
    <w:p w:rsidR="00AC4D8E" w:rsidRPr="00C51AA4" w:rsidRDefault="0010412A" w:rsidP="00C51AA4">
      <w:pPr>
        <w:jc w:val="both"/>
        <w:rPr>
          <w:rFonts w:ascii="Times New Roman" w:hAnsi="Times New Roman" w:cs="Times New Roman"/>
          <w:sz w:val="24"/>
          <w:szCs w:val="24"/>
        </w:rPr>
      </w:pPr>
      <w:r>
        <w:rPr>
          <w:rFonts w:ascii="Times New Roman" w:hAnsi="Times New Roman"/>
          <w:sz w:val="24"/>
        </w:rPr>
        <w:t>Ifølge arbejdsgruppens forslag bør udgangspunktet for udarbejdelsen være udarbejdelse af bestemmelser vedrørende grænseoverskridende fjernsalg af alkoholholdige drikkevarer i overensstemmelse med definitionen af fjernsalg i forbindelse med EU-punktafgifter og med den præjudicielle afgørelse ved Den Europæiske Unions Domstol om fjernsalg i sag C-198/14 Visnapuu. Eftersom højesteretten ikke fandt nogen del af systemet for detailhandelstilladelser til alkoholholdige drikkevarer som værende i modstrid med EU-lovgivningen, bør det ikke være nødvendigt at foreslå nogen ændringer af systemet for detailhandelstilladelser til alkoholholdige drikkevarer eller af kravet om faste lokaler.</w:t>
      </w:r>
    </w:p>
    <w:p w:rsidR="00D06353" w:rsidRPr="008E647C" w:rsidRDefault="00B5536F" w:rsidP="00C51AA4">
      <w:pPr>
        <w:jc w:val="both"/>
        <w:rPr>
          <w:rFonts w:ascii="Times New Roman" w:hAnsi="Times New Roman" w:cs="Times New Roman"/>
          <w:sz w:val="24"/>
          <w:szCs w:val="24"/>
        </w:rPr>
      </w:pPr>
      <w:r>
        <w:rPr>
          <w:rFonts w:ascii="Times New Roman" w:hAnsi="Times New Roman"/>
          <w:sz w:val="24"/>
        </w:rPr>
        <w:t>Efter videre udarbejdelse er arbejdsgruppens forslag blevet færdiggjort, så det indeholder følgende præciseringer med hensyn til den nuværende situation:</w:t>
      </w:r>
    </w:p>
    <w:p w:rsidR="00095018" w:rsidRPr="00C51AA4" w:rsidRDefault="00095018" w:rsidP="00C51AA4">
      <w:pPr>
        <w:keepNext/>
        <w:jc w:val="both"/>
        <w:rPr>
          <w:rFonts w:ascii="Times New Roman" w:hAnsi="Times New Roman" w:cs="Times New Roman"/>
          <w:i/>
        </w:rPr>
      </w:pPr>
      <w:r>
        <w:rPr>
          <w:rFonts w:ascii="Times New Roman" w:hAnsi="Times New Roman"/>
          <w:i/>
        </w:rPr>
        <w:lastRenderedPageBreak/>
        <w:t>Definition af grænseoverskridende fjernsalg</w:t>
      </w:r>
    </w:p>
    <w:p w:rsidR="00BF59AF" w:rsidRPr="00C51AA4" w:rsidRDefault="00765E4F" w:rsidP="00C51AA4">
      <w:pPr>
        <w:jc w:val="both"/>
        <w:rPr>
          <w:rFonts w:ascii="Times New Roman" w:hAnsi="Times New Roman" w:cs="Times New Roman"/>
          <w:sz w:val="24"/>
          <w:szCs w:val="24"/>
        </w:rPr>
      </w:pPr>
      <w:r>
        <w:rPr>
          <w:rFonts w:ascii="Times New Roman" w:hAnsi="Times New Roman"/>
          <w:sz w:val="24"/>
        </w:rPr>
        <w:t>Den gældende lov om alkohol indeholder ikke en definition af grænseoverskridende fjernsalg. Ifølge definitionen i § 3 i forslaget med hensyn til grænseoverskridende fjernsalg har en modtager etableret i Finland købt alkoholholdige drikkevarer i enten en anden EU-medlemsstat eller et tredjeland til et andet formål end salg eller tilberedning af en alkoholholdig drikkevare, og fjernsælgeren eller en anden part, der handler på dennes vegne, sender eller transporterer disse alkoholholdige drikkevarer direkte eller indirekte til Finland.</w:t>
      </w:r>
    </w:p>
    <w:p w:rsidR="0050139B" w:rsidRPr="00C51AA4" w:rsidRDefault="00300ECD" w:rsidP="00C51AA4">
      <w:pPr>
        <w:jc w:val="both"/>
        <w:rPr>
          <w:rFonts w:ascii="Times New Roman" w:hAnsi="Times New Roman" w:cs="Times New Roman"/>
          <w:sz w:val="24"/>
          <w:szCs w:val="24"/>
        </w:rPr>
      </w:pPr>
      <w:r>
        <w:rPr>
          <w:rFonts w:ascii="Times New Roman" w:hAnsi="Times New Roman"/>
          <w:sz w:val="24"/>
        </w:rPr>
        <w:t>Den foreslåede definition svarer væsentligt til definitionen af fjernsalg i artikel 36 i Rådets direktiv 2008/118/EF om den generelle ordning for punktafgifter og om ophævelse af direktiv 92/12/EØF, i henhold til hvilket punktafgifterne på en alkoholholdig drikkevare pålægges i bestemmelsesmedlemsstaten i stedet for sælgerens etableringsstat. Baseret på samme princip vil grænseoverskridende fjernsalg af alkoholholdige drikkevarer overholde alkohollovgivningen i bestemmelsesmedlemsstaten, dvs. Finland, i stedet for lovgivningen i sælgerens etableringsstat. Fordele, der opstår ved konsistent fortolkning, vil blive opnået i forbindelse med håndhævelsen af loven om alkohol og i forbindelse med skattemæssigt tilsyn.</w:t>
      </w:r>
    </w:p>
    <w:p w:rsidR="00D55EFF" w:rsidRPr="008E647C" w:rsidRDefault="0050139B" w:rsidP="00C51AA4">
      <w:pPr>
        <w:jc w:val="both"/>
        <w:rPr>
          <w:rFonts w:ascii="Times New Roman" w:hAnsi="Times New Roman" w:cs="Times New Roman"/>
          <w:sz w:val="24"/>
          <w:szCs w:val="24"/>
        </w:rPr>
      </w:pPr>
      <w:r>
        <w:rPr>
          <w:rFonts w:ascii="Times New Roman" w:hAnsi="Times New Roman"/>
          <w:sz w:val="24"/>
        </w:rPr>
        <w:t>Kun det forhold, at køberne og sælgeren er i forskellige lande, vil ikke opfylde definitionen, men den afgørende faktor vil være, at varerne i forbindelse med fjernsalg transporteres eller sendes på sælgerens vegne, herunder tilfælde, hvor sælgeren indirekte deltager i transporten eller sendingen af varerne til Finland.</w:t>
      </w:r>
    </w:p>
    <w:p w:rsidR="00095018" w:rsidRPr="00C51AA4" w:rsidRDefault="00F879DE" w:rsidP="00C51AA4">
      <w:pPr>
        <w:keepNext/>
        <w:jc w:val="both"/>
        <w:rPr>
          <w:rFonts w:ascii="Times New Roman" w:hAnsi="Times New Roman" w:cs="Times New Roman"/>
          <w:i/>
        </w:rPr>
      </w:pPr>
      <w:r>
        <w:rPr>
          <w:rFonts w:ascii="Times New Roman" w:hAnsi="Times New Roman"/>
          <w:i/>
        </w:rPr>
        <w:t>Undtagelse fra kravet om tilladelse til salg af alkoholholdige drikkevarer</w:t>
      </w:r>
    </w:p>
    <w:p w:rsidR="007642CB" w:rsidRPr="008E647C" w:rsidRDefault="00786462" w:rsidP="00C51AA4">
      <w:pPr>
        <w:jc w:val="both"/>
        <w:rPr>
          <w:rFonts w:ascii="Times New Roman" w:hAnsi="Times New Roman" w:cs="Times New Roman"/>
          <w:sz w:val="24"/>
          <w:szCs w:val="24"/>
        </w:rPr>
      </w:pPr>
      <w:r>
        <w:rPr>
          <w:rFonts w:ascii="Times New Roman" w:hAnsi="Times New Roman"/>
          <w:sz w:val="24"/>
        </w:rPr>
        <w:t>I henhold til § 5 i den gældende lov om alkohol kræves der til alt salg af alkoholholdige drikkevarer en tilladelse, der udstedes af myndigheder. Undtagelserne fra dette krav om tilladelse er fastlagt i § 6. Det foreslås, at der tilføjes et punkt til undtagelserne:</w:t>
      </w:r>
    </w:p>
    <w:p w:rsidR="00786462" w:rsidRPr="00C51AA4" w:rsidRDefault="001152BD" w:rsidP="00C51AA4">
      <w:pPr>
        <w:jc w:val="both"/>
        <w:rPr>
          <w:rFonts w:ascii="Times New Roman" w:hAnsi="Times New Roman" w:cs="Times New Roman"/>
          <w:sz w:val="24"/>
          <w:szCs w:val="24"/>
        </w:rPr>
      </w:pPr>
      <w:r>
        <w:rPr>
          <w:rFonts w:ascii="Times New Roman" w:hAnsi="Times New Roman"/>
          <w:sz w:val="24"/>
        </w:rPr>
        <w:t>Producenter og sælgere etableret i andre medlemsstater sælger sædvanligvis deres produkter til finske detailhandlere, restauranter og det statslige alkoholmonopol. De kan også sælge deres produkter til finske producenter for eksempel med henblik på tilberedning af cocktails. Hvis sælgeren skulle deltage i transporten af varerne, ville det pågældende salg blive betragtet som at have fundet sted i Finland, men salget ville ikke være grænseoverskridende fjernsalg i henhold til definitionen i forslaget, eftersom det ville finde sted med henblik på salg eller tilberedning af en alkoholholdig drikkevare, der foretages i Finland. Salget af alkoholholdige drikkevarer fra udlandet til finske detailhandlere, grossister eller producenter er ikke blevet reguleret, og der er ingen grund til, at det underlægges et krav om tilladelse. For klarhedens skyld vil loven fastlægge, at der til sådanne engrossalg af alkoholholdige drikkevarer til Finland fra udlandet ikke vil kræves nogen tilladelse omtalt i loven om alkohol. Denne undtagelse fra kravet om en salgstilladelse, der udstedes til udenlandske producenter og sælgere, vil blive tilføjet til § 6 i loven om alkohol.</w:t>
      </w:r>
    </w:p>
    <w:p w:rsidR="00D7249B" w:rsidRPr="00C51AA4" w:rsidRDefault="0050139B" w:rsidP="00C51AA4">
      <w:pPr>
        <w:keepNext/>
        <w:jc w:val="both"/>
        <w:rPr>
          <w:rFonts w:ascii="Times New Roman" w:hAnsi="Times New Roman" w:cs="Times New Roman"/>
          <w:i/>
        </w:rPr>
      </w:pPr>
      <w:r>
        <w:rPr>
          <w:rFonts w:ascii="Times New Roman" w:hAnsi="Times New Roman"/>
          <w:i/>
        </w:rPr>
        <w:t>Præcisering af bestemmelserne vedrørende fjernsalg og indførsel, der er forbundet med dette</w:t>
      </w:r>
    </w:p>
    <w:p w:rsidR="00D7249B" w:rsidRPr="00C51AA4" w:rsidRDefault="00D7249B" w:rsidP="00C51AA4">
      <w:pPr>
        <w:jc w:val="both"/>
        <w:rPr>
          <w:rFonts w:ascii="Times New Roman" w:hAnsi="Times New Roman" w:cs="Times New Roman"/>
          <w:i/>
          <w:sz w:val="24"/>
          <w:szCs w:val="24"/>
        </w:rPr>
      </w:pPr>
      <w:r>
        <w:rPr>
          <w:rFonts w:ascii="Times New Roman" w:hAnsi="Times New Roman"/>
          <w:sz w:val="24"/>
        </w:rPr>
        <w:t>I henhold til § 32 (Indførsel af alkoholholdige drikkevarer) i den gældende lov om alkohol er indførsel af alkoholholdige drikkevarer tilladt til både kommerciel og personligt forbrug uden en særskilt indførselstilladelse. I henhold til bestemmelsen gælder kravene om tilladelse i loven om alkohol imidlertid for kommerciel aktivitet, der er forbundet med indførsel af alkoholholdige drikkevarer.</w:t>
      </w:r>
    </w:p>
    <w:p w:rsidR="007142B9" w:rsidRPr="00C51AA4" w:rsidRDefault="00615C4B" w:rsidP="00C51AA4">
      <w:pPr>
        <w:jc w:val="both"/>
        <w:rPr>
          <w:rFonts w:ascii="Times New Roman" w:hAnsi="Times New Roman" w:cs="Times New Roman"/>
          <w:sz w:val="24"/>
          <w:szCs w:val="24"/>
        </w:rPr>
      </w:pPr>
      <w:r>
        <w:rPr>
          <w:rFonts w:ascii="Times New Roman" w:hAnsi="Times New Roman"/>
          <w:sz w:val="24"/>
        </w:rPr>
        <w:lastRenderedPageBreak/>
        <w:t>§ 32 i forslaget vil i lighed med den nuværende version først fastlægge, at indførsel af alkoholholdige drikkevarer er tilladt til både kommercielt og personligt forbrug uden en særskilt indførselstilladelse.</w:t>
      </w:r>
    </w:p>
    <w:p w:rsidR="00507C26" w:rsidRPr="00C51AA4" w:rsidRDefault="00615C4B" w:rsidP="00C51AA4">
      <w:pPr>
        <w:jc w:val="both"/>
        <w:rPr>
          <w:rFonts w:ascii="Times New Roman" w:hAnsi="Times New Roman" w:cs="Times New Roman"/>
          <w:sz w:val="24"/>
          <w:szCs w:val="24"/>
        </w:rPr>
      </w:pPr>
      <w:r>
        <w:rPr>
          <w:rFonts w:ascii="Times New Roman" w:hAnsi="Times New Roman"/>
          <w:sz w:val="24"/>
        </w:rPr>
        <w:t>Derefter vil artiklen anføre, at bestemmelserne i §§ 5 og 6 i loven om alkohol vedrørende kravet om tilladelse til salg og eneretten til detailsalg også gælder for salget af indførte alkoholholdige drikkevarer. Bestemmelsen vil præcisere det specifikke forhold, at den finske lov om alkohol også gælder for en udenlandsk sælger, der indfører alkoholholdige drikkevarer til detailsalg på den måde, som er omtalt i afgørelsen fra Den Europæiske Unions Domstol. I henhold til loven om alkohol kan der ikke udstedes tilladelse til grænseoverskridende fjernsalg, hvilket betyder, at en sådan aktivitet altid er i modstrid med loven om alkohol.</w:t>
      </w:r>
    </w:p>
    <w:p w:rsidR="00EB6414" w:rsidRPr="00C51AA4" w:rsidRDefault="009648DD" w:rsidP="00C51AA4">
      <w:pPr>
        <w:jc w:val="both"/>
        <w:rPr>
          <w:rFonts w:ascii="Times New Roman" w:hAnsi="Times New Roman" w:cs="Times New Roman"/>
          <w:sz w:val="24"/>
          <w:szCs w:val="24"/>
        </w:rPr>
      </w:pPr>
      <w:r>
        <w:rPr>
          <w:rFonts w:ascii="Times New Roman" w:hAnsi="Times New Roman"/>
          <w:sz w:val="24"/>
        </w:rPr>
        <w:t xml:space="preserve">Hvis en sælger etableret uden for Finland sælger alkoholholdige drikkevarer til Finland i modstrid med den finske lov om alkohol, udgør dette en enkelt række af hændelser (salg, indførsel, levering til køber), der skal betragtes som en overtrædelse af loven i sin helhed. På den anden side er fjernsalg af alkoholholdige drikkevarer til en finsk køber uden for Finland ikke i modstrid med loven, hvis sælgeren ikke indfører de alkoholholdige drikkevarer til Finland på noget tidspunkt. Som Den Europæiske Unions Domstol anførte i sag C-198/14 er en sælger, der er etableret i en anden medlemsstat, i henhold til den finske lov om alkohol </w:t>
      </w:r>
      <w:r>
        <w:rPr>
          <w:rFonts w:ascii="Times New Roman" w:hAnsi="Times New Roman"/>
          <w:i/>
          <w:sz w:val="24"/>
        </w:rPr>
        <w:t>"underlagt et krav om detailhandelstilladelse til indførsel af alkoholholdige drikkevarer, når denne sælger selv sørger for transporten af disse drikkevarer eller har overdraget transporten til en tredjemand"</w:t>
      </w:r>
      <w:r>
        <w:rPr>
          <w:rFonts w:ascii="Times New Roman" w:hAnsi="Times New Roman"/>
          <w:sz w:val="24"/>
        </w:rPr>
        <w:t>. På baggrund af dette vil artiklen præcisere, at specifikt alkoholholdige drikkevarer, der indeholder mere end 2,8 procent alkohol udtryk i volumen, og som sælges via ulovligt fjernsalg, ikke må indføres.</w:t>
      </w:r>
    </w:p>
    <w:p w:rsidR="000F75F9" w:rsidRPr="00C51AA4" w:rsidRDefault="00EB6414" w:rsidP="00C51AA4">
      <w:pPr>
        <w:jc w:val="both"/>
        <w:rPr>
          <w:rFonts w:ascii="Times New Roman" w:hAnsi="Times New Roman" w:cs="Times New Roman"/>
          <w:sz w:val="24"/>
          <w:szCs w:val="24"/>
        </w:rPr>
      </w:pPr>
      <w:r>
        <w:rPr>
          <w:rFonts w:ascii="Times New Roman" w:hAnsi="Times New Roman"/>
          <w:sz w:val="24"/>
        </w:rPr>
        <w:t>Eftersom salget af alkoholholdige drikkevarer med højest 2,8 procent alkohol udtryk i volumen, ikke kræver nogen tilladelse i Finland i henhold til § 6 i loven om alkohol, vil bestemmelsen kun vedrøre alkoholholdige drikkevarer, der indeholder mere end 2,8 procent alkohol udtrykt i volumen.</w:t>
      </w:r>
    </w:p>
    <w:p w:rsidR="007142B9" w:rsidRPr="00C51AA4" w:rsidRDefault="000F75F9" w:rsidP="00C51AA4">
      <w:pPr>
        <w:jc w:val="both"/>
        <w:rPr>
          <w:rFonts w:ascii="Times New Roman" w:hAnsi="Times New Roman" w:cs="Times New Roman"/>
          <w:sz w:val="24"/>
          <w:szCs w:val="24"/>
        </w:rPr>
      </w:pPr>
      <w:r>
        <w:rPr>
          <w:rFonts w:ascii="Times New Roman" w:hAnsi="Times New Roman"/>
          <w:sz w:val="24"/>
        </w:rPr>
        <w:t>Som anført ovenfor vil indførsel af alkoholholdige drikkevarer til forbrugerens eller virksomhedens eget forbrug forblive helt fritaget i henhold til loven om alkohol. Med henblik på at præcisere begreberne og bestemmelserne i loven om alkohol og loven om punktafgifter vil artiklen endvidere fastlægge, at hvis alkoholholdige drikkevarer indføres som omtalt i § 74 i loven om punktafgifter, så skal leverancen ledsages af et dokument, der identificerer leverancen, og som skal fremlægges for toldmyndighederne efter anmodning. Den ovennævnte artikel i loven om punktafgifter vedrører et fuldt tilladt tilfælde, hvor en privatperson ved andet end passagerindførsler eller fjernsalg køber produkter, der er omfattet af området for loven om punktafgifter, i en anden medlemsstat til vedkommendes personlige forbrug, og hvor en anden privatperson eller en professionel forhandler transporterer produkterne til Finland. I et sådant tilfælde er privatpersonen, der købte produkterne, en person, som er forpligtet til at betale afgift, og det samme er enhver person, der deltager i transporten af produkterne og er i besiddelse af produkterne i Finland.</w:t>
      </w:r>
    </w:p>
    <w:p w:rsidR="0010412A" w:rsidRPr="00C51AA4" w:rsidRDefault="0010412A" w:rsidP="00C51AA4">
      <w:pPr>
        <w:pStyle w:val="ListParagraph"/>
        <w:ind w:left="0"/>
        <w:jc w:val="both"/>
        <w:rPr>
          <w:b/>
        </w:rPr>
      </w:pPr>
    </w:p>
    <w:p w:rsidR="00D7249B" w:rsidRPr="00C51AA4" w:rsidRDefault="00DA1B77" w:rsidP="00C51AA4">
      <w:pPr>
        <w:pStyle w:val="ListParagraph"/>
        <w:keepNext/>
        <w:ind w:left="0"/>
        <w:jc w:val="both"/>
        <w:rPr>
          <w:i/>
        </w:rPr>
      </w:pPr>
      <w:r>
        <w:rPr>
          <w:i/>
        </w:rPr>
        <w:t>3.3 Tilladelse af grænseoverskridende fjernsalg af alkoholholdige drikkevarer</w:t>
      </w:r>
    </w:p>
    <w:p w:rsidR="00F16490" w:rsidRPr="00C51AA4" w:rsidRDefault="00F16490" w:rsidP="00C51AA4">
      <w:pPr>
        <w:pStyle w:val="ListParagraph"/>
        <w:ind w:left="360"/>
        <w:jc w:val="both"/>
        <w:rPr>
          <w:rFonts w:eastAsiaTheme="minorHAnsi"/>
          <w:sz w:val="22"/>
          <w:szCs w:val="22"/>
        </w:rPr>
      </w:pPr>
    </w:p>
    <w:p w:rsidR="00F16490" w:rsidRPr="00C51AA4" w:rsidRDefault="0090707E" w:rsidP="00C51AA4">
      <w:pPr>
        <w:jc w:val="both"/>
        <w:rPr>
          <w:rFonts w:ascii="Times New Roman" w:eastAsia="Times New Roman" w:hAnsi="Times New Roman" w:cs="Times New Roman"/>
          <w:sz w:val="24"/>
          <w:szCs w:val="24"/>
        </w:rPr>
      </w:pPr>
      <w:r>
        <w:rPr>
          <w:rFonts w:ascii="Times New Roman" w:hAnsi="Times New Roman"/>
          <w:sz w:val="24"/>
        </w:rPr>
        <w:t xml:space="preserve">En mulighed, der også er taget i betragtning under udarbejdelsen, er en, hvor loven om alkohol ville tillade grænseoverskridende fjernsalg af alkoholholdige drikkevarer for sælgere, der opererer i udlandet. Dette ville for eksempel betyde, at det ville være tilladt for producenter og sælgere, der er etableret i andre medlemsstater, at sælge vin til finske forbrugere, og at disse sælgere eller nogen, der handler på deres vegne, ville kunne transportere disse drikkevarer. Loven kunne fastlægge </w:t>
      </w:r>
      <w:r>
        <w:rPr>
          <w:rFonts w:ascii="Times New Roman" w:hAnsi="Times New Roman"/>
          <w:sz w:val="24"/>
        </w:rPr>
        <w:lastRenderedPageBreak/>
        <w:t>procedurer, hvis formål ville være at sikre en så effektiv håndhævelse af loven om alkohol som muligt.</w:t>
      </w:r>
    </w:p>
    <w:p w:rsidR="00F16490" w:rsidRPr="00C51AA4" w:rsidRDefault="0090707E" w:rsidP="00C51AA4">
      <w:pPr>
        <w:autoSpaceDE w:val="0"/>
        <w:autoSpaceDN w:val="0"/>
        <w:adjustRightInd w:val="0"/>
        <w:spacing w:after="0" w:line="240" w:lineRule="auto"/>
        <w:jc w:val="both"/>
        <w:rPr>
          <w:rFonts w:ascii="TimesNewRomanPSMT" w:eastAsia="Times New Roman" w:hAnsi="TimesNewRomanPSMT" w:cs="TimesNewRomanPSMT"/>
          <w:i/>
          <w:sz w:val="24"/>
          <w:szCs w:val="24"/>
        </w:rPr>
      </w:pPr>
      <w:r>
        <w:rPr>
          <w:rFonts w:ascii="Times New Roman" w:hAnsi="Times New Roman"/>
          <w:sz w:val="24"/>
        </w:rPr>
        <w:t>Denne mulighed ville imidlertid betyde, at udenlandske producenter og sælgere af alkoholholdige drikkevarer ville blive bragt i en mere fordelagtig position i finsk lovgivning end finske producenter og sælgere. Gennemførelsen af denne mulighed ville være i modstrid med nøgleprincippet, der er fastlagt i § 6 i Finlands forfatning, nemlig princippet om ligestilling. Som appeldomstolen i Helsingfors anførte i dommen, som den afsagde på grundlag af den præjudicielle afgørelse fra Den Europæiske Unions Domstol:</w:t>
      </w:r>
      <w:r>
        <w:rPr>
          <w:rFonts w:ascii="TimesNewRomanPSMT" w:hAnsi="TimesNewRomanPSMT"/>
          <w:i/>
          <w:sz w:val="24"/>
        </w:rPr>
        <w:t xml:space="preserve"> "Hvis fjernsalget af produkter, der er omfattet af området for det statslige alkoholmonopols detailsalgsmonopol, til finske kunder var tilladt for operatører etableret i andre medlemsstater, skulle det også være tilladt for operatører etableret i Finland. I praksis ville dette betyde afskaffelse af det eksisterende monopol, hvilket ikke er krævet i henhold til artikel 37 i TEUF ifølge retspraksis ved Den Europæiske Unions Domstol (sag 59/75 Den Italienske Anklagemyndighed mod Manghera m.fl. [1976] sml. 91, præmis 9, sag 91/78 Hansen [1979] sml. 935, præmis 8, sag 8/82 Kommissionen mod Italien [1983] sml. 1955, præmis 11, sag C</w:t>
      </w:r>
      <w:r>
        <w:noBreakHyphen/>
      </w:r>
      <w:r>
        <w:rPr>
          <w:rFonts w:ascii="TimesNewRomanPSMT" w:hAnsi="TimesNewRomanPSMT"/>
          <w:i/>
          <w:sz w:val="24"/>
        </w:rPr>
        <w:t>347/88 Kommissionen mod Grækenland [1990] sml. I-4747, præmis 42, og sag C</w:t>
      </w:r>
      <w:r>
        <w:noBreakHyphen/>
      </w:r>
      <w:r>
        <w:rPr>
          <w:rFonts w:ascii="TimesNewRomanPSMT" w:hAnsi="TimesNewRomanPSMT"/>
          <w:i/>
          <w:sz w:val="24"/>
        </w:rPr>
        <w:t>387/93 Banchero [1995] sml. I-4663, præmis 27, Banchero II). ".</w:t>
      </w:r>
    </w:p>
    <w:p w:rsidR="00F16490" w:rsidRPr="00C51AA4" w:rsidRDefault="00F16490" w:rsidP="00C51AA4">
      <w:pPr>
        <w:autoSpaceDE w:val="0"/>
        <w:autoSpaceDN w:val="0"/>
        <w:adjustRightInd w:val="0"/>
        <w:spacing w:after="0" w:line="240" w:lineRule="auto"/>
        <w:jc w:val="both"/>
        <w:rPr>
          <w:rFonts w:ascii="TimesNewRomanPSMT" w:eastAsia="Times New Roman" w:hAnsi="TimesNewRomanPSMT" w:cs="TimesNewRomanPSMT"/>
          <w:i/>
          <w:sz w:val="24"/>
          <w:szCs w:val="24"/>
        </w:rPr>
      </w:pPr>
    </w:p>
    <w:p w:rsidR="0003159B" w:rsidRPr="00C51AA4" w:rsidRDefault="0003159B" w:rsidP="00C51AA4">
      <w:pPr>
        <w:jc w:val="both"/>
        <w:rPr>
          <w:rFonts w:ascii="Times New Roman" w:hAnsi="Times New Roman" w:cs="Times New Roman"/>
          <w:sz w:val="24"/>
          <w:szCs w:val="24"/>
        </w:rPr>
      </w:pPr>
      <w:r>
        <w:rPr>
          <w:rFonts w:ascii="Times New Roman" w:hAnsi="Times New Roman"/>
          <w:sz w:val="24"/>
        </w:rPr>
        <w:t>Ifølge erklæringen udarbejdet af parlamentet var formålet med udkastet til lovgivning, at løsninger vedrørende fjernsalg, der findes i forslaget, ikke skulle bringe bevarelsen af den nuværende eneret til detailsalg af alkoholholdige drikkevarer eller det finske erhvervslivs ligestilling med hensyn til udenlandske konkurrenter i fare. Den eneste mulighed, der også er i overensstemmelse med EU-lovgivningen, er derfor at forbyde grænseoverskridende fjernsalg af alle alkoholholdige drikkevarer og indførsel, der er forbundet med dette, mere tydeligt end på nuværende tidspunkt.</w:t>
      </w:r>
    </w:p>
    <w:p w:rsidR="003434B1" w:rsidRPr="00C51AA4" w:rsidRDefault="0003159B" w:rsidP="00C51AA4">
      <w:pPr>
        <w:pStyle w:val="ListParagraph"/>
        <w:ind w:left="0"/>
        <w:jc w:val="both"/>
        <w:rPr>
          <w:rFonts w:eastAsiaTheme="minorHAnsi"/>
        </w:rPr>
      </w:pPr>
      <w:r>
        <w:rPr>
          <w:rFonts w:ascii="TimesNewRomanPSMT" w:hAnsi="TimesNewRomanPSMT"/>
        </w:rPr>
        <w:t>Blandt de ovennævnte muligheder</w:t>
      </w:r>
      <w:r>
        <w:t xml:space="preserve"> er den, der betragtes som den bedste, derfor </w:t>
      </w:r>
      <w:r>
        <w:rPr>
          <w:i/>
        </w:rPr>
        <w:t>lovgivningsmæssig præcisering med hensyn til den nuværende situation</w:t>
      </w:r>
      <w:r>
        <w:t>, eftersom dette vil præcisere uklar lovgivning og overholde principperne i EU-lovgivningen, der er fastlagt i den præjudicielle afgørelse fra Den Europæiske Unions Domstol og i dommen fra højesteretten. Selvom forslaget ikke vil ændre den nuværende situation som sådan, vil dets gennemførelse forbedre effektiviteten med hensyn til håndhævelsen af både loven om alkohol og loven om punktafgifter.</w:t>
      </w:r>
    </w:p>
    <w:p w:rsidR="003434B1" w:rsidRPr="00C51AA4" w:rsidRDefault="003434B1" w:rsidP="00C51AA4">
      <w:pPr>
        <w:pStyle w:val="ListParagraph"/>
        <w:ind w:left="0"/>
        <w:jc w:val="both"/>
        <w:rPr>
          <w:rFonts w:eastAsiaTheme="minorHAnsi"/>
        </w:rPr>
      </w:pPr>
    </w:p>
    <w:p w:rsidR="0003159B" w:rsidRPr="00C51AA4" w:rsidRDefault="00340E73" w:rsidP="00C51AA4">
      <w:pPr>
        <w:pStyle w:val="ListParagraph"/>
        <w:ind w:left="0"/>
        <w:jc w:val="both"/>
        <w:rPr>
          <w:rFonts w:eastAsiaTheme="minorHAnsi"/>
        </w:rPr>
      </w:pPr>
      <w:r>
        <w:t>Derudover vil loven fastlægge en klar procedure for, hvordan privatpersoner kan købe og indføre alle alkoholholdige drikkevarer til deres eget forbrug, hvor en anden privatperson eller en professionel forhandler transporterer drikkevarerne til Finland.</w:t>
      </w:r>
    </w:p>
    <w:p w:rsidR="00F16490" w:rsidRPr="00C51AA4" w:rsidRDefault="00F16490"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834014" w:rsidRPr="00C51AA4" w:rsidRDefault="00834014"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03159B" w:rsidRPr="00C51AA4" w:rsidRDefault="00340E73" w:rsidP="00C51AA4">
      <w:pPr>
        <w:keepNext/>
        <w:autoSpaceDE w:val="0"/>
        <w:autoSpaceDN w:val="0"/>
        <w:adjustRightInd w:val="0"/>
        <w:spacing w:after="0" w:line="240" w:lineRule="auto"/>
        <w:jc w:val="both"/>
        <w:rPr>
          <w:rFonts w:ascii="TimesNewRomanPSMT" w:eastAsia="Times New Roman" w:hAnsi="TimesNewRomanPSMT" w:cs="TimesNewRomanPSMT"/>
          <w:b/>
          <w:sz w:val="24"/>
          <w:szCs w:val="24"/>
        </w:rPr>
      </w:pPr>
      <w:r>
        <w:rPr>
          <w:rFonts w:ascii="TimesNewRomanPSMT" w:hAnsi="TimesNewRomanPSMT"/>
          <w:b/>
          <w:sz w:val="24"/>
        </w:rPr>
        <w:t>4. Operatørernes synspunkter</w:t>
      </w:r>
    </w:p>
    <w:p w:rsidR="0003159B" w:rsidRPr="00C51AA4" w:rsidRDefault="0003159B" w:rsidP="00C51AA4">
      <w:pPr>
        <w:autoSpaceDE w:val="0"/>
        <w:autoSpaceDN w:val="0"/>
        <w:adjustRightInd w:val="0"/>
        <w:spacing w:after="0" w:line="240" w:lineRule="auto"/>
        <w:jc w:val="both"/>
        <w:rPr>
          <w:rFonts w:ascii="TimesNewRomanPSMT" w:eastAsia="Times New Roman" w:hAnsi="TimesNewRomanPSMT" w:cs="TimesNewRomanPSMT"/>
          <w:b/>
          <w:sz w:val="24"/>
          <w:szCs w:val="24"/>
        </w:rPr>
      </w:pPr>
    </w:p>
    <w:p w:rsidR="0003159B" w:rsidRPr="005367EF" w:rsidRDefault="0003159B" w:rsidP="00C51AA4">
      <w:pPr>
        <w:autoSpaceDE w:val="0"/>
        <w:autoSpaceDN w:val="0"/>
        <w:adjustRightInd w:val="0"/>
        <w:spacing w:after="0" w:line="240" w:lineRule="auto"/>
        <w:jc w:val="both"/>
        <w:rPr>
          <w:rFonts w:ascii="Times New Roman" w:hAnsi="Times New Roman" w:cs="Times New Roman"/>
          <w:sz w:val="24"/>
          <w:szCs w:val="24"/>
        </w:rPr>
      </w:pPr>
      <w:r w:rsidRPr="005367EF">
        <w:rPr>
          <w:rFonts w:ascii="Times New Roman" w:hAnsi="Times New Roman" w:cs="Times New Roman"/>
          <w:sz w:val="24"/>
          <w:szCs w:val="24"/>
        </w:rPr>
        <w:t xml:space="preserve">Muligheden </w:t>
      </w:r>
      <w:r w:rsidRPr="005367EF">
        <w:rPr>
          <w:rFonts w:ascii="Times New Roman" w:hAnsi="Times New Roman" w:cs="Times New Roman"/>
          <w:i/>
          <w:sz w:val="24"/>
          <w:szCs w:val="24"/>
        </w:rPr>
        <w:t>lovgivningsmæssig præcisering med hensyn til den nuværende situation</w:t>
      </w:r>
      <w:r w:rsidRPr="005367EF">
        <w:rPr>
          <w:rFonts w:ascii="Times New Roman" w:hAnsi="Times New Roman" w:cs="Times New Roman"/>
          <w:sz w:val="24"/>
          <w:szCs w:val="24"/>
        </w:rPr>
        <w:t xml:space="preserve"> er baseret på det enstemmige forslag fra arbejdsgruppen, der tager spørgsmålet i betragtning. De repræsenterede enheder i arbejdsgruppen var social- og sundhedsministeriet, finansministeriet, ministeriet for økonomi og beskæftigelse, den nationale tilsynsmyndighed for velfærd og sundhed, skatte- og toldforvaltningen fra centraladministrationen og industriforeningen for producenter af alkoholholdige drikkevarer og foreningen for finske leverandører af alkoholholdige drikkevarer fra erhvervslivet.</w:t>
      </w:r>
    </w:p>
    <w:p w:rsidR="009E07A1" w:rsidRPr="00C51AA4" w:rsidRDefault="009E07A1" w:rsidP="00C51AA4">
      <w:pPr>
        <w:autoSpaceDE w:val="0"/>
        <w:autoSpaceDN w:val="0"/>
        <w:adjustRightInd w:val="0"/>
        <w:spacing w:after="0" w:line="240" w:lineRule="auto"/>
        <w:jc w:val="both"/>
        <w:rPr>
          <w:rFonts w:ascii="Times New Roman" w:hAnsi="Times New Roman" w:cs="Times New Roman"/>
          <w:sz w:val="24"/>
          <w:szCs w:val="24"/>
        </w:rPr>
      </w:pPr>
    </w:p>
    <w:p w:rsidR="00834014" w:rsidRPr="00C51AA4" w:rsidRDefault="00834014" w:rsidP="00C51A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rPr>
        <w:t>Mange virksomheder, der beskæftiger sig med grænseoverskridende fjernsalg af alkoholholdige drikkevarer, især fra Estland, har indtaget det standpunkt, at loven om alkohol bør ændres, så grænseoverskridende fjernsalg af alkoholholdige drikkevarer tillades.</w:t>
      </w:r>
    </w:p>
    <w:p w:rsidR="00834014" w:rsidRPr="00C51AA4" w:rsidRDefault="00834014" w:rsidP="00C51AA4">
      <w:pPr>
        <w:autoSpaceDE w:val="0"/>
        <w:autoSpaceDN w:val="0"/>
        <w:adjustRightInd w:val="0"/>
        <w:spacing w:after="0" w:line="240" w:lineRule="auto"/>
        <w:jc w:val="both"/>
        <w:rPr>
          <w:rFonts w:ascii="Times New Roman" w:hAnsi="Times New Roman" w:cs="Times New Roman"/>
          <w:sz w:val="24"/>
          <w:szCs w:val="24"/>
        </w:rPr>
      </w:pPr>
    </w:p>
    <w:p w:rsidR="00340E73" w:rsidRPr="00C51AA4" w:rsidRDefault="00340E73" w:rsidP="00C51AA4">
      <w:pPr>
        <w:autoSpaceDE w:val="0"/>
        <w:autoSpaceDN w:val="0"/>
        <w:adjustRightInd w:val="0"/>
        <w:spacing w:after="0" w:line="240" w:lineRule="auto"/>
        <w:jc w:val="both"/>
        <w:rPr>
          <w:rFonts w:ascii="TimesNewRomanPSMT" w:eastAsia="Times New Roman" w:hAnsi="TimesNewRomanPSMT" w:cs="TimesNewRomanPSMT"/>
          <w:sz w:val="24"/>
          <w:szCs w:val="24"/>
        </w:rPr>
      </w:pPr>
    </w:p>
    <w:p w:rsidR="00340E73" w:rsidRPr="00C51AA4" w:rsidRDefault="00340E73" w:rsidP="00C51AA4">
      <w:pPr>
        <w:keepNext/>
        <w:spacing w:after="0" w:line="240" w:lineRule="auto"/>
        <w:jc w:val="both"/>
        <w:rPr>
          <w:rFonts w:ascii="TimesNewRomanPSMT" w:eastAsia="Times New Roman" w:hAnsi="TimesNewRomanPSMT" w:cs="TimesNewRomanPSMT"/>
          <w:b/>
          <w:sz w:val="24"/>
          <w:szCs w:val="24"/>
        </w:rPr>
      </w:pPr>
      <w:r>
        <w:rPr>
          <w:rFonts w:ascii="TimesNewRomanPSMT" w:hAnsi="TimesNewRomanPSMT"/>
          <w:b/>
          <w:sz w:val="24"/>
        </w:rPr>
        <w:t>5. Fordelene og ulemperne ved muligheden, der er valgt som den bedste</w:t>
      </w:r>
    </w:p>
    <w:p w:rsidR="003766A6" w:rsidRPr="00C51AA4" w:rsidRDefault="003766A6" w:rsidP="00C51AA4">
      <w:pPr>
        <w:pStyle w:val="ListParagraph"/>
        <w:ind w:left="0"/>
        <w:jc w:val="both"/>
        <w:rPr>
          <w:rFonts w:ascii="TimesNewRomanPSMT" w:hAnsi="TimesNewRomanPSMT" w:cs="TimesNewRomanPSMT"/>
        </w:rPr>
      </w:pPr>
    </w:p>
    <w:p w:rsidR="00E90597" w:rsidRPr="00C51AA4" w:rsidRDefault="00834014" w:rsidP="00C51AA4">
      <w:pPr>
        <w:pStyle w:val="ListParagraph"/>
        <w:ind w:left="0"/>
        <w:jc w:val="both"/>
        <w:rPr>
          <w:rFonts w:ascii="TimesNewRomanPSMT" w:hAnsi="TimesNewRomanPSMT" w:cs="TimesNewRomanPSMT"/>
        </w:rPr>
      </w:pPr>
      <w:r>
        <w:rPr>
          <w:i/>
        </w:rPr>
        <w:t>Lovgivningsmæssig præcisering med hensyn til den nuværende situation</w:t>
      </w:r>
      <w:r>
        <w:rPr>
          <w:rFonts w:ascii="TimesNewRomanPSMT" w:hAnsi="TimesNewRomanPSMT"/>
        </w:rPr>
        <w:t xml:space="preserve"> vil ikke ændre den nuværende juridiske status, og derfor er der ikke forbundet nogen særlige nye fordele eller ulemper med forslaget.</w:t>
      </w:r>
    </w:p>
    <w:p w:rsidR="00E90597" w:rsidRPr="00C51AA4" w:rsidRDefault="00E90597" w:rsidP="00C51AA4">
      <w:pPr>
        <w:pStyle w:val="ListParagraph"/>
        <w:ind w:left="0"/>
        <w:jc w:val="both"/>
        <w:rPr>
          <w:rFonts w:ascii="TimesNewRomanPSMT" w:hAnsi="TimesNewRomanPSMT" w:cs="TimesNewRomanPSMT"/>
        </w:rPr>
      </w:pPr>
    </w:p>
    <w:p w:rsidR="00FF75A1" w:rsidRPr="00C51AA4" w:rsidRDefault="00E90597" w:rsidP="00C51AA4">
      <w:pPr>
        <w:pStyle w:val="ListParagraph"/>
        <w:ind w:left="0"/>
        <w:jc w:val="both"/>
        <w:rPr>
          <w:rFonts w:ascii="TimesNewRomanPSMT" w:hAnsi="TimesNewRomanPSMT" w:cs="TimesNewRomanPSMT"/>
        </w:rPr>
      </w:pPr>
      <w:r>
        <w:rPr>
          <w:rFonts w:ascii="TimesNewRomanPSMT" w:hAnsi="TimesNewRomanPSMT"/>
        </w:rPr>
        <w:t>Forslaget vil imidlertid præcisere fortolkningen af bestemmelser og forbedre juridisk sikkerhed væsentligt. Ved at reducere salg, der er i modstrid med loven om alkohol, vil forslaget have positive indvirkninger på offentlig sundhed og offentlige finanser. Over 10 000 forsendelser fra onlineforretninger, der indeholder alkohol, er hvert år ankommet til Finland fra udlandet, og i omkring 99 % af tilfældene organiserede sælgeren transporten af de alkoholholdige drikkevarer til Finland. Størstedelen af disse fjernsælgere har ikke betalt alkoholafgifter, og drikkevarerne er blevet leveret til kunder i modstrid med loven om alkohol.</w:t>
      </w:r>
    </w:p>
    <w:p w:rsidR="00FF75A1" w:rsidRPr="00C51AA4" w:rsidRDefault="00FF75A1" w:rsidP="00C51AA4">
      <w:pPr>
        <w:pStyle w:val="ListParagraph"/>
        <w:ind w:left="0"/>
        <w:jc w:val="both"/>
        <w:rPr>
          <w:rFonts w:ascii="TimesNewRomanPSMT" w:hAnsi="TimesNewRomanPSMT" w:cs="TimesNewRomanPSMT"/>
        </w:rPr>
      </w:pPr>
    </w:p>
    <w:p w:rsidR="003766A6" w:rsidRPr="00C51AA4" w:rsidRDefault="003766A6" w:rsidP="00C51AA4">
      <w:pPr>
        <w:pStyle w:val="ListParagraph"/>
        <w:ind w:left="0"/>
        <w:jc w:val="both"/>
        <w:rPr>
          <w:rFonts w:ascii="TimesNewRomanPSMT" w:hAnsi="TimesNewRomanPSMT" w:cs="TimesNewRomanPSMT"/>
        </w:rPr>
      </w:pPr>
      <w:r>
        <w:rPr>
          <w:rFonts w:ascii="TimesNewRomanPSMT" w:hAnsi="TimesNewRomanPSMT"/>
        </w:rPr>
        <w:t>Onlinesalget af alkoholholdige drikkevarer fra udlandet anslås til at udgøre omkring 1-2 % af det samlede marked, mens det samlede onlinesalg af andre fødevarer fra både Finland og udlandet på nuværende tidspunkt udgør omkring 0,2-0,3 % af markedet for fødevarer. Eftersom udenlandsk onlinesalg af alkohol allerede er så omfattende, er der, medmindre lovgivningen præciseres, en risiko for, at grænseoverskridende fjernsalg vil stige i fremtiden i takt med væksten i alt onlinesalg, så alkoholholdige drikkevarer i stigende grad vil blive leveret til købere uden effektiv kontrol.</w:t>
      </w:r>
    </w:p>
    <w:p w:rsidR="003766A6" w:rsidRPr="00C51AA4" w:rsidRDefault="003766A6" w:rsidP="00C51AA4">
      <w:pPr>
        <w:pStyle w:val="ListParagraph"/>
        <w:ind w:left="0"/>
        <w:jc w:val="both"/>
        <w:rPr>
          <w:rFonts w:ascii="TimesNewRomanPSMT" w:hAnsi="TimesNewRomanPSMT" w:cs="TimesNewRomanPSMT"/>
        </w:rPr>
      </w:pPr>
    </w:p>
    <w:p w:rsidR="00173834" w:rsidRPr="00C51AA4" w:rsidRDefault="00173834" w:rsidP="00C51AA4">
      <w:pPr>
        <w:jc w:val="both"/>
        <w:rPr>
          <w:rFonts w:ascii="TimesNewRomanPSMT" w:eastAsia="Times New Roman" w:hAnsi="TimesNewRomanPSMT" w:cs="TimesNewRomanPSMT"/>
          <w:sz w:val="24"/>
          <w:szCs w:val="24"/>
        </w:rPr>
      </w:pPr>
      <w:r>
        <w:rPr>
          <w:rFonts w:ascii="TimesNewRomanPSMT" w:hAnsi="TimesNewRomanPSMT"/>
          <w:sz w:val="24"/>
        </w:rPr>
        <w:t>Selvom producenter og sælgere af alkoholholdige drikkevarer, der er etableret i andre medlemsstater, i henhold til den finske lov om alkohol ikke må praktisere fjernsalg af alkoholholdige drikkevarer til finske købere, vil indførslen af alkoholholdige drikkevarer til Finland stadig være tilladt i form af fjernkøb. På den anden side er det sikkert, at den mere omfattende afgiftsforpligtelse i forbindelse med fjernkøb vil reducere den nuværende købsmængde af alkoholholdige drikkevarer.</w:t>
      </w:r>
    </w:p>
    <w:p w:rsidR="009C096E" w:rsidRPr="008E647C" w:rsidRDefault="00173834" w:rsidP="00C51AA4">
      <w:pPr>
        <w:jc w:val="both"/>
        <w:rPr>
          <w:rFonts w:ascii="TimesNewRomanPSMT" w:eastAsia="Times New Roman" w:hAnsi="TimesNewRomanPSMT" w:cs="TimesNewRomanPSMT"/>
          <w:sz w:val="24"/>
          <w:szCs w:val="24"/>
        </w:rPr>
      </w:pPr>
      <w:r>
        <w:rPr>
          <w:rFonts w:ascii="TimesNewRomanPSMT" w:hAnsi="TimesNewRomanPSMT"/>
          <w:sz w:val="24"/>
        </w:rPr>
        <w:t>Ud over dette har Finland planlagt en ordning, som Kommissionen omtalte i sin udførlige udtalelse af 15. marts 2017. Kommissionen rejste spørgsmålet om, hvorvidt det statslige alkoholmonopol kunne blive autoriseret til at udføre grænseoverskridende fjernsalg, indførsler til Finland og levering af indførte alkoholholdige drikkevarer til privatpersoner. Formålet med den nye ordning, som Finland har planlagt, er, at hver producent eller sælger af alkoholholdige drikkevarer uanset nationalitet skal kunne opliste deres egne produkter under udvalget i det statslige alkoholmonopols onlineforretning på grundlag af deres egen meddelelse. Dette ville for eksempel betyde, at hver producent vil kunne markedsføre sine produkter i Finland, finske forbrugere vil kunne bestille dem direkte fra det statslige alkoholmonopols onlineforretning, og det statslige alkoholmonopol ville udføre indførslen af produkterne og deres levering til de pågældende privatpersoner enten på et af det statslige alkoholmonopols salgssteder eller i et af dets leveringslokaler. Målet er, at denne ordning skal gennemføres samtidigt med, at det påtænkte udkast til lov træder i kraft.</w:t>
      </w:r>
    </w:p>
    <w:p w:rsidR="00606BB4" w:rsidRPr="00C51AA4" w:rsidRDefault="00606BB4" w:rsidP="00D715FE">
      <w:pPr>
        <w:pageBreakBefore/>
        <w:rPr>
          <w:rFonts w:ascii="Times New Roman" w:eastAsia="Times New Roman" w:hAnsi="Times New Roman" w:cs="Times New Roman"/>
          <w:sz w:val="24"/>
          <w:szCs w:val="24"/>
          <w:u w:val="single"/>
        </w:rPr>
      </w:pPr>
      <w:r>
        <w:rPr>
          <w:rFonts w:ascii="Times New Roman" w:hAnsi="Times New Roman"/>
          <w:sz w:val="24"/>
          <w:u w:val="single"/>
        </w:rPr>
        <w:lastRenderedPageBreak/>
        <w:t>Udkast af 2. juli 2018</w:t>
      </w:r>
    </w:p>
    <w:p w:rsidR="006A1CEB" w:rsidRPr="00C51AA4" w:rsidRDefault="006A1CEB" w:rsidP="006A1CEB">
      <w:pPr>
        <w:jc w:val="center"/>
        <w:rPr>
          <w:rFonts w:ascii="Times New Roman" w:hAnsi="Times New Roman" w:cs="Times New Roman"/>
          <w:b/>
          <w:bCs/>
          <w:sz w:val="32"/>
          <w:szCs w:val="32"/>
        </w:rPr>
      </w:pPr>
      <w:r>
        <w:rPr>
          <w:rFonts w:ascii="Times New Roman" w:hAnsi="Times New Roman"/>
          <w:b/>
          <w:sz w:val="32"/>
        </w:rPr>
        <w:t>Lov</w:t>
      </w:r>
    </w:p>
    <w:p w:rsidR="006A1CEB" w:rsidRPr="00C51AA4" w:rsidRDefault="006A1CEB" w:rsidP="006A1CEB">
      <w:pPr>
        <w:jc w:val="center"/>
        <w:rPr>
          <w:rFonts w:ascii="Times New Roman" w:hAnsi="Times New Roman" w:cs="Times New Roman"/>
          <w:b/>
          <w:bCs/>
        </w:rPr>
      </w:pPr>
      <w:r>
        <w:rPr>
          <w:rFonts w:ascii="Times New Roman" w:hAnsi="Times New Roman"/>
          <w:b/>
        </w:rPr>
        <w:t>om ændring af lov om alkohol</w:t>
      </w:r>
    </w:p>
    <w:p w:rsidR="006A1CEB" w:rsidRPr="00330343" w:rsidRDefault="006A1CEB" w:rsidP="006A1CEB">
      <w:pPr>
        <w:rPr>
          <w:rFonts w:ascii="Times New Roman" w:hAnsi="Times New Roman" w:cs="Times New Roman"/>
          <w:bCs/>
          <w:szCs w:val="24"/>
        </w:rPr>
      </w:pPr>
      <w:r w:rsidRPr="00330343">
        <w:rPr>
          <w:rFonts w:ascii="Times New Roman" w:hAnsi="Times New Roman" w:cs="Times New Roman"/>
          <w:szCs w:val="24"/>
        </w:rPr>
        <w:t>I overensstemmelse med parlamentets beslutning</w:t>
      </w:r>
    </w:p>
    <w:p w:rsidR="006A1CEB" w:rsidRPr="00330343" w:rsidRDefault="006A1CEB" w:rsidP="00C51AA4">
      <w:pPr>
        <w:jc w:val="both"/>
        <w:rPr>
          <w:rFonts w:ascii="Times New Roman" w:hAnsi="Times New Roman" w:cs="Times New Roman"/>
          <w:bCs/>
          <w:szCs w:val="24"/>
        </w:rPr>
      </w:pPr>
      <w:r w:rsidRPr="00330343">
        <w:rPr>
          <w:rFonts w:ascii="Times New Roman" w:hAnsi="Times New Roman" w:cs="Times New Roman"/>
          <w:i/>
          <w:szCs w:val="24"/>
        </w:rPr>
        <w:t>tilføjes</w:t>
      </w:r>
      <w:r w:rsidRPr="00330343">
        <w:rPr>
          <w:rFonts w:ascii="Times New Roman" w:hAnsi="Times New Roman" w:cs="Times New Roman"/>
          <w:szCs w:val="24"/>
        </w:rPr>
        <w:t xml:space="preserve"> et nyt nr. 17 og 18 til § 3, stk. 1, et nyt nr. 8 </w:t>
      </w:r>
      <w:r w:rsidRPr="00330343">
        <w:rPr>
          <w:rFonts w:ascii="Times New Roman" w:hAnsi="Times New Roman" w:cs="Times New Roman"/>
          <w:i/>
          <w:szCs w:val="24"/>
        </w:rPr>
        <w:t>tilføjes</w:t>
      </w:r>
      <w:r w:rsidRPr="00330343">
        <w:rPr>
          <w:rFonts w:ascii="Times New Roman" w:hAnsi="Times New Roman" w:cs="Times New Roman"/>
          <w:szCs w:val="24"/>
        </w:rPr>
        <w:t xml:space="preserve"> til § 6, stk. 1, og § 32 i loven om alkohol (1102/2017) </w:t>
      </w:r>
      <w:r w:rsidRPr="00330343">
        <w:rPr>
          <w:rFonts w:ascii="Times New Roman" w:hAnsi="Times New Roman" w:cs="Times New Roman"/>
          <w:i/>
          <w:szCs w:val="24"/>
        </w:rPr>
        <w:t>ændres</w:t>
      </w:r>
      <w:r w:rsidRPr="00330343">
        <w:rPr>
          <w:rFonts w:ascii="Times New Roman" w:hAnsi="Times New Roman" w:cs="Times New Roman"/>
          <w:szCs w:val="24"/>
        </w:rPr>
        <w:t xml:space="preserve"> som følger:</w:t>
      </w:r>
    </w:p>
    <w:p w:rsidR="006A1CEB" w:rsidRPr="00330343" w:rsidRDefault="006A1CEB" w:rsidP="006A1CEB">
      <w:pPr>
        <w:jc w:val="center"/>
        <w:rPr>
          <w:rFonts w:ascii="Times New Roman" w:hAnsi="Times New Roman" w:cs="Times New Roman"/>
          <w:bCs/>
          <w:i/>
          <w:szCs w:val="24"/>
        </w:rPr>
      </w:pPr>
      <w:r w:rsidRPr="00330343">
        <w:rPr>
          <w:rFonts w:ascii="Times New Roman" w:hAnsi="Times New Roman" w:cs="Times New Roman"/>
          <w:i/>
          <w:szCs w:val="24"/>
        </w:rPr>
        <w:t>§ 3</w:t>
      </w:r>
    </w:p>
    <w:p w:rsidR="006A1CEB" w:rsidRPr="00330343" w:rsidRDefault="006A1CEB" w:rsidP="006A1CEB">
      <w:pPr>
        <w:jc w:val="center"/>
        <w:rPr>
          <w:rFonts w:ascii="Times New Roman" w:eastAsia="Times New Roman" w:hAnsi="Times New Roman" w:cs="Times New Roman"/>
          <w:i/>
          <w:color w:val="000000"/>
          <w:szCs w:val="24"/>
        </w:rPr>
      </w:pPr>
      <w:r w:rsidRPr="00330343">
        <w:rPr>
          <w:rFonts w:ascii="Times New Roman" w:hAnsi="Times New Roman" w:cs="Times New Roman"/>
          <w:i/>
          <w:color w:val="000000"/>
          <w:szCs w:val="24"/>
        </w:rPr>
        <w:t>Definitioner</w:t>
      </w:r>
    </w:p>
    <w:p w:rsidR="00834014" w:rsidRPr="00330343" w:rsidRDefault="00834014" w:rsidP="00834014">
      <w:pPr>
        <w:rPr>
          <w:rFonts w:ascii="Times New Roman" w:eastAsia="Times New Roman" w:hAnsi="Times New Roman" w:cs="Times New Roman"/>
          <w:color w:val="000000"/>
          <w:szCs w:val="24"/>
        </w:rPr>
      </w:pPr>
      <w:r w:rsidRPr="00330343">
        <w:rPr>
          <w:rFonts w:ascii="Times New Roman" w:hAnsi="Times New Roman" w:cs="Times New Roman"/>
          <w:color w:val="000000"/>
          <w:szCs w:val="24"/>
        </w:rPr>
        <w:t>I denne lov forstås ved:</w:t>
      </w:r>
      <w:bookmarkStart w:id="0" w:name="_GoBack"/>
      <w:bookmarkEnd w:id="0"/>
    </w:p>
    <w:p w:rsidR="00A03F7B" w:rsidRPr="00330343" w:rsidRDefault="00A03F7B" w:rsidP="00EF3848">
      <w:pPr>
        <w:pStyle w:val="Default"/>
        <w:jc w:val="center"/>
        <w:rPr>
          <w:rFonts w:ascii="Times New Roman" w:hAnsi="Times New Roman" w:cs="Times New Roman"/>
          <w:sz w:val="22"/>
        </w:rPr>
      </w:pPr>
      <w:r w:rsidRPr="00330343">
        <w:rPr>
          <w:rFonts w:ascii="Times New Roman" w:hAnsi="Times New Roman" w:cs="Times New Roman"/>
          <w:b/>
          <w:sz w:val="22"/>
        </w:rPr>
        <w:t>------------------------------------------</w:t>
      </w:r>
    </w:p>
    <w:p w:rsidR="006A1CEB" w:rsidRPr="00330343" w:rsidRDefault="006A1CEB" w:rsidP="00C51AA4">
      <w:pPr>
        <w:jc w:val="both"/>
        <w:rPr>
          <w:rFonts w:ascii="Times New Roman" w:eastAsia="Times New Roman" w:hAnsi="Times New Roman" w:cs="Times New Roman"/>
          <w:color w:val="000000"/>
          <w:szCs w:val="24"/>
        </w:rPr>
      </w:pPr>
      <w:r w:rsidRPr="00330343">
        <w:rPr>
          <w:rFonts w:ascii="Times New Roman" w:hAnsi="Times New Roman" w:cs="Times New Roman"/>
          <w:i/>
          <w:color w:val="000000"/>
          <w:szCs w:val="24"/>
        </w:rPr>
        <w:t>17) grænseoverskridende fjernsalg</w:t>
      </w:r>
      <w:r w:rsidRPr="00330343">
        <w:rPr>
          <w:rFonts w:ascii="Times New Roman" w:hAnsi="Times New Roman" w:cs="Times New Roman"/>
          <w:color w:val="000000"/>
          <w:szCs w:val="24"/>
        </w:rPr>
        <w:t xml:space="preserve"> salg, hvor en modtager etableret i Finland har købt alkoholholdige drikkevarer i enten en anden EU-medlemsstat eller et tredjeland til et andet formål end salg eller tilberedning af en alkoholholdig drikkevare, og hvor fjernsælgeren eller en anden part, der handler på dennes vegne, sender eller transporterer disse alkoholholdige drikkevarer direkte eller indirekte til Finland</w:t>
      </w:r>
    </w:p>
    <w:p w:rsidR="006A1CEB" w:rsidRPr="00330343" w:rsidRDefault="006A1CEB" w:rsidP="006A1CEB">
      <w:pPr>
        <w:rPr>
          <w:rFonts w:ascii="Times New Roman" w:eastAsia="Times New Roman" w:hAnsi="Times New Roman" w:cs="Times New Roman"/>
          <w:color w:val="000000"/>
          <w:szCs w:val="24"/>
        </w:rPr>
      </w:pPr>
      <w:r w:rsidRPr="00330343">
        <w:rPr>
          <w:rFonts w:ascii="Times New Roman" w:hAnsi="Times New Roman" w:cs="Times New Roman"/>
          <w:i/>
          <w:color w:val="000000"/>
          <w:szCs w:val="24"/>
        </w:rPr>
        <w:t>18) en fjernsælger</w:t>
      </w:r>
      <w:r w:rsidRPr="00330343">
        <w:rPr>
          <w:rFonts w:ascii="Times New Roman" w:hAnsi="Times New Roman" w:cs="Times New Roman"/>
          <w:color w:val="000000"/>
          <w:szCs w:val="24"/>
        </w:rPr>
        <w:t xml:space="preserve"> en sælger, der sælger alkoholholdige drikkevarer på måden omtalt i nr. 17.</w:t>
      </w:r>
    </w:p>
    <w:p w:rsidR="00EF3848" w:rsidRPr="00330343" w:rsidRDefault="00EF3848" w:rsidP="00EF3848">
      <w:pPr>
        <w:jc w:val="center"/>
        <w:rPr>
          <w:rFonts w:ascii="Times New Roman" w:eastAsia="Times New Roman" w:hAnsi="Times New Roman" w:cs="Times New Roman"/>
          <w:color w:val="000000"/>
          <w:szCs w:val="24"/>
        </w:rPr>
      </w:pPr>
      <w:r w:rsidRPr="00330343">
        <w:rPr>
          <w:rFonts w:ascii="Times New Roman" w:hAnsi="Times New Roman" w:cs="Times New Roman"/>
          <w:b/>
          <w:szCs w:val="24"/>
        </w:rPr>
        <w:t>-------------------------------------------</w:t>
      </w:r>
    </w:p>
    <w:p w:rsidR="00EF3848" w:rsidRPr="00330343" w:rsidRDefault="00EF3848" w:rsidP="00EF3848">
      <w:pPr>
        <w:jc w:val="center"/>
        <w:rPr>
          <w:rFonts w:ascii="Times New Roman" w:eastAsia="Times New Roman" w:hAnsi="Times New Roman" w:cs="Times New Roman"/>
          <w:i/>
          <w:color w:val="000000"/>
          <w:szCs w:val="24"/>
        </w:rPr>
      </w:pPr>
      <w:r w:rsidRPr="00330343">
        <w:rPr>
          <w:rFonts w:ascii="Times New Roman" w:hAnsi="Times New Roman" w:cs="Times New Roman"/>
          <w:i/>
          <w:color w:val="000000"/>
          <w:szCs w:val="24"/>
        </w:rPr>
        <w:t>§ 6</w:t>
      </w:r>
    </w:p>
    <w:p w:rsidR="00EF3848" w:rsidRPr="00330343" w:rsidRDefault="00EF3848" w:rsidP="00EF3848">
      <w:pPr>
        <w:jc w:val="center"/>
        <w:rPr>
          <w:rFonts w:ascii="Times New Roman" w:eastAsia="Times New Roman" w:hAnsi="Times New Roman" w:cs="Times New Roman"/>
          <w:i/>
          <w:color w:val="000000"/>
          <w:szCs w:val="24"/>
        </w:rPr>
      </w:pPr>
      <w:r w:rsidRPr="00330343">
        <w:rPr>
          <w:rFonts w:ascii="Times New Roman" w:hAnsi="Times New Roman" w:cs="Times New Roman"/>
          <w:i/>
          <w:color w:val="000000"/>
          <w:szCs w:val="24"/>
        </w:rPr>
        <w:t>Undtagelser fra tilladelse</w:t>
      </w:r>
    </w:p>
    <w:p w:rsidR="00EF3848" w:rsidRPr="00330343" w:rsidRDefault="00EF3848" w:rsidP="00EF3848">
      <w:pPr>
        <w:pStyle w:val="Default"/>
        <w:rPr>
          <w:rFonts w:ascii="Times New Roman" w:hAnsi="Times New Roman" w:cs="Times New Roman"/>
          <w:sz w:val="22"/>
        </w:rPr>
      </w:pPr>
      <w:r w:rsidRPr="00330343">
        <w:rPr>
          <w:rFonts w:ascii="Times New Roman" w:hAnsi="Times New Roman" w:cs="Times New Roman"/>
          <w:sz w:val="22"/>
        </w:rPr>
        <w:t>Som undtagelse fra § 5 ovenfor:</w:t>
      </w:r>
    </w:p>
    <w:p w:rsidR="009648DD" w:rsidRPr="00330343" w:rsidRDefault="009648DD" w:rsidP="009648DD">
      <w:pPr>
        <w:pStyle w:val="Default"/>
        <w:jc w:val="center"/>
        <w:rPr>
          <w:rFonts w:ascii="Times New Roman" w:hAnsi="Times New Roman" w:cs="Times New Roman"/>
          <w:sz w:val="22"/>
        </w:rPr>
      </w:pPr>
      <w:r w:rsidRPr="00330343">
        <w:rPr>
          <w:rFonts w:ascii="Times New Roman" w:hAnsi="Times New Roman" w:cs="Times New Roman"/>
          <w:b/>
          <w:sz w:val="22"/>
        </w:rPr>
        <w:t>-------------------------------------------</w:t>
      </w:r>
    </w:p>
    <w:p w:rsidR="00EF3848" w:rsidRPr="00330343" w:rsidRDefault="00EF3848" w:rsidP="00EF3848">
      <w:pPr>
        <w:pStyle w:val="Default"/>
        <w:rPr>
          <w:rFonts w:ascii="Times New Roman" w:hAnsi="Times New Roman" w:cs="Times New Roman"/>
          <w:sz w:val="22"/>
        </w:rPr>
      </w:pPr>
      <w:r w:rsidRPr="00330343">
        <w:rPr>
          <w:rFonts w:ascii="Times New Roman" w:hAnsi="Times New Roman" w:cs="Times New Roman"/>
          <w:sz w:val="22"/>
        </w:rPr>
        <w:t>8) er engrossalg af alkoholholdige drikkevarer til Finland tilladt.</w:t>
      </w:r>
    </w:p>
    <w:p w:rsidR="00EF3848" w:rsidRPr="00330343" w:rsidRDefault="00EF3848" w:rsidP="00EF3848">
      <w:pPr>
        <w:pStyle w:val="Default"/>
        <w:jc w:val="center"/>
        <w:rPr>
          <w:rFonts w:ascii="Times New Roman" w:hAnsi="Times New Roman" w:cs="Times New Roman"/>
          <w:sz w:val="22"/>
        </w:rPr>
      </w:pPr>
      <w:r w:rsidRPr="00330343">
        <w:rPr>
          <w:rFonts w:ascii="Times New Roman" w:hAnsi="Times New Roman" w:cs="Times New Roman"/>
          <w:b/>
          <w:sz w:val="22"/>
        </w:rPr>
        <w:t>-------------------------------------------</w:t>
      </w:r>
    </w:p>
    <w:p w:rsidR="006A1CEB" w:rsidRPr="00330343" w:rsidRDefault="006A1CEB" w:rsidP="006A1CEB">
      <w:pPr>
        <w:jc w:val="center"/>
        <w:rPr>
          <w:rFonts w:ascii="Times New Roman" w:hAnsi="Times New Roman" w:cs="Times New Roman"/>
          <w:szCs w:val="24"/>
        </w:rPr>
      </w:pPr>
    </w:p>
    <w:p w:rsidR="006A1CEB" w:rsidRPr="00330343" w:rsidRDefault="007C0466" w:rsidP="006A1CEB">
      <w:pPr>
        <w:jc w:val="center"/>
        <w:rPr>
          <w:rFonts w:ascii="Times New Roman" w:hAnsi="Times New Roman" w:cs="Times New Roman"/>
          <w:szCs w:val="24"/>
        </w:rPr>
      </w:pPr>
      <w:r w:rsidRPr="00330343">
        <w:rPr>
          <w:rFonts w:ascii="Times New Roman" w:hAnsi="Times New Roman" w:cs="Times New Roman"/>
          <w:szCs w:val="24"/>
        </w:rPr>
        <w:t>§ 32</w:t>
      </w:r>
    </w:p>
    <w:p w:rsidR="006A1CEB" w:rsidRPr="00330343" w:rsidRDefault="007C0466" w:rsidP="006A1CEB">
      <w:pPr>
        <w:jc w:val="center"/>
        <w:rPr>
          <w:rFonts w:ascii="Times New Roman" w:hAnsi="Times New Roman" w:cs="Times New Roman"/>
          <w:i/>
          <w:szCs w:val="24"/>
        </w:rPr>
      </w:pPr>
      <w:r w:rsidRPr="00330343">
        <w:rPr>
          <w:rFonts w:ascii="Times New Roman" w:hAnsi="Times New Roman" w:cs="Times New Roman"/>
          <w:i/>
          <w:szCs w:val="24"/>
        </w:rPr>
        <w:t>Indførsel af alkoholholdige drikkevarer</w:t>
      </w:r>
    </w:p>
    <w:p w:rsidR="007C0466" w:rsidRPr="005367EF" w:rsidRDefault="007C0466" w:rsidP="00C51AA4">
      <w:pPr>
        <w:spacing w:before="100" w:beforeAutospacing="1" w:after="100" w:afterAutospacing="1" w:line="240" w:lineRule="auto"/>
        <w:jc w:val="both"/>
        <w:rPr>
          <w:rFonts w:ascii="Times New Roman" w:eastAsia="Times New Roman" w:hAnsi="Times New Roman" w:cs="Times New Roman"/>
          <w:sz w:val="24"/>
          <w:szCs w:val="24"/>
        </w:rPr>
      </w:pPr>
      <w:r w:rsidRPr="005367EF">
        <w:rPr>
          <w:rFonts w:ascii="Times New Roman" w:hAnsi="Times New Roman" w:cs="Times New Roman"/>
          <w:sz w:val="24"/>
          <w:szCs w:val="24"/>
        </w:rPr>
        <w:t>Alkoholholdige drikkevarer kan uden en indførselstilladelse indføres til personligt forbrug og til kommercielle eller andre forretningsmæssige aktiviteter.</w:t>
      </w:r>
    </w:p>
    <w:p w:rsidR="007C0466" w:rsidRPr="005367EF" w:rsidRDefault="007C0466" w:rsidP="00C51AA4">
      <w:pPr>
        <w:spacing w:before="100" w:beforeAutospacing="1" w:after="100" w:afterAutospacing="1" w:line="240" w:lineRule="auto"/>
        <w:jc w:val="both"/>
        <w:rPr>
          <w:rFonts w:ascii="Times New Roman" w:hAnsi="Times New Roman" w:cs="Times New Roman"/>
          <w:sz w:val="24"/>
          <w:szCs w:val="24"/>
        </w:rPr>
      </w:pPr>
      <w:r w:rsidRPr="005367EF">
        <w:rPr>
          <w:rFonts w:ascii="Times New Roman" w:hAnsi="Times New Roman" w:cs="Times New Roman"/>
          <w:sz w:val="24"/>
          <w:szCs w:val="24"/>
        </w:rPr>
        <w:t>Bestemmelserne i § 5, stk. 1, og § 6 vedrørende salget af alkoholholdige drikkevarer gælder også for salget af indførte alkoholholdige drikkevarer. Alkoholholdige drikkevarer, der indeholder mere end 2,8 procent ethylalkohol udtrykt i volumen, og som sælges via grænseoverskridende fjernsalg, må ikke indføres til Finland.</w:t>
      </w:r>
    </w:p>
    <w:p w:rsidR="00E3483E" w:rsidRPr="005367EF" w:rsidRDefault="00E3483E" w:rsidP="00C51AA4">
      <w:pPr>
        <w:pStyle w:val="Default"/>
        <w:jc w:val="both"/>
        <w:rPr>
          <w:rFonts w:ascii="Times New Roman" w:hAnsi="Times New Roman" w:cs="Times New Roman"/>
          <w:color w:val="auto"/>
        </w:rPr>
      </w:pPr>
      <w:r w:rsidRPr="005367EF">
        <w:rPr>
          <w:rFonts w:ascii="Times New Roman" w:hAnsi="Times New Roman" w:cs="Times New Roman"/>
          <w:color w:val="auto"/>
        </w:rPr>
        <w:t>Hvis alkoholholdige drikkevarer indføres til personligt forbrug som omtalt i § 74 i loven om punktafgifter, skal leverancen ledsages af et dokument, der identificerer leverancen, og som skal fremlægges for toldmyndighederne efter anmodning.</w:t>
      </w:r>
    </w:p>
    <w:sectPr w:rsidR="00E3483E" w:rsidRPr="005367EF" w:rsidSect="00562E6B">
      <w:headerReference w:type="default" r:id="rId7"/>
      <w:footerReference w:type="default" r:id="rId8"/>
      <w:headerReference w:type="first" r:id="rId9"/>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901" w:rsidRDefault="00222901" w:rsidP="008E0F4A">
      <w:r>
        <w:separator/>
      </w:r>
    </w:p>
  </w:endnote>
  <w:endnote w:type="continuationSeparator" w:id="0">
    <w:p w:rsidR="00222901" w:rsidRDefault="00222901"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03C" w:rsidRDefault="0043303C" w:rsidP="00FA6ACE">
    <w:pPr>
      <w:pStyle w:val="Footer"/>
      <w:ind w:right="28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901" w:rsidRDefault="00222901" w:rsidP="008E0F4A">
      <w:r>
        <w:separator/>
      </w:r>
    </w:p>
  </w:footnote>
  <w:footnote w:type="continuationSeparator" w:id="0">
    <w:p w:rsidR="00222901" w:rsidRDefault="00222901" w:rsidP="008E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399"/>
      <w:docPartObj>
        <w:docPartGallery w:val="Page Numbers (Top of Page)"/>
        <w:docPartUnique/>
      </w:docPartObj>
    </w:sdtPr>
    <w:sdtEndPr/>
    <w:sdtContent>
      <w:p w:rsidR="0043303C" w:rsidRDefault="0043303C" w:rsidP="00D715FE">
        <w:pPr>
          <w:ind w:right="-143" w:firstLine="8789"/>
          <w:jc w:val="center"/>
        </w:pPr>
        <w:r>
          <w:fldChar w:fldCharType="begin"/>
        </w:r>
        <w:r>
          <w:instrText xml:space="preserve"> PAGE   \* MERGEFORMAT </w:instrText>
        </w:r>
        <w:r>
          <w:fldChar w:fldCharType="separate"/>
        </w:r>
        <w:r w:rsidR="00330343">
          <w:rPr>
            <w:noProof/>
          </w:rPr>
          <w:t>9</w:t>
        </w:r>
        <w:r>
          <w:fldChar w:fldCharType="end"/>
        </w:r>
        <w:r>
          <w:t>(</w:t>
        </w:r>
        <w:r w:rsidR="005367EF">
          <w:rPr>
            <w:noProof/>
          </w:rPr>
          <w:fldChar w:fldCharType="begin"/>
        </w:r>
        <w:r w:rsidR="005367EF">
          <w:rPr>
            <w:noProof/>
          </w:rPr>
          <w:instrText xml:space="preserve"> NUMPAGES   \* MERGEFORMAT </w:instrText>
        </w:r>
        <w:r w:rsidR="005367EF">
          <w:rPr>
            <w:noProof/>
          </w:rPr>
          <w:fldChar w:fldCharType="separate"/>
        </w:r>
        <w:r w:rsidR="00330343">
          <w:rPr>
            <w:noProof/>
          </w:rPr>
          <w:t>11</w:t>
        </w:r>
        <w:r w:rsidR="005367EF">
          <w:rPr>
            <w:noProof/>
          </w:rPr>
          <w:fldChar w:fldCharType="end"/>
        </w:r>
        <w:r>
          <w:t>)</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400"/>
      <w:docPartObj>
        <w:docPartGallery w:val="Page Numbers (Top of Page)"/>
        <w:docPartUnique/>
      </w:docPartObj>
    </w:sdtPr>
    <w:sdtEndPr/>
    <w:sdtContent>
      <w:p w:rsidR="0043303C" w:rsidRDefault="0043303C" w:rsidP="00562E6B">
        <w:pPr>
          <w:ind w:right="-143" w:firstLine="8789"/>
          <w:jc w:val="right"/>
        </w:pPr>
        <w:r>
          <w:fldChar w:fldCharType="begin"/>
        </w:r>
        <w:r>
          <w:instrText xml:space="preserve"> PAGE   \* MERGEFORMAT </w:instrText>
        </w:r>
        <w:r>
          <w:fldChar w:fldCharType="separate"/>
        </w:r>
        <w:r w:rsidR="00330343">
          <w:rPr>
            <w:noProof/>
          </w:rPr>
          <w:t>1</w:t>
        </w:r>
        <w:r>
          <w:fldChar w:fldCharType="end"/>
        </w:r>
        <w:r>
          <w:t>(</w:t>
        </w:r>
        <w:r w:rsidR="005367EF">
          <w:rPr>
            <w:noProof/>
          </w:rPr>
          <w:fldChar w:fldCharType="begin"/>
        </w:r>
        <w:r w:rsidR="005367EF">
          <w:rPr>
            <w:noProof/>
          </w:rPr>
          <w:instrText xml:space="preserve"> NUMPAGES   \* MERGEFORMAT </w:instrText>
        </w:r>
        <w:r w:rsidR="005367EF">
          <w:rPr>
            <w:noProof/>
          </w:rPr>
          <w:fldChar w:fldCharType="separate"/>
        </w:r>
        <w:r w:rsidR="00330343">
          <w:rPr>
            <w:noProof/>
          </w:rPr>
          <w:t>11</w:t>
        </w:r>
        <w:r w:rsidR="005367EF">
          <w:rPr>
            <w:noProof/>
          </w:rPr>
          <w:fldChar w:fldCharType="end"/>
        </w:r>
        <w:r>
          <w:t>)</w:t>
        </w:r>
      </w:p>
      <w:p w:rsidR="0043303C" w:rsidRDefault="003466CD" w:rsidP="00D715FE">
        <w:pPr>
          <w:tabs>
            <w:tab w:val="left" w:pos="5220"/>
          </w:tabs>
        </w:pPr>
        <w:r>
          <w:t>Social- og sundhedsministeriet</w:t>
        </w:r>
        <w:r>
          <w:tab/>
          <w:t>6. juli 2018</w:t>
        </w:r>
      </w:p>
    </w:sdtContent>
  </w:sdt>
  <w:p w:rsidR="0043303C" w:rsidRDefault="003466CD" w:rsidP="00CB4C78">
    <w:r>
      <w:t>Ministeriet for velfærd og tjenesteydelser</w:t>
    </w:r>
  </w:p>
  <w:p w:rsidR="0043303C" w:rsidRDefault="0043303C" w:rsidP="00CB4C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312CD"/>
    <w:multiLevelType w:val="hybridMultilevel"/>
    <w:tmpl w:val="ECAC2F20"/>
    <w:lvl w:ilvl="0" w:tplc="48B0F9C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3"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4" w15:restartNumberingAfterBreak="0">
    <w:nsid w:val="0E1A27AB"/>
    <w:multiLevelType w:val="hybridMultilevel"/>
    <w:tmpl w:val="A7645AB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BB370F"/>
    <w:multiLevelType w:val="hybridMultilevel"/>
    <w:tmpl w:val="4E42AB68"/>
    <w:lvl w:ilvl="0" w:tplc="3ED8301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8A73E25"/>
    <w:multiLevelType w:val="hybridMultilevel"/>
    <w:tmpl w:val="B0482C5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2D112342"/>
    <w:multiLevelType w:val="hybridMultilevel"/>
    <w:tmpl w:val="5484B7C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E343436"/>
    <w:multiLevelType w:val="multilevel"/>
    <w:tmpl w:val="8982BD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EE4561"/>
    <w:multiLevelType w:val="hybridMultilevel"/>
    <w:tmpl w:val="5B1228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31676905"/>
    <w:multiLevelType w:val="hybridMultilevel"/>
    <w:tmpl w:val="7C9021E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409064D"/>
    <w:multiLevelType w:val="hybridMultilevel"/>
    <w:tmpl w:val="A56CB74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AE34967"/>
    <w:multiLevelType w:val="hybridMultilevel"/>
    <w:tmpl w:val="EB2213BE"/>
    <w:lvl w:ilvl="0" w:tplc="61265A48">
      <w:start w:val="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3EFC0994"/>
    <w:multiLevelType w:val="multilevel"/>
    <w:tmpl w:val="4F70FAA6"/>
    <w:lvl w:ilvl="0">
      <w:start w:val="3"/>
      <w:numFmt w:val="decimal"/>
      <w:lvlText w:val="%1."/>
      <w:lvlJc w:val="left"/>
      <w:pPr>
        <w:ind w:left="360" w:hanging="360"/>
      </w:pPr>
      <w:rPr>
        <w:rFonts w:eastAsia="Times New Roman" w:hint="default"/>
        <w:b/>
        <w:sz w:val="24"/>
      </w:rPr>
    </w:lvl>
    <w:lvl w:ilvl="1">
      <w:start w:val="3"/>
      <w:numFmt w:val="decimal"/>
      <w:lvlText w:val="%1.%2."/>
      <w:lvlJc w:val="left"/>
      <w:pPr>
        <w:ind w:left="720" w:hanging="360"/>
      </w:pPr>
      <w:rPr>
        <w:rFonts w:eastAsia="Times New Roman" w:hint="default"/>
        <w:b/>
        <w:sz w:val="24"/>
      </w:rPr>
    </w:lvl>
    <w:lvl w:ilvl="2">
      <w:start w:val="1"/>
      <w:numFmt w:val="decimal"/>
      <w:lvlText w:val="%1.%2.%3."/>
      <w:lvlJc w:val="left"/>
      <w:pPr>
        <w:ind w:left="1440" w:hanging="720"/>
      </w:pPr>
      <w:rPr>
        <w:rFonts w:eastAsia="Times New Roman" w:hint="default"/>
        <w:b/>
        <w:sz w:val="24"/>
      </w:rPr>
    </w:lvl>
    <w:lvl w:ilvl="3">
      <w:start w:val="1"/>
      <w:numFmt w:val="decimal"/>
      <w:lvlText w:val="%1.%2.%3.%4."/>
      <w:lvlJc w:val="left"/>
      <w:pPr>
        <w:ind w:left="1800" w:hanging="720"/>
      </w:pPr>
      <w:rPr>
        <w:rFonts w:eastAsia="Times New Roman" w:hint="default"/>
        <w:b/>
        <w:sz w:val="24"/>
      </w:rPr>
    </w:lvl>
    <w:lvl w:ilvl="4">
      <w:start w:val="1"/>
      <w:numFmt w:val="decimal"/>
      <w:lvlText w:val="%1.%2.%3.%4.%5."/>
      <w:lvlJc w:val="left"/>
      <w:pPr>
        <w:ind w:left="2520" w:hanging="1080"/>
      </w:pPr>
      <w:rPr>
        <w:rFonts w:eastAsia="Times New Roman" w:hint="default"/>
        <w:b/>
        <w:sz w:val="24"/>
      </w:rPr>
    </w:lvl>
    <w:lvl w:ilvl="5">
      <w:start w:val="1"/>
      <w:numFmt w:val="decimal"/>
      <w:lvlText w:val="%1.%2.%3.%4.%5.%6."/>
      <w:lvlJc w:val="left"/>
      <w:pPr>
        <w:ind w:left="2880" w:hanging="1080"/>
      </w:pPr>
      <w:rPr>
        <w:rFonts w:eastAsia="Times New Roman" w:hint="default"/>
        <w:b/>
        <w:sz w:val="24"/>
      </w:rPr>
    </w:lvl>
    <w:lvl w:ilvl="6">
      <w:start w:val="1"/>
      <w:numFmt w:val="decimal"/>
      <w:lvlText w:val="%1.%2.%3.%4.%5.%6.%7."/>
      <w:lvlJc w:val="left"/>
      <w:pPr>
        <w:ind w:left="3600" w:hanging="1440"/>
      </w:pPr>
      <w:rPr>
        <w:rFonts w:eastAsia="Times New Roman" w:hint="default"/>
        <w:b/>
        <w:sz w:val="24"/>
      </w:rPr>
    </w:lvl>
    <w:lvl w:ilvl="7">
      <w:start w:val="1"/>
      <w:numFmt w:val="decimal"/>
      <w:lvlText w:val="%1.%2.%3.%4.%5.%6.%7.%8."/>
      <w:lvlJc w:val="left"/>
      <w:pPr>
        <w:ind w:left="3960" w:hanging="1440"/>
      </w:pPr>
      <w:rPr>
        <w:rFonts w:eastAsia="Times New Roman" w:hint="default"/>
        <w:b/>
        <w:sz w:val="24"/>
      </w:rPr>
    </w:lvl>
    <w:lvl w:ilvl="8">
      <w:start w:val="1"/>
      <w:numFmt w:val="decimal"/>
      <w:lvlText w:val="%1.%2.%3.%4.%5.%6.%7.%8.%9."/>
      <w:lvlJc w:val="left"/>
      <w:pPr>
        <w:ind w:left="4680" w:hanging="1800"/>
      </w:pPr>
      <w:rPr>
        <w:rFonts w:eastAsia="Times New Roman" w:hint="default"/>
        <w:b/>
        <w:sz w:val="24"/>
      </w:rPr>
    </w:lvl>
  </w:abstractNum>
  <w:abstractNum w:abstractNumId="14"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5" w15:restartNumberingAfterBreak="0">
    <w:nsid w:val="47472394"/>
    <w:multiLevelType w:val="hybridMultilevel"/>
    <w:tmpl w:val="B5FAC7B0"/>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6" w15:restartNumberingAfterBreak="0">
    <w:nsid w:val="4B3754EC"/>
    <w:multiLevelType w:val="multilevel"/>
    <w:tmpl w:val="245C2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F48CA"/>
    <w:multiLevelType w:val="hybridMultilevel"/>
    <w:tmpl w:val="E652802A"/>
    <w:lvl w:ilvl="0" w:tplc="717E49CE">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8B674F3"/>
    <w:multiLevelType w:val="hybridMultilevel"/>
    <w:tmpl w:val="6A5CA7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B3A76DD"/>
    <w:multiLevelType w:val="hybridMultilevel"/>
    <w:tmpl w:val="E18E94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FC66D42"/>
    <w:multiLevelType w:val="hybridMultilevel"/>
    <w:tmpl w:val="0FACB890"/>
    <w:lvl w:ilvl="0" w:tplc="040B0011">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19"/>
  </w:num>
  <w:num w:numId="2">
    <w:abstractNumId w:val="23"/>
  </w:num>
  <w:num w:numId="3">
    <w:abstractNumId w:val="1"/>
  </w:num>
  <w:num w:numId="4">
    <w:abstractNumId w:val="2"/>
  </w:num>
  <w:num w:numId="5">
    <w:abstractNumId w:val="22"/>
  </w:num>
  <w:num w:numId="6">
    <w:abstractNumId w:val="14"/>
  </w:num>
  <w:num w:numId="7">
    <w:abstractNumId w:val="14"/>
  </w:num>
  <w:num w:numId="8">
    <w:abstractNumId w:val="3"/>
  </w:num>
  <w:num w:numId="9">
    <w:abstractNumId w:val="12"/>
  </w:num>
  <w:num w:numId="10">
    <w:abstractNumId w:val="6"/>
  </w:num>
  <w:num w:numId="11">
    <w:abstractNumId w:val="4"/>
  </w:num>
  <w:num w:numId="12">
    <w:abstractNumId w:val="17"/>
  </w:num>
  <w:num w:numId="13">
    <w:abstractNumId w:val="20"/>
  </w:num>
  <w:num w:numId="14">
    <w:abstractNumId w:val="0"/>
  </w:num>
  <w:num w:numId="15">
    <w:abstractNumId w:val="11"/>
  </w:num>
  <w:num w:numId="16">
    <w:abstractNumId w:val="21"/>
  </w:num>
  <w:num w:numId="17">
    <w:abstractNumId w:val="10"/>
  </w:num>
  <w:num w:numId="18">
    <w:abstractNumId w:val="18"/>
  </w:num>
  <w:num w:numId="19">
    <w:abstractNumId w:val="7"/>
  </w:num>
  <w:num w:numId="20">
    <w:abstractNumId w:val="9"/>
  </w:num>
  <w:num w:numId="21">
    <w:abstractNumId w:val="16"/>
  </w:num>
  <w:num w:numId="22">
    <w:abstractNumId w:val="15"/>
  </w:num>
  <w:num w:numId="23">
    <w:abstractNumId w:val="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60"/>
    <w:rsid w:val="0001085A"/>
    <w:rsid w:val="00016E55"/>
    <w:rsid w:val="00020721"/>
    <w:rsid w:val="0003159B"/>
    <w:rsid w:val="0003182E"/>
    <w:rsid w:val="00043147"/>
    <w:rsid w:val="00045B5B"/>
    <w:rsid w:val="00050AC8"/>
    <w:rsid w:val="00053D44"/>
    <w:rsid w:val="00057037"/>
    <w:rsid w:val="00063ECB"/>
    <w:rsid w:val="000659DE"/>
    <w:rsid w:val="00075991"/>
    <w:rsid w:val="00082F80"/>
    <w:rsid w:val="00094D4A"/>
    <w:rsid w:val="00095018"/>
    <w:rsid w:val="000B3024"/>
    <w:rsid w:val="000C272A"/>
    <w:rsid w:val="000D3235"/>
    <w:rsid w:val="000F75F9"/>
    <w:rsid w:val="001011BC"/>
    <w:rsid w:val="0010412A"/>
    <w:rsid w:val="00105CF0"/>
    <w:rsid w:val="00107CAE"/>
    <w:rsid w:val="001152BD"/>
    <w:rsid w:val="0012492F"/>
    <w:rsid w:val="00135D83"/>
    <w:rsid w:val="001431B7"/>
    <w:rsid w:val="00144D34"/>
    <w:rsid w:val="00147111"/>
    <w:rsid w:val="00151941"/>
    <w:rsid w:val="00155F3B"/>
    <w:rsid w:val="00173834"/>
    <w:rsid w:val="001776E9"/>
    <w:rsid w:val="00177F91"/>
    <w:rsid w:val="00185B55"/>
    <w:rsid w:val="001B078B"/>
    <w:rsid w:val="001C3BCC"/>
    <w:rsid w:val="001D1AF5"/>
    <w:rsid w:val="001D331F"/>
    <w:rsid w:val="001D5E3E"/>
    <w:rsid w:val="001E5F86"/>
    <w:rsid w:val="001F70AF"/>
    <w:rsid w:val="00210152"/>
    <w:rsid w:val="00213F7A"/>
    <w:rsid w:val="00222901"/>
    <w:rsid w:val="00234C94"/>
    <w:rsid w:val="002373F4"/>
    <w:rsid w:val="00250387"/>
    <w:rsid w:val="00282988"/>
    <w:rsid w:val="00292DED"/>
    <w:rsid w:val="002979F5"/>
    <w:rsid w:val="002A13C4"/>
    <w:rsid w:val="002D31CC"/>
    <w:rsid w:val="002D72CF"/>
    <w:rsid w:val="002E00FB"/>
    <w:rsid w:val="002E38C4"/>
    <w:rsid w:val="00300ECD"/>
    <w:rsid w:val="00307C47"/>
    <w:rsid w:val="003268C9"/>
    <w:rsid w:val="00330343"/>
    <w:rsid w:val="00340E73"/>
    <w:rsid w:val="003434B1"/>
    <w:rsid w:val="003466CD"/>
    <w:rsid w:val="00346B03"/>
    <w:rsid w:val="00360640"/>
    <w:rsid w:val="003664D1"/>
    <w:rsid w:val="003674A3"/>
    <w:rsid w:val="00367C90"/>
    <w:rsid w:val="003765CD"/>
    <w:rsid w:val="003766A6"/>
    <w:rsid w:val="00393411"/>
    <w:rsid w:val="003A2869"/>
    <w:rsid w:val="003B6A80"/>
    <w:rsid w:val="003D0EE8"/>
    <w:rsid w:val="003E27C2"/>
    <w:rsid w:val="00416F73"/>
    <w:rsid w:val="00424B29"/>
    <w:rsid w:val="0043303C"/>
    <w:rsid w:val="00446E3A"/>
    <w:rsid w:val="0047233E"/>
    <w:rsid w:val="0048163A"/>
    <w:rsid w:val="0048242B"/>
    <w:rsid w:val="00486BE8"/>
    <w:rsid w:val="004A196F"/>
    <w:rsid w:val="004C5212"/>
    <w:rsid w:val="004C6B33"/>
    <w:rsid w:val="004D33EC"/>
    <w:rsid w:val="004E719A"/>
    <w:rsid w:val="0050139B"/>
    <w:rsid w:val="00507C26"/>
    <w:rsid w:val="005146D4"/>
    <w:rsid w:val="0051596E"/>
    <w:rsid w:val="0052100C"/>
    <w:rsid w:val="005367EF"/>
    <w:rsid w:val="005439FB"/>
    <w:rsid w:val="00550210"/>
    <w:rsid w:val="005512A4"/>
    <w:rsid w:val="00562E6B"/>
    <w:rsid w:val="005834E9"/>
    <w:rsid w:val="0059671F"/>
    <w:rsid w:val="005E2602"/>
    <w:rsid w:val="005E2B8D"/>
    <w:rsid w:val="005F1CA8"/>
    <w:rsid w:val="005F364E"/>
    <w:rsid w:val="00606BB4"/>
    <w:rsid w:val="006131C2"/>
    <w:rsid w:val="00615909"/>
    <w:rsid w:val="00615C4B"/>
    <w:rsid w:val="00630936"/>
    <w:rsid w:val="00692A24"/>
    <w:rsid w:val="006A1CEB"/>
    <w:rsid w:val="006A4A91"/>
    <w:rsid w:val="006D1604"/>
    <w:rsid w:val="006D40F8"/>
    <w:rsid w:val="006D6C2D"/>
    <w:rsid w:val="006E017B"/>
    <w:rsid w:val="006E04C3"/>
    <w:rsid w:val="007142B9"/>
    <w:rsid w:val="00722420"/>
    <w:rsid w:val="00751AA4"/>
    <w:rsid w:val="00760E7B"/>
    <w:rsid w:val="0076257D"/>
    <w:rsid w:val="007642CB"/>
    <w:rsid w:val="00765E4F"/>
    <w:rsid w:val="007729CF"/>
    <w:rsid w:val="00783B52"/>
    <w:rsid w:val="00785D97"/>
    <w:rsid w:val="00786462"/>
    <w:rsid w:val="00790C7B"/>
    <w:rsid w:val="007A2489"/>
    <w:rsid w:val="007A4B07"/>
    <w:rsid w:val="007A74D4"/>
    <w:rsid w:val="007B4560"/>
    <w:rsid w:val="007B4E42"/>
    <w:rsid w:val="007C0466"/>
    <w:rsid w:val="007C2B22"/>
    <w:rsid w:val="007C313B"/>
    <w:rsid w:val="007F40C0"/>
    <w:rsid w:val="00811D8D"/>
    <w:rsid w:val="00813FDF"/>
    <w:rsid w:val="008200A9"/>
    <w:rsid w:val="008327EE"/>
    <w:rsid w:val="008328B1"/>
    <w:rsid w:val="00834014"/>
    <w:rsid w:val="00834629"/>
    <w:rsid w:val="008559F2"/>
    <w:rsid w:val="008604E6"/>
    <w:rsid w:val="00885EDF"/>
    <w:rsid w:val="008900F4"/>
    <w:rsid w:val="008A0773"/>
    <w:rsid w:val="008A4280"/>
    <w:rsid w:val="008C71D4"/>
    <w:rsid w:val="008D6548"/>
    <w:rsid w:val="008E0F4A"/>
    <w:rsid w:val="008E647C"/>
    <w:rsid w:val="00906E49"/>
    <w:rsid w:val="0090707E"/>
    <w:rsid w:val="0091510E"/>
    <w:rsid w:val="00942E22"/>
    <w:rsid w:val="0094316D"/>
    <w:rsid w:val="00963662"/>
    <w:rsid w:val="009648DD"/>
    <w:rsid w:val="00992E1C"/>
    <w:rsid w:val="009B230C"/>
    <w:rsid w:val="009B6311"/>
    <w:rsid w:val="009C096E"/>
    <w:rsid w:val="009C7B11"/>
    <w:rsid w:val="009D222E"/>
    <w:rsid w:val="009E07A1"/>
    <w:rsid w:val="00A03F7B"/>
    <w:rsid w:val="00A135F7"/>
    <w:rsid w:val="00A24604"/>
    <w:rsid w:val="00A5142E"/>
    <w:rsid w:val="00A610CB"/>
    <w:rsid w:val="00A612FC"/>
    <w:rsid w:val="00A61390"/>
    <w:rsid w:val="00A61A0F"/>
    <w:rsid w:val="00A64BD2"/>
    <w:rsid w:val="00A75231"/>
    <w:rsid w:val="00A90735"/>
    <w:rsid w:val="00AA5350"/>
    <w:rsid w:val="00AB2863"/>
    <w:rsid w:val="00AB6A8C"/>
    <w:rsid w:val="00AC4D8E"/>
    <w:rsid w:val="00AF2EBD"/>
    <w:rsid w:val="00AF3346"/>
    <w:rsid w:val="00B13889"/>
    <w:rsid w:val="00B42986"/>
    <w:rsid w:val="00B5536F"/>
    <w:rsid w:val="00B627A6"/>
    <w:rsid w:val="00B63D4C"/>
    <w:rsid w:val="00B972F3"/>
    <w:rsid w:val="00BC782D"/>
    <w:rsid w:val="00BC7FC0"/>
    <w:rsid w:val="00BE4CA3"/>
    <w:rsid w:val="00BF06A8"/>
    <w:rsid w:val="00BF2DEB"/>
    <w:rsid w:val="00BF2E2E"/>
    <w:rsid w:val="00BF59AF"/>
    <w:rsid w:val="00C21181"/>
    <w:rsid w:val="00C219C0"/>
    <w:rsid w:val="00C51AA4"/>
    <w:rsid w:val="00CA5A3C"/>
    <w:rsid w:val="00CB4C78"/>
    <w:rsid w:val="00CC62E8"/>
    <w:rsid w:val="00CD4A95"/>
    <w:rsid w:val="00CE3360"/>
    <w:rsid w:val="00D04209"/>
    <w:rsid w:val="00D05785"/>
    <w:rsid w:val="00D06353"/>
    <w:rsid w:val="00D152C9"/>
    <w:rsid w:val="00D25AD2"/>
    <w:rsid w:val="00D35E49"/>
    <w:rsid w:val="00D44B33"/>
    <w:rsid w:val="00D4567A"/>
    <w:rsid w:val="00D55EFF"/>
    <w:rsid w:val="00D60C53"/>
    <w:rsid w:val="00D715FE"/>
    <w:rsid w:val="00D7249B"/>
    <w:rsid w:val="00D76D7A"/>
    <w:rsid w:val="00D87C57"/>
    <w:rsid w:val="00D943A6"/>
    <w:rsid w:val="00DA1B77"/>
    <w:rsid w:val="00DA678C"/>
    <w:rsid w:val="00DA7311"/>
    <w:rsid w:val="00DE107F"/>
    <w:rsid w:val="00DE217C"/>
    <w:rsid w:val="00E07440"/>
    <w:rsid w:val="00E2160A"/>
    <w:rsid w:val="00E32862"/>
    <w:rsid w:val="00E330A7"/>
    <w:rsid w:val="00E3483E"/>
    <w:rsid w:val="00E34F64"/>
    <w:rsid w:val="00E44094"/>
    <w:rsid w:val="00E5139E"/>
    <w:rsid w:val="00E770D5"/>
    <w:rsid w:val="00E90597"/>
    <w:rsid w:val="00EB6414"/>
    <w:rsid w:val="00EF3848"/>
    <w:rsid w:val="00F1469C"/>
    <w:rsid w:val="00F16490"/>
    <w:rsid w:val="00F33320"/>
    <w:rsid w:val="00F63379"/>
    <w:rsid w:val="00F7177D"/>
    <w:rsid w:val="00F734F9"/>
    <w:rsid w:val="00F73B15"/>
    <w:rsid w:val="00F879DE"/>
    <w:rsid w:val="00FA356E"/>
    <w:rsid w:val="00FA5927"/>
    <w:rsid w:val="00FA6ACE"/>
    <w:rsid w:val="00FB16EB"/>
    <w:rsid w:val="00FB5660"/>
    <w:rsid w:val="00FB6ABF"/>
    <w:rsid w:val="00FC564F"/>
    <w:rsid w:val="00FD4804"/>
    <w:rsid w:val="00FD5EFB"/>
    <w:rsid w:val="00FE765E"/>
    <w:rsid w:val="00FF6A81"/>
    <w:rsid w:val="00FF75A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B5CE39F-8D4A-4540-AB3B-FCB581E3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6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rsid w:val="0072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63D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6139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l"/>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Footer">
    <w:name w:val="footer"/>
    <w:basedOn w:val="Normal"/>
    <w:link w:val="FooterChar"/>
    <w:uiPriority w:val="99"/>
    <w:unhideWhenUsed/>
    <w:rsid w:val="008E0F4A"/>
    <w:pPr>
      <w:tabs>
        <w:tab w:val="center" w:pos="4819"/>
        <w:tab w:val="right" w:pos="9638"/>
      </w:tabs>
    </w:pPr>
  </w:style>
  <w:style w:type="character" w:customStyle="1" w:styleId="FooterChar">
    <w:name w:val="Footer Char"/>
    <w:basedOn w:val="DefaultParagraphFont"/>
    <w:link w:val="Footer"/>
    <w:uiPriority w:val="99"/>
    <w:rsid w:val="008E0F4A"/>
    <w:rPr>
      <w:sz w:val="24"/>
      <w:lang w:eastAsia="en-GB"/>
    </w:rPr>
  </w:style>
  <w:style w:type="paragraph" w:styleId="BalloonText">
    <w:name w:val="Balloon Text"/>
    <w:basedOn w:val="Normal"/>
    <w:link w:val="BalloonTextChar"/>
    <w:uiPriority w:val="99"/>
    <w:semiHidden/>
    <w:unhideWhenUsed/>
    <w:rsid w:val="00CB4C78"/>
    <w:rPr>
      <w:rFonts w:ascii="Tahoma" w:hAnsi="Tahoma" w:cs="Tahoma"/>
      <w:sz w:val="16"/>
      <w:szCs w:val="16"/>
    </w:rPr>
  </w:style>
  <w:style w:type="character" w:customStyle="1" w:styleId="BalloonTextChar">
    <w:name w:val="Balloon Text Char"/>
    <w:basedOn w:val="DefaultParagraphFont"/>
    <w:link w:val="BalloonText"/>
    <w:uiPriority w:val="99"/>
    <w:semiHidden/>
    <w:rsid w:val="00CB4C78"/>
    <w:rPr>
      <w:rFonts w:ascii="Tahoma" w:hAnsi="Tahoma" w:cs="Tahoma"/>
      <w:sz w:val="16"/>
      <w:szCs w:val="16"/>
      <w:lang w:eastAsia="en-GB"/>
    </w:rPr>
  </w:style>
  <w:style w:type="character" w:customStyle="1" w:styleId="Heading1Char">
    <w:name w:val="Heading 1 Char"/>
    <w:basedOn w:val="DefaultParagraphFont"/>
    <w:link w:val="Heading1"/>
    <w:uiPriority w:val="9"/>
    <w:rsid w:val="00722420"/>
    <w:rPr>
      <w:rFonts w:asciiTheme="majorHAnsi" w:eastAsiaTheme="majorEastAsia" w:hAnsiTheme="majorHAnsi" w:cstheme="majorBidi"/>
      <w:b/>
      <w:bCs/>
      <w:color w:val="365F91" w:themeColor="accent1" w:themeShade="BF"/>
      <w:sz w:val="28"/>
      <w:szCs w:val="28"/>
      <w:lang w:eastAsia="en-GB"/>
    </w:rPr>
  </w:style>
  <w:style w:type="paragraph" w:styleId="Header">
    <w:name w:val="header"/>
    <w:basedOn w:val="Normal"/>
    <w:link w:val="HeaderChar"/>
    <w:uiPriority w:val="99"/>
    <w:unhideWhenUsed/>
    <w:rsid w:val="009B6311"/>
    <w:pPr>
      <w:tabs>
        <w:tab w:val="center" w:pos="4819"/>
        <w:tab w:val="right" w:pos="9638"/>
      </w:tabs>
    </w:pPr>
  </w:style>
  <w:style w:type="character" w:customStyle="1" w:styleId="HeaderChar">
    <w:name w:val="Header Char"/>
    <w:basedOn w:val="DefaultParagraphFont"/>
    <w:link w:val="Header"/>
    <w:uiPriority w:val="99"/>
    <w:rsid w:val="009B6311"/>
    <w:rPr>
      <w:sz w:val="24"/>
      <w:lang w:eastAsia="en-GB"/>
    </w:rPr>
  </w:style>
  <w:style w:type="character" w:styleId="Emphasis">
    <w:name w:val="Emphasis"/>
    <w:basedOn w:val="DefaultParagraphFont"/>
    <w:uiPriority w:val="20"/>
    <w:qFormat/>
    <w:rsid w:val="00CE3360"/>
    <w:rPr>
      <w:i/>
      <w:iCs/>
    </w:rPr>
  </w:style>
  <w:style w:type="character" w:customStyle="1" w:styleId="Heading3Char">
    <w:name w:val="Heading 3 Char"/>
    <w:basedOn w:val="DefaultParagraphFont"/>
    <w:link w:val="Heading3"/>
    <w:uiPriority w:val="9"/>
    <w:semiHidden/>
    <w:rsid w:val="00B63D4C"/>
    <w:rPr>
      <w:rFonts w:asciiTheme="majorHAnsi" w:eastAsiaTheme="majorEastAsia" w:hAnsiTheme="majorHAnsi" w:cstheme="majorBidi"/>
      <w:color w:val="243F60" w:themeColor="accent1" w:themeShade="7F"/>
      <w:sz w:val="24"/>
      <w:szCs w:val="24"/>
      <w:lang w:eastAsia="en-GB"/>
    </w:rPr>
  </w:style>
  <w:style w:type="paragraph" w:styleId="ListParagraph">
    <w:name w:val="List Paragraph"/>
    <w:basedOn w:val="Normal"/>
    <w:uiPriority w:val="34"/>
    <w:qFormat/>
    <w:rsid w:val="00B63D4C"/>
    <w:pPr>
      <w:spacing w:after="0" w:line="240" w:lineRule="auto"/>
      <w:ind w:left="720"/>
      <w:contextualSpacing/>
    </w:pPr>
    <w:rPr>
      <w:rFonts w:ascii="Times New Roman" w:eastAsia="Times New Roman" w:hAnsi="Times New Roman" w:cs="Times New Roman"/>
      <w:sz w:val="24"/>
      <w:szCs w:val="24"/>
    </w:rPr>
  </w:style>
  <w:style w:type="paragraph" w:customStyle="1" w:styleId="LLPerustelujenkappalejako">
    <w:name w:val="LLPerustelujenkappalejako"/>
    <w:basedOn w:val="Normal"/>
    <w:rsid w:val="005F1CA8"/>
    <w:pPr>
      <w:spacing w:after="220" w:line="220" w:lineRule="exact"/>
      <w:jc w:val="both"/>
    </w:pPr>
    <w:rPr>
      <w:rFonts w:ascii="Times New Roman" w:hAnsi="Times New Roman" w:cs="Times New Roman"/>
    </w:rPr>
  </w:style>
  <w:style w:type="paragraph" w:customStyle="1" w:styleId="Body">
    <w:name w:val="Body"/>
    <w:basedOn w:val="Normal"/>
    <w:uiPriority w:val="99"/>
    <w:rsid w:val="005F1CA8"/>
    <w:pPr>
      <w:autoSpaceDE w:val="0"/>
      <w:autoSpaceDN w:val="0"/>
      <w:spacing w:after="0" w:line="280" w:lineRule="atLeast"/>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A61390"/>
    <w:rPr>
      <w:rFonts w:asciiTheme="majorHAnsi" w:eastAsiaTheme="majorEastAsia" w:hAnsiTheme="majorHAnsi" w:cstheme="majorBidi"/>
      <w:color w:val="365F91" w:themeColor="accent1" w:themeShade="BF"/>
      <w:sz w:val="22"/>
      <w:szCs w:val="22"/>
      <w:lang w:eastAsia="en-GB"/>
    </w:rPr>
  </w:style>
  <w:style w:type="character" w:styleId="CommentReference">
    <w:name w:val="annotation reference"/>
    <w:basedOn w:val="DefaultParagraphFont"/>
    <w:uiPriority w:val="99"/>
    <w:semiHidden/>
    <w:unhideWhenUsed/>
    <w:rsid w:val="00A61390"/>
    <w:rPr>
      <w:sz w:val="16"/>
      <w:szCs w:val="16"/>
    </w:rPr>
  </w:style>
  <w:style w:type="paragraph" w:styleId="CommentText">
    <w:name w:val="annotation text"/>
    <w:basedOn w:val="Normal"/>
    <w:link w:val="CommentTextChar"/>
    <w:uiPriority w:val="99"/>
    <w:semiHidden/>
    <w:unhideWhenUsed/>
    <w:rsid w:val="00A61390"/>
    <w:pPr>
      <w:spacing w:line="240" w:lineRule="auto"/>
    </w:pPr>
    <w:rPr>
      <w:sz w:val="20"/>
      <w:szCs w:val="20"/>
    </w:rPr>
  </w:style>
  <w:style w:type="character" w:customStyle="1" w:styleId="CommentTextChar">
    <w:name w:val="Comment Text Char"/>
    <w:basedOn w:val="DefaultParagraphFont"/>
    <w:link w:val="CommentText"/>
    <w:uiPriority w:val="99"/>
    <w:semiHidden/>
    <w:rsid w:val="00A61390"/>
    <w:rPr>
      <w:rFonts w:asciiTheme="minorHAnsi" w:eastAsiaTheme="minorHAnsi" w:hAnsiTheme="minorHAnsi" w:cstheme="minorBidi"/>
      <w:lang w:eastAsia="en-GB"/>
    </w:rPr>
  </w:style>
  <w:style w:type="paragraph" w:styleId="CommentSubject">
    <w:name w:val="annotation subject"/>
    <w:basedOn w:val="CommentText"/>
    <w:next w:val="CommentText"/>
    <w:link w:val="CommentSubjectChar"/>
    <w:uiPriority w:val="99"/>
    <w:semiHidden/>
    <w:unhideWhenUsed/>
    <w:rsid w:val="00A61390"/>
    <w:rPr>
      <w:b/>
      <w:bCs/>
    </w:rPr>
  </w:style>
  <w:style w:type="character" w:customStyle="1" w:styleId="CommentSubjectChar">
    <w:name w:val="Comment Subject Char"/>
    <w:basedOn w:val="CommentTextChar"/>
    <w:link w:val="CommentSubject"/>
    <w:uiPriority w:val="99"/>
    <w:semiHidden/>
    <w:rsid w:val="00A61390"/>
    <w:rPr>
      <w:rFonts w:asciiTheme="minorHAnsi" w:eastAsiaTheme="minorHAnsi" w:hAnsiTheme="minorHAnsi" w:cstheme="minorBidi"/>
      <w:b/>
      <w:bCs/>
      <w:lang w:eastAsia="en-GB"/>
    </w:rPr>
  </w:style>
  <w:style w:type="paragraph" w:customStyle="1" w:styleId="CM1">
    <w:name w:val="CM1"/>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CM3">
    <w:name w:val="CM3"/>
    <w:basedOn w:val="Normal"/>
    <w:next w:val="Normal"/>
    <w:uiPriority w:val="99"/>
    <w:rsid w:val="00BF2D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BF2DEB"/>
    <w:pPr>
      <w:autoSpaceDE w:val="0"/>
      <w:autoSpaceDN w:val="0"/>
      <w:adjustRightInd w:val="0"/>
    </w:pPr>
    <w:rPr>
      <w:rFonts w:ascii="EUAlbertina" w:hAnsi="EUAlbertina" w:cs="EUAlbertina"/>
      <w:color w:val="000000"/>
      <w:sz w:val="24"/>
      <w:szCs w:val="24"/>
    </w:rPr>
  </w:style>
  <w:style w:type="paragraph" w:customStyle="1" w:styleId="CM4">
    <w:name w:val="CM4"/>
    <w:basedOn w:val="Default"/>
    <w:next w:val="Default"/>
    <w:uiPriority w:val="99"/>
    <w:rsid w:val="00BF2DEB"/>
    <w:rPr>
      <w:rFonts w:cs="Times New Roman"/>
      <w:color w:val="auto"/>
    </w:rPr>
  </w:style>
  <w:style w:type="character" w:styleId="Strong">
    <w:name w:val="Strong"/>
    <w:basedOn w:val="DefaultParagraphFont"/>
    <w:uiPriority w:val="22"/>
    <w:qFormat/>
    <w:rsid w:val="00213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30398">
      <w:bodyDiv w:val="1"/>
      <w:marLeft w:val="0"/>
      <w:marRight w:val="0"/>
      <w:marTop w:val="0"/>
      <w:marBottom w:val="0"/>
      <w:divBdr>
        <w:top w:val="none" w:sz="0" w:space="0" w:color="auto"/>
        <w:left w:val="none" w:sz="0" w:space="0" w:color="auto"/>
        <w:bottom w:val="none" w:sz="0" w:space="0" w:color="auto"/>
        <w:right w:val="none" w:sz="0" w:space="0" w:color="auto"/>
      </w:divBdr>
    </w:div>
    <w:div w:id="359667622">
      <w:bodyDiv w:val="1"/>
      <w:marLeft w:val="0"/>
      <w:marRight w:val="0"/>
      <w:marTop w:val="0"/>
      <w:marBottom w:val="0"/>
      <w:divBdr>
        <w:top w:val="none" w:sz="0" w:space="0" w:color="auto"/>
        <w:left w:val="none" w:sz="0" w:space="0" w:color="auto"/>
        <w:bottom w:val="none" w:sz="0" w:space="0" w:color="auto"/>
        <w:right w:val="none" w:sz="0" w:space="0" w:color="auto"/>
      </w:divBdr>
      <w:divsChild>
        <w:div w:id="713385865">
          <w:marLeft w:val="0"/>
          <w:marRight w:val="0"/>
          <w:marTop w:val="0"/>
          <w:marBottom w:val="0"/>
          <w:divBdr>
            <w:top w:val="none" w:sz="0" w:space="0" w:color="auto"/>
            <w:left w:val="none" w:sz="0" w:space="0" w:color="auto"/>
            <w:bottom w:val="none" w:sz="0" w:space="0" w:color="auto"/>
            <w:right w:val="none" w:sz="0" w:space="0" w:color="auto"/>
          </w:divBdr>
        </w:div>
      </w:divsChild>
    </w:div>
    <w:div w:id="399328608">
      <w:bodyDiv w:val="1"/>
      <w:marLeft w:val="0"/>
      <w:marRight w:val="0"/>
      <w:marTop w:val="0"/>
      <w:marBottom w:val="0"/>
      <w:divBdr>
        <w:top w:val="none" w:sz="0" w:space="0" w:color="auto"/>
        <w:left w:val="none" w:sz="0" w:space="0" w:color="auto"/>
        <w:bottom w:val="none" w:sz="0" w:space="0" w:color="auto"/>
        <w:right w:val="none" w:sz="0" w:space="0" w:color="auto"/>
      </w:divBdr>
    </w:div>
    <w:div w:id="739521859">
      <w:bodyDiv w:val="1"/>
      <w:marLeft w:val="0"/>
      <w:marRight w:val="0"/>
      <w:marTop w:val="0"/>
      <w:marBottom w:val="0"/>
      <w:divBdr>
        <w:top w:val="none" w:sz="0" w:space="0" w:color="auto"/>
        <w:left w:val="none" w:sz="0" w:space="0" w:color="auto"/>
        <w:bottom w:val="none" w:sz="0" w:space="0" w:color="auto"/>
        <w:right w:val="none" w:sz="0" w:space="0" w:color="auto"/>
      </w:divBdr>
    </w:div>
    <w:div w:id="1542549394">
      <w:bodyDiv w:val="1"/>
      <w:marLeft w:val="0"/>
      <w:marRight w:val="0"/>
      <w:marTop w:val="0"/>
      <w:marBottom w:val="0"/>
      <w:divBdr>
        <w:top w:val="none" w:sz="0" w:space="0" w:color="auto"/>
        <w:left w:val="none" w:sz="0" w:space="0" w:color="auto"/>
        <w:bottom w:val="none" w:sz="0" w:space="0" w:color="auto"/>
        <w:right w:val="none" w:sz="0" w:space="0" w:color="auto"/>
      </w:divBdr>
    </w:div>
    <w:div w:id="1743792276">
      <w:bodyDiv w:val="1"/>
      <w:marLeft w:val="0"/>
      <w:marRight w:val="0"/>
      <w:marTop w:val="0"/>
      <w:marBottom w:val="0"/>
      <w:divBdr>
        <w:top w:val="none" w:sz="0" w:space="0" w:color="auto"/>
        <w:left w:val="none" w:sz="0" w:space="0" w:color="auto"/>
        <w:bottom w:val="none" w:sz="0" w:space="0" w:color="auto"/>
        <w:right w:val="none" w:sz="0" w:space="0" w:color="auto"/>
      </w:divBdr>
    </w:div>
    <w:div w:id="1806585641">
      <w:bodyDiv w:val="1"/>
      <w:marLeft w:val="0"/>
      <w:marRight w:val="0"/>
      <w:marTop w:val="0"/>
      <w:marBottom w:val="0"/>
      <w:divBdr>
        <w:top w:val="none" w:sz="0" w:space="0" w:color="auto"/>
        <w:left w:val="none" w:sz="0" w:space="0" w:color="auto"/>
        <w:bottom w:val="none" w:sz="0" w:space="0" w:color="auto"/>
        <w:right w:val="none" w:sz="0" w:space="0" w:color="auto"/>
      </w:divBdr>
    </w:div>
    <w:div w:id="2067102720">
      <w:bodyDiv w:val="1"/>
      <w:marLeft w:val="0"/>
      <w:marRight w:val="0"/>
      <w:marTop w:val="0"/>
      <w:marBottom w:val="0"/>
      <w:divBdr>
        <w:top w:val="none" w:sz="0" w:space="0" w:color="auto"/>
        <w:left w:val="none" w:sz="0" w:space="0" w:color="auto"/>
        <w:bottom w:val="none" w:sz="0" w:space="0" w:color="auto"/>
        <w:right w:val="none" w:sz="0" w:space="0" w:color="auto"/>
      </w:divBdr>
    </w:div>
    <w:div w:id="21256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5256</Words>
  <Characters>29962</Characters>
  <Application>Microsoft Office Word</Application>
  <DocSecurity>0</DocSecurity>
  <Lines>249</Lines>
  <Paragraphs>70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Suomen valtion</Company>
  <LinksUpToDate>false</LinksUpToDate>
  <CharactersWithSpaces>35148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Tuominen Ismo (STM)</dc:creator>
  <cp:lastModifiedBy>Ke, Tingting</cp:lastModifiedBy>
  <cp:revision>6</cp:revision>
  <cp:lastPrinted>2018-07-03T05:33:00Z</cp:lastPrinted>
  <dcterms:created xsi:type="dcterms:W3CDTF">2018-07-16T09:52:00Z</dcterms:created>
  <dcterms:modified xsi:type="dcterms:W3CDTF">2018-07-20T03:25:00Z</dcterms:modified>
</cp:coreProperties>
</file>