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C2" w:rsidRPr="003E27C2" w:rsidRDefault="003E27C2" w:rsidP="003E27C2">
      <w:pPr>
        <w:jc w:val="center"/>
        <w:textAlignment w:val="baseline"/>
        <w:rPr>
          <w:rFonts w:ascii="Courier New" w:hAnsi="Courier New"/>
          <w:sz w:val="20"/>
          <w:szCs w:val="20"/>
        </w:rPr>
      </w:pPr>
      <w:r>
        <w:rPr>
          <w:rFonts w:ascii="Courier New" w:hAnsi="Courier New"/>
          <w:sz w:val="20"/>
        </w:rPr>
        <w:t>1. ------IND- 2018 0324 FIN RO- ------ 20180719 --- --- PROJET</w:t>
      </w:r>
    </w:p>
    <w:p w:rsidR="003466CD" w:rsidRPr="00C51AA4" w:rsidRDefault="003466CD" w:rsidP="00C51AA4">
      <w:pPr>
        <w:jc w:val="both"/>
        <w:rPr>
          <w:rFonts w:ascii="Times New Roman" w:eastAsia="Times New Roman" w:hAnsi="Times New Roman" w:cs="Times New Roman"/>
          <w:b/>
          <w:sz w:val="24"/>
          <w:szCs w:val="24"/>
        </w:rPr>
      </w:pPr>
      <w:r>
        <w:rPr>
          <w:rFonts w:ascii="Times New Roman" w:hAnsi="Times New Roman"/>
          <w:b/>
          <w:sz w:val="24"/>
        </w:rPr>
        <w:t>Proiect de lege de modificare a Legii privind alcoolul</w:t>
      </w:r>
    </w:p>
    <w:p w:rsidR="003466CD" w:rsidRPr="00C51AA4" w:rsidRDefault="003466CD" w:rsidP="00C51AA4">
      <w:pPr>
        <w:jc w:val="both"/>
        <w:rPr>
          <w:rFonts w:ascii="Times New Roman" w:eastAsia="Times New Roman" w:hAnsi="Times New Roman" w:cs="Times New Roman"/>
          <w:b/>
          <w:sz w:val="24"/>
          <w:szCs w:val="24"/>
        </w:rPr>
      </w:pPr>
    </w:p>
    <w:p w:rsidR="00185B55" w:rsidRPr="00C51AA4" w:rsidRDefault="00185B55" w:rsidP="00C51AA4">
      <w:pPr>
        <w:jc w:val="both"/>
        <w:rPr>
          <w:rFonts w:ascii="Times New Roman" w:eastAsia="Times New Roman" w:hAnsi="Times New Roman" w:cs="Times New Roman"/>
          <w:b/>
          <w:sz w:val="24"/>
          <w:szCs w:val="24"/>
        </w:rPr>
      </w:pPr>
    </w:p>
    <w:p w:rsidR="00185B55" w:rsidRPr="00C51AA4" w:rsidRDefault="00185B55" w:rsidP="00C51AA4">
      <w:pPr>
        <w:jc w:val="both"/>
        <w:rPr>
          <w:rFonts w:ascii="Times New Roman" w:eastAsia="Times New Roman" w:hAnsi="Times New Roman" w:cs="Times New Roman"/>
          <w:b/>
          <w:sz w:val="24"/>
          <w:szCs w:val="24"/>
        </w:rPr>
      </w:pPr>
    </w:p>
    <w:p w:rsidR="00A61390" w:rsidRPr="00C51AA4" w:rsidRDefault="003B6A80" w:rsidP="00C51AA4">
      <w:pPr>
        <w:jc w:val="both"/>
        <w:rPr>
          <w:rFonts w:ascii="Times New Roman" w:eastAsia="Times New Roman" w:hAnsi="Times New Roman" w:cs="Times New Roman"/>
          <w:b/>
          <w:sz w:val="24"/>
          <w:szCs w:val="24"/>
        </w:rPr>
      </w:pPr>
      <w:r>
        <w:rPr>
          <w:rFonts w:ascii="Times New Roman" w:hAnsi="Times New Roman"/>
          <w:b/>
          <w:sz w:val="24"/>
        </w:rPr>
        <w:t>Evaluare de impact a legii</w:t>
      </w:r>
    </w:p>
    <w:p w:rsidR="00185B55" w:rsidRPr="00C51AA4" w:rsidRDefault="00185B55" w:rsidP="00C51AA4">
      <w:pPr>
        <w:pStyle w:val="ListParagraph"/>
        <w:ind w:left="0"/>
        <w:jc w:val="both"/>
        <w:rPr>
          <w:b/>
        </w:rPr>
      </w:pPr>
    </w:p>
    <w:p w:rsidR="00F33320" w:rsidRPr="00C51AA4" w:rsidRDefault="00B627A6" w:rsidP="00C51AA4">
      <w:pPr>
        <w:pStyle w:val="ListParagraph"/>
        <w:ind w:left="0"/>
        <w:jc w:val="both"/>
        <w:rPr>
          <w:b/>
        </w:rPr>
      </w:pPr>
      <w:r>
        <w:rPr>
          <w:b/>
        </w:rPr>
        <w:t>1. Necesitatea unui proiect de lege</w:t>
      </w:r>
    </w:p>
    <w:p w:rsidR="00B627A6" w:rsidRPr="00C51AA4" w:rsidRDefault="00B627A6" w:rsidP="00C51AA4">
      <w:pPr>
        <w:pStyle w:val="ListParagraph"/>
        <w:jc w:val="both"/>
        <w:rPr>
          <w:rFonts w:eastAsiaTheme="minorHAnsi"/>
        </w:rPr>
      </w:pPr>
    </w:p>
    <w:p w:rsidR="00F33320" w:rsidRPr="00C51AA4" w:rsidRDefault="00F33320" w:rsidP="00C51AA4">
      <w:pPr>
        <w:jc w:val="both"/>
        <w:rPr>
          <w:rFonts w:ascii="Times New Roman" w:hAnsi="Times New Roman" w:cs="Times New Roman"/>
          <w:sz w:val="24"/>
          <w:szCs w:val="24"/>
        </w:rPr>
      </w:pPr>
      <w:r>
        <w:rPr>
          <w:rFonts w:ascii="Times New Roman" w:hAnsi="Times New Roman"/>
          <w:sz w:val="24"/>
        </w:rPr>
        <w:t xml:space="preserve">Legislația finlandeză privind alcoolul a fost reformată de </w:t>
      </w:r>
      <w:bookmarkStart w:id="0" w:name="_GoBack"/>
      <w:bookmarkEnd w:id="0"/>
      <w:r>
        <w:rPr>
          <w:rFonts w:ascii="Times New Roman" w:hAnsi="Times New Roman"/>
          <w:sz w:val="24"/>
        </w:rPr>
        <w:t>noua Lege privind alcoolul (1102/2017) care a intrat în întregime în vigoare la 1 martie 2018. În același timp, vechea Lege privind alcoolul (1143/1994) a fost abrogată.</w:t>
      </w:r>
    </w:p>
    <w:p w:rsidR="00082F80" w:rsidRPr="00C51AA4" w:rsidRDefault="00F33320" w:rsidP="00C51AA4">
      <w:pPr>
        <w:jc w:val="both"/>
        <w:rPr>
          <w:rFonts w:ascii="Times New Roman" w:hAnsi="Times New Roman" w:cs="Times New Roman"/>
          <w:sz w:val="24"/>
          <w:szCs w:val="24"/>
        </w:rPr>
      </w:pPr>
      <w:r>
        <w:rPr>
          <w:rFonts w:ascii="Times New Roman" w:hAnsi="Times New Roman"/>
          <w:sz w:val="24"/>
        </w:rPr>
        <w:t>Vânzarea transfrontalieră la distanță de băuturi alcoolice implică, de exemplu, vânzarea de băuturi alcoolice consumatorilor finlandezi și organizarea transportului acestor băuturi către consumatorii din Finlanda de către un magazin online străin.</w:t>
      </w:r>
    </w:p>
    <w:p w:rsidR="003466CD" w:rsidRPr="00C51AA4" w:rsidRDefault="003466CD" w:rsidP="00C51AA4">
      <w:pPr>
        <w:jc w:val="both"/>
        <w:rPr>
          <w:rFonts w:ascii="Times New Roman" w:hAnsi="Times New Roman" w:cs="Times New Roman"/>
          <w:i/>
          <w:sz w:val="24"/>
          <w:szCs w:val="24"/>
        </w:rPr>
      </w:pPr>
    </w:p>
    <w:p w:rsidR="00B627A6" w:rsidRPr="00C51AA4" w:rsidRDefault="006D1604" w:rsidP="00C51AA4">
      <w:pPr>
        <w:jc w:val="both"/>
        <w:rPr>
          <w:rFonts w:ascii="Times New Roman" w:hAnsi="Times New Roman" w:cs="Times New Roman"/>
          <w:i/>
          <w:sz w:val="24"/>
          <w:szCs w:val="24"/>
        </w:rPr>
      </w:pPr>
      <w:r>
        <w:rPr>
          <w:rFonts w:ascii="Times New Roman" w:hAnsi="Times New Roman"/>
          <w:i/>
          <w:sz w:val="24"/>
        </w:rPr>
        <w:t>1.1 Reglementarea vânzării transfrontaliere la distanță în temeiul vechii Legi privind alcoolul</w:t>
      </w: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Vânzarea transfrontalieră la distanță nu era reglementată separat în vechea Lege finlandeză privind alcoolul, dar trei articole vizau vânzarea de băuturi alcoolice din străinătate:</w:t>
      </w:r>
    </w:p>
    <w:p w:rsidR="00B627A6" w:rsidRPr="00C51AA4" w:rsidRDefault="00B627A6" w:rsidP="00C51AA4">
      <w:pPr>
        <w:pStyle w:val="ListParagraph"/>
        <w:numPr>
          <w:ilvl w:val="0"/>
          <w:numId w:val="17"/>
        </w:numPr>
        <w:jc w:val="both"/>
        <w:rPr>
          <w:rFonts w:eastAsiaTheme="minorHAnsi"/>
        </w:rPr>
      </w:pPr>
      <w:r>
        <w:t>În temeiul articolului 8 din vechea Lege privind alcoolul, importul de băuturi alcoolice în Finlanda din străinătate era permis fără nicio autorizație, dar dacă importatorul băuturilor alcoolice practica o activitate comercială – precum vânzarea cu amănuntul de băuturi consumatorilor finlandezi – în temeiul articolului, o astfel de activitate necesita o autorizație în conformitate cu Legea privind alcoolul – în cazul dat ca exemplu, o autorizație de vânzare cu amănuntul.</w:t>
      </w:r>
    </w:p>
    <w:p w:rsidR="00B627A6" w:rsidRPr="00C51AA4" w:rsidRDefault="00B627A6" w:rsidP="00C51AA4">
      <w:pPr>
        <w:pStyle w:val="ListParagraph"/>
        <w:jc w:val="both"/>
        <w:rPr>
          <w:rFonts w:eastAsiaTheme="minorHAnsi"/>
        </w:rPr>
      </w:pPr>
    </w:p>
    <w:p w:rsidR="00B627A6" w:rsidRPr="00C51AA4" w:rsidRDefault="00B627A6" w:rsidP="00C51AA4">
      <w:pPr>
        <w:pStyle w:val="ListParagraph"/>
        <w:numPr>
          <w:ilvl w:val="0"/>
          <w:numId w:val="17"/>
        </w:numPr>
        <w:jc w:val="both"/>
        <w:rPr>
          <w:rFonts w:eastAsiaTheme="minorHAnsi"/>
        </w:rPr>
      </w:pPr>
      <w:r>
        <w:t>Pe de altă parte, nicio autorizație de vânzare cu amănuntul nu putea fi emisă pentru vânzarea acelor băuturi alcoolice care erau sub incidența dreptului unic de vânzare cu amănuntul al companiei aflate în proprietatea statului, Monopol de stat privind alcoolul, în temeiul articolului 13 din vechea Lege privind alcoolul.</w:t>
      </w:r>
    </w:p>
    <w:p w:rsidR="00B627A6" w:rsidRPr="00C51AA4" w:rsidRDefault="00B627A6" w:rsidP="00C51AA4">
      <w:pPr>
        <w:pStyle w:val="ListParagraph"/>
        <w:jc w:val="both"/>
        <w:rPr>
          <w:rFonts w:eastAsiaTheme="minorHAnsi"/>
        </w:rPr>
      </w:pPr>
    </w:p>
    <w:p w:rsidR="00B627A6" w:rsidRPr="00C51AA4" w:rsidRDefault="00B627A6" w:rsidP="00C51AA4">
      <w:pPr>
        <w:pStyle w:val="ListParagraph"/>
        <w:numPr>
          <w:ilvl w:val="0"/>
          <w:numId w:val="17"/>
        </w:numPr>
        <w:jc w:val="both"/>
        <w:rPr>
          <w:rFonts w:eastAsiaTheme="minorHAnsi"/>
        </w:rPr>
      </w:pPr>
      <w:r>
        <w:t>În măsura în care o autorizație de vânzare cu amănuntul putea fi emisă pentru vânzarea cu amănuntul de băuturi alcoolice în temeiul articolului 14 din vechea Lege privind alcoolul, în temeiul articolului, vânzările puteau fi realizate doar în „centrele” aprobate de autoritatea de autorizare. Pentru că vânzările erau permise numai în centre, chiar și deținătorul unei autorizații de vânzare cu amănuntul de băuturi alcoolice stabilit în Finlanda nu putea realiza vânzarea de băuturi alcoolice cu livrare la domiciliu pentru consumatorii situați în Finlanda.</w:t>
      </w:r>
    </w:p>
    <w:p w:rsidR="00D55EFF" w:rsidRPr="00C51AA4" w:rsidRDefault="00D55EFF" w:rsidP="00C51AA4">
      <w:pPr>
        <w:jc w:val="both"/>
        <w:rPr>
          <w:rFonts w:ascii="Times New Roman" w:hAnsi="Times New Roman" w:cs="Times New Roman"/>
          <w:sz w:val="24"/>
          <w:szCs w:val="24"/>
        </w:rPr>
      </w:pP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 xml:space="preserve">În temeiul articolului 8 din vechea Lege privind alcoolul, coroborate cu articolele 13 și 14, nicio persoană nu a fost autorizată să realizeze vânzarea transfrontalieră la distanță de băuturi alcoolice în </w:t>
      </w:r>
      <w:r>
        <w:rPr>
          <w:rFonts w:ascii="Times New Roman" w:hAnsi="Times New Roman"/>
          <w:sz w:val="24"/>
        </w:rPr>
        <w:lastRenderedPageBreak/>
        <w:t>Finlanda. Cu toate acestea, punerea în aplicare a prevederilor a fost dificilă și au existat puține decizii judecătorești privind interpretarea acestor prevederi. Nici autoritățile finlandeze nu au fost sigure de coerența interdicției de vânzare la distanță sus-menționate cu legislația Uniunii.</w:t>
      </w:r>
    </w:p>
    <w:p w:rsidR="003466CD" w:rsidRPr="00C51AA4" w:rsidRDefault="003466CD" w:rsidP="00C51AA4">
      <w:pPr>
        <w:jc w:val="both"/>
        <w:rPr>
          <w:rFonts w:ascii="Times New Roman" w:hAnsi="Times New Roman" w:cs="Times New Roman"/>
          <w:i/>
          <w:sz w:val="24"/>
          <w:szCs w:val="24"/>
        </w:rPr>
      </w:pPr>
    </w:p>
    <w:p w:rsidR="006E04C3" w:rsidRPr="00C51AA4" w:rsidRDefault="006D1604" w:rsidP="00C51AA4">
      <w:pPr>
        <w:keepNext/>
        <w:jc w:val="both"/>
        <w:rPr>
          <w:rFonts w:ascii="Times New Roman" w:hAnsi="Times New Roman" w:cs="Times New Roman"/>
          <w:i/>
          <w:sz w:val="24"/>
          <w:szCs w:val="24"/>
        </w:rPr>
      </w:pPr>
      <w:r>
        <w:rPr>
          <w:rFonts w:ascii="Times New Roman" w:hAnsi="Times New Roman"/>
          <w:i/>
          <w:sz w:val="24"/>
        </w:rPr>
        <w:t>1.2 Decizie preliminară a Curții de Justiție a Uniunii Europene în cauza C-198/14 Visnapuu</w:t>
      </w:r>
    </w:p>
    <w:p w:rsidR="003466CD" w:rsidRPr="00C51AA4" w:rsidRDefault="00B627A6" w:rsidP="00C51AA4">
      <w:pPr>
        <w:jc w:val="both"/>
        <w:rPr>
          <w:rFonts w:ascii="Times New Roman" w:hAnsi="Times New Roman" w:cs="Times New Roman"/>
          <w:sz w:val="24"/>
          <w:szCs w:val="24"/>
        </w:rPr>
      </w:pPr>
      <w:r>
        <w:rPr>
          <w:rFonts w:ascii="Times New Roman" w:hAnsi="Times New Roman"/>
          <w:sz w:val="24"/>
        </w:rPr>
        <w:t>Curtea de Justiție a Uniunii Europene a luat în considerare toate articolele vechii Legi privind alcoolul sus-menționate în decizia sa pronunțată în Cauza C-198/14 Visnapuu. În această cauză, o companie stabilită în Estonia vindea băuturi alcoolice persoanelor care trăiau în Finlanda prin intermediul internetului și organiza transportul acestora din Estonia în Finlanda.</w:t>
      </w:r>
    </w:p>
    <w:p w:rsidR="003466CD" w:rsidRPr="00C51AA4" w:rsidRDefault="00B627A6" w:rsidP="00C51AA4">
      <w:pPr>
        <w:jc w:val="both"/>
        <w:rPr>
          <w:rFonts w:ascii="Times New Roman" w:hAnsi="Times New Roman" w:cs="Times New Roman"/>
          <w:sz w:val="24"/>
          <w:szCs w:val="24"/>
        </w:rPr>
      </w:pPr>
      <w:r>
        <w:rPr>
          <w:rFonts w:ascii="Times New Roman" w:hAnsi="Times New Roman"/>
          <w:sz w:val="24"/>
        </w:rPr>
        <w:t>Cererea pentru pronunțarea unei decizii preliminare a Curții de Apel din Helsinki dorea să se lămurească dacă articolul 34 din TFUE sau articolul 37 din TFUE ar împiedica Finlanda să stabilească o cerință de autorizație de vânzare cu amănuntul pentru un importator când vânzătorul transportă băuturile alcoolice către cumpărător.</w:t>
      </w:r>
    </w:p>
    <w:p w:rsidR="00B627A6" w:rsidRPr="00C51AA4" w:rsidRDefault="003466CD" w:rsidP="00C51AA4">
      <w:pPr>
        <w:jc w:val="both"/>
        <w:rPr>
          <w:rFonts w:ascii="Times New Roman" w:hAnsi="Times New Roman" w:cs="Times New Roman"/>
          <w:sz w:val="24"/>
          <w:szCs w:val="24"/>
        </w:rPr>
      </w:pPr>
      <w:r>
        <w:rPr>
          <w:rFonts w:ascii="Times New Roman" w:hAnsi="Times New Roman"/>
          <w:sz w:val="24"/>
        </w:rPr>
        <w:t>După analiza actualei interdicții privind vânzarea transfrontalieră la distanță impusă de Legea finlandeză privind alcoolul, Curtea a declarat că</w:t>
      </w:r>
    </w:p>
    <w:p w:rsidR="00B627A6" w:rsidRPr="00C51AA4" w:rsidRDefault="00B627A6" w:rsidP="00C51AA4">
      <w:pPr>
        <w:ind w:left="1304"/>
        <w:jc w:val="both"/>
        <w:rPr>
          <w:rFonts w:ascii="Times New Roman" w:hAnsi="Times New Roman" w:cs="Times New Roman"/>
          <w:i/>
          <w:iCs/>
          <w:sz w:val="24"/>
          <w:szCs w:val="24"/>
        </w:rPr>
      </w:pPr>
      <w:r>
        <w:rPr>
          <w:rFonts w:ascii="Times New Roman" w:hAnsi="Times New Roman"/>
          <w:i/>
          <w:sz w:val="24"/>
        </w:rPr>
        <w:t>„Articolele 34 din TFUE și 36 din TFUE trebuie să fie interpretate ca neexcluzând legislația unui stat membru, precum cea în cauză în litigiul principal, în baza căreia un vânzător stabilit în alt stat membru trebuie să dețină o autorizație de vânzare cu amănuntul pentru a importa băuturi alcoolice în vederea vânzării acestora cu amănuntul către consumatori care își au reședința în primul stat membru unde acel vânzător sau o persoană care acționează în numele său transportă acele băuturi, cu condiția ca legislația să fie adecvată pentru asigurarea atingerii obiectivului urmărit, în acest caz obiectivul fiind protecția sănătății și politicii publice, cu condiția ca obiectivul în cauză să nu poată fi atins fără un nivel cel puțin echivalent de eficiență prin metode mai puțin restrictive și cu condiția ca legislația să nu constituie un mijloc de discriminare arbitrară sau o restricție mascată în calea comerțului între state membre, ceea ce trebuie verificat de instanța de trimitere.</w:t>
      </w: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Articolele menționate din vechea Lege privind alcoolul sunt luate în considerare la articolele 82, 93 și, în special, 101.</w:t>
      </w:r>
    </w:p>
    <w:p w:rsidR="003466CD" w:rsidRPr="00C51AA4" w:rsidRDefault="003466CD" w:rsidP="00C51AA4">
      <w:pPr>
        <w:jc w:val="both"/>
        <w:rPr>
          <w:rFonts w:ascii="Times New Roman" w:hAnsi="Times New Roman" w:cs="Times New Roman"/>
          <w:i/>
          <w:sz w:val="24"/>
          <w:szCs w:val="24"/>
        </w:rPr>
      </w:pPr>
    </w:p>
    <w:p w:rsidR="006E04C3" w:rsidRPr="00C51AA4" w:rsidRDefault="006D1604" w:rsidP="00C51AA4">
      <w:pPr>
        <w:keepNext/>
        <w:jc w:val="both"/>
        <w:rPr>
          <w:rFonts w:ascii="Times New Roman" w:hAnsi="Times New Roman" w:cs="Times New Roman"/>
          <w:i/>
          <w:sz w:val="24"/>
          <w:szCs w:val="24"/>
        </w:rPr>
      </w:pPr>
      <w:r>
        <w:rPr>
          <w:rFonts w:ascii="Times New Roman" w:hAnsi="Times New Roman"/>
          <w:i/>
          <w:sz w:val="24"/>
        </w:rPr>
        <w:t>1.3 Notificarea interdicției de vânzare la distanță a Finlandei și opinia detaliată a Comisiei</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Ministerul Afacerilor Sociale și Sănătății a depus la Comisie proiectul de lege privind reforma Legii privind alcoolul în procedura de notificare, în temeiul Directivei (UE) 2015/1535 din 14 decembrie 2016.</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Articolul 30 din proiectul de lege includea aceeași interdicție de vânzare transfrontalieră la distanță ca și articolele</w:t>
      </w:r>
      <w:r w:rsidR="00415C59">
        <w:rPr>
          <w:rFonts w:ascii="Times New Roman" w:hAnsi="Times New Roman"/>
          <w:sz w:val="24"/>
        </w:rPr>
        <w:t xml:space="preserve"> </w:t>
      </w:r>
      <w:r>
        <w:rPr>
          <w:rFonts w:ascii="Times New Roman" w:hAnsi="Times New Roman"/>
          <w:sz w:val="24"/>
        </w:rPr>
        <w:t>8, 13 și 14 din vechea Lege privind alcoolul luată în considerare de Curtea de Justiție a Uniunii Europene. În temeiul acelui articol, legea ar interzice vânzarea transfrontalieră la distanță de băuturi alcoolice și importul în Finlanda privind o astfel de vânzare. În temeiul definiției date la articolul 3 alineatul (1) paragraful (14), termenul vânzare la distanță ar însemna „</w:t>
      </w:r>
      <w:r>
        <w:rPr>
          <w:rFonts w:ascii="Times New Roman" w:hAnsi="Times New Roman"/>
          <w:i/>
          <w:sz w:val="24"/>
        </w:rPr>
        <w:t>vânzare la distanță consumatorilor unde consumatorul care comandă substanța sau produsul de la un magazin de vânzare cu amănuntul este situat într-un stat membru al Uniunii Europene (UE) sau o țară terță care este diferită de țara în care magazinul de vânzare cu amănuntul este situat</w:t>
      </w:r>
      <w:r>
        <w:rPr>
          <w:rFonts w:ascii="Times New Roman" w:hAnsi="Times New Roman"/>
          <w:sz w:val="24"/>
        </w:rPr>
        <w:t>”.</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Comisia a emis o opinie detaliată privind notificarea la data de 15 martie 2017. Comisia a considerat că interdicția de vânzare transfrontalieră la distanță de băuturi alcoolice astfel definită constituie o restricție cantitativă interzisă privind libera circulație a bunurilor în temeiul articolului 34 din TFUE.</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În această privință, Comisia a făcut referire la faptul că, în conformitate cu articolul 26 alineatul (1) din proiectul de lege, Monopolul de stat privind alcoolul, practicându-și dreptul unic de vânzare cu amănuntul de băuturi alcoolice, ar putea livra băuturi alcoolice achiziționate de la acesta către cumpărători și în centrele de livrare ale Monopolului de stat privind alcoolul care nu erau propriile centre de desfacere pentru vânzarea cu amănuntul. În opinia Comisiei, prevederile articolului 26 alineatul (1) care vizau centrele de livrare ale monopolului de stat nu erau sub incidența dreptului unic al Monopolului de stat privind alcoolul, ci separat de statusul său de monopol pentru vânzarea cu amănuntul, deși legat de acesta, și, prin urmare, cazul ar trebui analizat în temeiul articolului 34 din TFUE.</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Comisia a declarat că o interdicție privind vânzarea transfrontalieră la distanță de băuturi alcoolice ar afecta numai vânzarea online de băuturi alcoolice și transportul acestora în Finlanda din alte state membre. Monopolul de stat privind alcoolul, pe de altă parte, ar avea dreptul să vândă online băuturi alcoolice în Finlanda și să își livreze propriile băuturi către centre de livrare din afara centrelor de comerț cu amănuntul aprobate ale Monopolului de stat privind alcoolul. Acest lucru ar cauza un tratament juridic ilegal privind băuturile alcoolice importate, iar opinia Comisiei este că interdicția planificată ar constitui o restricție cantitativă privind libera circulație a bunurilor în temeiul articolului 34 din TFUE.</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Comisia a considerat în continuare că interdicția nu poate fi considerată un aranjament de vânzare nediscriminatoriu și a declarat că interdicția în cauză ar putea fi justificată pentru motive privind sănătatea și politica publică recunoscute în articolul 36 din TFUE.</w:t>
      </w:r>
    </w:p>
    <w:p w:rsidR="00282988" w:rsidRPr="00C51AA4" w:rsidRDefault="006E04C3" w:rsidP="00C51AA4">
      <w:pPr>
        <w:jc w:val="both"/>
        <w:rPr>
          <w:rFonts w:ascii="Times New Roman" w:hAnsi="Times New Roman" w:cs="Times New Roman"/>
          <w:sz w:val="24"/>
          <w:szCs w:val="24"/>
        </w:rPr>
      </w:pPr>
      <w:r>
        <w:rPr>
          <w:rFonts w:ascii="Times New Roman" w:hAnsi="Times New Roman"/>
          <w:sz w:val="24"/>
        </w:rPr>
        <w:t>Ulterior, Ministerul Afacerilor Sociale și Sănătății a depus la Comisie, la 24 aprilie 2017, hotărârea Curții de Apel din Helsinki în cauza Visnapuu în care interdicția vânzării la distanță în temeiul Legii privind alcoolul în vigoare era considerată conformă cu legislația Uniunii, cu excepția faptului că legea solicita „centre” fixe pentru vânzarea cu amănuntul de băuturi alcoolice produse prin fermentare și conținând nu mai mult de 4,7 procente în volum de alcool. În plus, reprezentanții ministerului au prezentat Comisiei, în cadrul unei reuniuni care a avut loc pe 27 aprilie 2017, aspecte care au apărut pe parcursul pregătirii.</w:t>
      </w:r>
    </w:p>
    <w:p w:rsidR="006E04C3" w:rsidRPr="00C51AA4" w:rsidRDefault="00282988" w:rsidP="00C51AA4">
      <w:pPr>
        <w:jc w:val="both"/>
        <w:rPr>
          <w:rFonts w:ascii="Times New Roman" w:hAnsi="Times New Roman" w:cs="Times New Roman"/>
          <w:sz w:val="24"/>
          <w:szCs w:val="24"/>
        </w:rPr>
      </w:pPr>
      <w:r>
        <w:rPr>
          <w:rFonts w:ascii="Times New Roman" w:hAnsi="Times New Roman"/>
          <w:sz w:val="24"/>
        </w:rPr>
        <w:t>Ulterior în iunie 2017, Ministerul Afacerilor Sociale și Sănătății a depus un răspuns al Finlandei la opinia detaliată a Comisiei. În această privință, Finlanda a declarat în răspunsul său că interdicția privind vânzarea transfrontalieră la distanță de băuturi alcoolice va rămâne în legislația finlandeză fie în forma sa anterioară, fie în forma propusă în proiectul de lege notificat Comisiei.</w:t>
      </w:r>
    </w:p>
    <w:p w:rsidR="003466CD" w:rsidRPr="00C51AA4" w:rsidRDefault="003466CD" w:rsidP="00C51AA4">
      <w:pPr>
        <w:jc w:val="both"/>
        <w:rPr>
          <w:rFonts w:ascii="Times New Roman" w:hAnsi="Times New Roman" w:cs="Times New Roman"/>
          <w:i/>
          <w:sz w:val="24"/>
          <w:szCs w:val="24"/>
        </w:rPr>
      </w:pPr>
    </w:p>
    <w:p w:rsidR="006D1604" w:rsidRPr="00C51AA4" w:rsidRDefault="006D1604" w:rsidP="00C51AA4">
      <w:pPr>
        <w:keepNext/>
        <w:jc w:val="both"/>
        <w:rPr>
          <w:rFonts w:ascii="Times New Roman" w:hAnsi="Times New Roman" w:cs="Times New Roman"/>
          <w:i/>
          <w:sz w:val="24"/>
          <w:szCs w:val="24"/>
        </w:rPr>
      </w:pPr>
      <w:r>
        <w:rPr>
          <w:rFonts w:ascii="Times New Roman" w:hAnsi="Times New Roman"/>
          <w:i/>
          <w:sz w:val="24"/>
        </w:rPr>
        <w:t>1.4 Reglementarea vânzării transfrontaliere la distanță în temeiul noii Legi privind alcoolul</w:t>
      </w:r>
    </w:p>
    <w:p w:rsidR="006E04C3" w:rsidRPr="00C51AA4" w:rsidRDefault="006D1604" w:rsidP="00C51AA4">
      <w:pPr>
        <w:jc w:val="both"/>
        <w:rPr>
          <w:rFonts w:ascii="Times New Roman" w:hAnsi="Times New Roman" w:cs="Times New Roman"/>
          <w:sz w:val="24"/>
          <w:szCs w:val="24"/>
        </w:rPr>
      </w:pPr>
      <w:r>
        <w:rPr>
          <w:rFonts w:ascii="Times New Roman" w:hAnsi="Times New Roman"/>
          <w:sz w:val="24"/>
        </w:rPr>
        <w:t>Guvernul a supus atenției Parlamentului, la 14 septembrie 2017, proiectul de lege privind noua Lege privind alcoolul HE 100/2017 vp. Definiția vânzării transfrontaliere la distanță [articolul 3 alineatul (1) paragraful (14) din proiectul de lege] și interdicția privind respectiva vânzare la distanță (articolul 30 din proiectul de lege) au fost eliminate din proiectul de lege, dar următoarele prevederi legale luate în considerare anterior privind vânzarea la distanță au fost incluse în proiectul de lege și ulterior în noua Lege privind alcoolul adoptată la 28 decembrie 2017:</w:t>
      </w:r>
    </w:p>
    <w:p w:rsidR="006E04C3" w:rsidRPr="00C51AA4" w:rsidRDefault="006E04C3" w:rsidP="00C51AA4">
      <w:pPr>
        <w:pStyle w:val="ListParagraph"/>
        <w:numPr>
          <w:ilvl w:val="0"/>
          <w:numId w:val="23"/>
        </w:numPr>
        <w:jc w:val="both"/>
        <w:rPr>
          <w:rFonts w:eastAsiaTheme="minorHAnsi"/>
        </w:rPr>
      </w:pPr>
      <w:r>
        <w:t>prevederea privind importul de băuturi alcoolice de la articolul 8 din vechea Lege privind alcoolul a fost transferată la articolul 32 din noua Lege privind alcoolul.</w:t>
      </w:r>
    </w:p>
    <w:p w:rsidR="006E04C3" w:rsidRPr="00C51AA4" w:rsidRDefault="006E04C3" w:rsidP="00C51AA4">
      <w:pPr>
        <w:pStyle w:val="ListParagraph"/>
        <w:ind w:left="1080"/>
        <w:jc w:val="both"/>
        <w:rPr>
          <w:rFonts w:eastAsiaTheme="minorHAnsi"/>
        </w:rPr>
      </w:pPr>
    </w:p>
    <w:p w:rsidR="006E04C3" w:rsidRPr="00C51AA4" w:rsidRDefault="006E04C3" w:rsidP="00C51AA4">
      <w:pPr>
        <w:pStyle w:val="ListParagraph"/>
        <w:numPr>
          <w:ilvl w:val="0"/>
          <w:numId w:val="23"/>
        </w:numPr>
        <w:jc w:val="both"/>
        <w:rPr>
          <w:rFonts w:eastAsiaTheme="minorHAnsi"/>
        </w:rPr>
      </w:pPr>
      <w:r>
        <w:t>prevederea privind monopolul pe vânzarea cu amănuntul a Monopolului de stat privind alcoolul din articolul 13 din vechea Lege privind alcoolul a fost transferată într-un capitol nou în noua Lege privind alcoolul, „Capitolul 3 Monopolul de stat privind alcoolul” (mai exact articolele 23, 26 și 27 din lege).</w:t>
      </w:r>
    </w:p>
    <w:p w:rsidR="00282988" w:rsidRPr="00C51AA4" w:rsidRDefault="00282988" w:rsidP="00C51AA4">
      <w:pPr>
        <w:pStyle w:val="ListParagraph"/>
        <w:jc w:val="both"/>
        <w:rPr>
          <w:rFonts w:eastAsiaTheme="minorHAnsi"/>
        </w:rPr>
      </w:pPr>
    </w:p>
    <w:p w:rsidR="00282988" w:rsidRPr="00C51AA4" w:rsidRDefault="006E04C3" w:rsidP="00C51AA4">
      <w:pPr>
        <w:pStyle w:val="ListParagraph"/>
        <w:numPr>
          <w:ilvl w:val="0"/>
          <w:numId w:val="23"/>
        </w:numPr>
        <w:jc w:val="both"/>
      </w:pPr>
      <w:r>
        <w:t>prevederea privind o autorizație de vânzare cu amănuntul de băuturi alcoolice de la articolul 14 din vechea Lege privind alcoolul a fost transferată la articolele 17 și 35 din noua Lege privind alcoolul. Derogările de la monopolul statuar al Monopolului de stat privind alcoolul sunt, în primul rând, vânzarea de băuturi alcoolice care conțin 5,5 procente în volum de alcool în centre comerciale aprobate și, în al doilea rând, vânzarea limitată de tilaviini și bere artizanală numai în locațiile sale de producție.</w:t>
      </w:r>
    </w:p>
    <w:p w:rsidR="00282988" w:rsidRPr="00C51AA4" w:rsidRDefault="00282988" w:rsidP="00C51AA4">
      <w:pPr>
        <w:pStyle w:val="ListParagraph"/>
        <w:jc w:val="both"/>
      </w:pPr>
    </w:p>
    <w:p w:rsidR="006E04C3" w:rsidRPr="00C51AA4" w:rsidRDefault="006E04C3" w:rsidP="00C51AA4">
      <w:pPr>
        <w:pStyle w:val="ListParagraph"/>
        <w:ind w:left="0"/>
        <w:jc w:val="both"/>
      </w:pPr>
      <w:r>
        <w:t>La momentul votării adoptării Legii privind alcoolul din 19 decembrie 2017, Parlamentul a adus în atenție lipsa clarității prevederilor privind vânzarea la distanță de băuturi alcoolice și a stipulat că guvernul ar trebui să clarifice reglementarea vânzării la distanță.</w:t>
      </w:r>
    </w:p>
    <w:p w:rsidR="00D152C9" w:rsidRPr="00C51AA4" w:rsidRDefault="00D152C9" w:rsidP="00C51AA4">
      <w:pPr>
        <w:pStyle w:val="ListParagraph"/>
        <w:ind w:left="0"/>
        <w:jc w:val="both"/>
      </w:pPr>
    </w:p>
    <w:p w:rsidR="006D1604" w:rsidRPr="00C51AA4" w:rsidRDefault="006E04C3" w:rsidP="00C51AA4">
      <w:pPr>
        <w:pStyle w:val="ListParagraph"/>
        <w:ind w:left="0"/>
        <w:jc w:val="both"/>
      </w:pPr>
      <w:r>
        <w:t>Având în vedere acest aspect, la 20 decembrie 2017, Ministerul Afacerilor Sociale și Sănătății a desemnat un grup de lucru pentru investigarea limitării vânzării transfrontaliere la distanță de băuturi alcoolice care ar trebui să își finalizeze propunerea până la 31 martie 2018.</w:t>
      </w:r>
    </w:p>
    <w:p w:rsidR="006D1604" w:rsidRPr="00C51AA4" w:rsidRDefault="006D1604" w:rsidP="00C51AA4">
      <w:pPr>
        <w:pStyle w:val="ListParagraph"/>
        <w:ind w:left="0"/>
        <w:jc w:val="both"/>
      </w:pPr>
    </w:p>
    <w:p w:rsidR="006D1604" w:rsidRPr="00C51AA4" w:rsidRDefault="006D1604" w:rsidP="00C51AA4">
      <w:pPr>
        <w:pStyle w:val="ListParagraph"/>
        <w:ind w:left="0"/>
        <w:jc w:val="both"/>
      </w:pPr>
      <w:r>
        <w:t>Potrivit propunerii grupului de lucru, prevederile actuale ar trebui clarificate prin definirea vânzării transfrontaliere la distanță de băuturi alcoolice, precum și interdicția mai clară a vânzării transfrontaliere la distanță și a importului asociat, dar permițând achiziția la distanță de băuturi alcoolice, astfel cum este definită în Legea privind accizele. În ceea ce privește hotărârea Curții de Apel din Helsinki sus-menționate, grupul de lucru a propus, de asemenea, ca o prevedere să fie instituită privind posibilitatea pentru operatorii stabiliți în afara Finlandei să practice vânzarea la distanță de băuturi alcoolice care conțin maximum 5,5 procente în volum de alcool în Finlanda fără obligația de a avea sedii fixe în Finlanda. Cu toate acestea, ar trebui să se solicite ca băuturile alcoolice vândute prin vânzarea la distanță să fie livrate cumpărătorilor numai în centre de vânzare cu amănuntul aprobate.</w:t>
      </w:r>
    </w:p>
    <w:p w:rsidR="006E04C3" w:rsidRPr="00C51AA4" w:rsidRDefault="006E04C3" w:rsidP="00C51AA4">
      <w:pPr>
        <w:jc w:val="both"/>
        <w:rPr>
          <w:rFonts w:ascii="Times New Roman" w:hAnsi="Times New Roman" w:cs="Times New Roman"/>
          <w:sz w:val="24"/>
          <w:szCs w:val="24"/>
        </w:rPr>
      </w:pPr>
    </w:p>
    <w:p w:rsidR="006E04C3" w:rsidRPr="00C51AA4" w:rsidRDefault="006D1604" w:rsidP="00C51AA4">
      <w:pPr>
        <w:keepNext/>
        <w:spacing w:after="0" w:line="240" w:lineRule="auto"/>
        <w:jc w:val="both"/>
        <w:rPr>
          <w:rFonts w:ascii="Times New Roman" w:hAnsi="Times New Roman" w:cs="Times New Roman"/>
          <w:i/>
          <w:sz w:val="24"/>
          <w:szCs w:val="24"/>
        </w:rPr>
      </w:pPr>
      <w:r>
        <w:rPr>
          <w:rFonts w:ascii="Times New Roman" w:hAnsi="Times New Roman"/>
          <w:i/>
          <w:sz w:val="24"/>
        </w:rPr>
        <w:t>1.5 Hotărârea Curții Supreme a Finlandei în cauza Visnapuu (KKO:2018:49)</w:t>
      </w:r>
    </w:p>
    <w:p w:rsidR="003466CD" w:rsidRPr="00C51AA4" w:rsidRDefault="003466CD" w:rsidP="00C51AA4">
      <w:pPr>
        <w:spacing w:after="0" w:line="240" w:lineRule="auto"/>
        <w:jc w:val="both"/>
        <w:rPr>
          <w:rFonts w:ascii="Times New Roman" w:hAnsi="Times New Roman" w:cs="Times New Roman"/>
          <w:i/>
          <w:sz w:val="24"/>
          <w:szCs w:val="24"/>
        </w:rPr>
      </w:pPr>
    </w:p>
    <w:p w:rsidR="00B627A6" w:rsidRPr="00C51AA4" w:rsidRDefault="00FA5927" w:rsidP="00C51AA4">
      <w:pPr>
        <w:jc w:val="both"/>
        <w:rPr>
          <w:rFonts w:ascii="Times New Roman" w:hAnsi="Times New Roman" w:cs="Times New Roman"/>
          <w:sz w:val="24"/>
          <w:szCs w:val="24"/>
        </w:rPr>
      </w:pPr>
      <w:r>
        <w:rPr>
          <w:rFonts w:ascii="Times New Roman" w:hAnsi="Times New Roman"/>
          <w:sz w:val="24"/>
        </w:rPr>
        <w:t>Curtea Supremă a Finlandei a pronunțat o hotărâre în cauza Visnapuu sus-menționată la 28 iunie 2018 și a publicat hotărârea sa KKO:2018:49 ca precedent legislativ. În hotărârea sa, Curtea Supremă a împărțit în două părți în această privință prevederile vechii Legi finlandeze privind alcoolul:</w:t>
      </w:r>
    </w:p>
    <w:p w:rsidR="00B627A6" w:rsidRPr="00C51AA4" w:rsidRDefault="00B627A6" w:rsidP="00C51AA4">
      <w:pPr>
        <w:pStyle w:val="ListParagraph"/>
        <w:jc w:val="both"/>
        <w:rPr>
          <w:rFonts w:eastAsiaTheme="minorHAnsi"/>
        </w:rPr>
      </w:pPr>
      <w:r>
        <w:t>- În ceea ce privește băuturile alcoolice sub unicul drept al monopolului de stat comercial, Monopolul de stat privind alcoolul, Curtea de Justiție a Uniunii Europene a trimis acest aspect spre a fi judecat de un tribunal finlandez pentru a evalua dacă operarea Monopolului de stat privind alcoolul ar trebui să fie considerată nediscriminatorie, astfel cum este menționat la articolul 37 din TFUE (articolul 96). Curtea Supremă a considerat că monopolul Monopolului de stat privind alcoolul în baza articolului 13 din Legea privind alcoolul îndeplinește aceste cerințe.</w:t>
      </w:r>
    </w:p>
    <w:p w:rsidR="00B627A6" w:rsidRPr="00C51AA4" w:rsidRDefault="00B627A6" w:rsidP="00C51AA4">
      <w:pPr>
        <w:pStyle w:val="ListParagraph"/>
        <w:jc w:val="both"/>
        <w:rPr>
          <w:rFonts w:eastAsiaTheme="minorHAnsi"/>
        </w:rPr>
      </w:pPr>
    </w:p>
    <w:p w:rsidR="007A4B07" w:rsidRPr="00C51AA4" w:rsidRDefault="00B627A6" w:rsidP="00C51AA4">
      <w:pPr>
        <w:pStyle w:val="ListParagraph"/>
        <w:jc w:val="both"/>
        <w:rPr>
          <w:rFonts w:eastAsiaTheme="minorHAnsi"/>
        </w:rPr>
      </w:pPr>
      <w:r>
        <w:t>- Curtea de Justiție a Uniunii Europene a trimis acest aspect spre a fi judecat de un tribunal finlandez pentru a evalua, de asemenea, dacă sistemul de autorizații de vânzare cu amănuntul pentru băuturi alcoolice în temeiul (vechii) Legi privind alcoolul este adecvat pentru protecția sănătății publice (articolul 119) și dacă sistemul de vânzare de tilaviini în temeiul (vechii) legi este un mijloc de discriminare arbitrară sau o restricție mascată a comerțului între statele membre (articolul 128). Curtea Supremă a concluzionat că sistemul de autorizații pentru vânzarea cu amănuntul (băuturi alcoolice produse prin fermentare și conținând nu mai mult de 4,7 procente în volum de alcool) în temeiul articolului 14 alineatul (1) din Legea privind alcoolul și sistemul de autorizații pentru vânzarea cu amănuntul (denumit tilaviini) în temeiul articolului 14 alineatul (2) din Legea privind alcoolul, precum și cerința impusă prevăzută de aceasta pentru realizarea de vânzări în centre aprobate de o autoritate nu sunt în conflict cu articolele 34 din TFUE și 36 din TFUE.</w:t>
      </w:r>
    </w:p>
    <w:p w:rsidR="00FE765E" w:rsidRPr="00C51AA4" w:rsidRDefault="00FE765E" w:rsidP="00C51AA4">
      <w:pPr>
        <w:pStyle w:val="ListParagraph"/>
        <w:jc w:val="both"/>
        <w:rPr>
          <w:rFonts w:eastAsiaTheme="minorHAnsi"/>
        </w:rPr>
      </w:pPr>
    </w:p>
    <w:p w:rsidR="00FF6A81" w:rsidRPr="00C51AA4" w:rsidRDefault="008C71D4" w:rsidP="00C51AA4">
      <w:pPr>
        <w:jc w:val="both"/>
        <w:rPr>
          <w:rFonts w:ascii="Times New Roman" w:hAnsi="Times New Roman" w:cs="Times New Roman"/>
          <w:sz w:val="24"/>
          <w:szCs w:val="24"/>
        </w:rPr>
      </w:pPr>
      <w:r>
        <w:rPr>
          <w:rFonts w:ascii="Times New Roman" w:hAnsi="Times New Roman"/>
          <w:sz w:val="24"/>
        </w:rPr>
        <w:t>Prin urmare, antreprenorul stabilit în Estonia care a vândut băuturi alcoolice prin intermediul internetului unor persoane care trăiau în Finlanda și a organizat transportul băuturilor la locuințele acestora a fost condamnat la închisoare cu suspendare pentru încălcarea Legii privind alcoolul.</w:t>
      </w: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Atât Curtea de Justiție a Uniunii Europene, cât și Curtea Supremă au considerat în deciziile acestora că interdicția privind vânzarea transfrontalieră la distanță de băuturi alcoolice impusă în vechea Lege privind alcoolul este conformă cu legislația Uniunii luând în considerare toate aspectele prezentate în acest caz.</w:t>
      </w:r>
    </w:p>
    <w:p w:rsidR="007A2489" w:rsidRPr="00C51AA4" w:rsidRDefault="007A2489" w:rsidP="00C51AA4">
      <w:pPr>
        <w:jc w:val="both"/>
        <w:rPr>
          <w:rFonts w:ascii="Times New Roman" w:hAnsi="Times New Roman" w:cs="Times New Roman"/>
          <w:sz w:val="24"/>
          <w:szCs w:val="24"/>
        </w:rPr>
      </w:pPr>
      <w:r>
        <w:t xml:space="preserve">Curtea Supremă a luat, de asemenea, în considerare în hotărârea sa coerența noii Legi privind alcoolul cu legislația Uniunii în conformitate cu statul de drept indicat în Cauza </w:t>
      </w:r>
      <w:r>
        <w:rPr>
          <w:rFonts w:ascii="Times New Roman" w:hAnsi="Times New Roman"/>
          <w:sz w:val="24"/>
        </w:rPr>
        <w:t>C</w:t>
      </w:r>
      <w:r>
        <w:noBreakHyphen/>
      </w:r>
      <w:r>
        <w:rPr>
          <w:rFonts w:ascii="Times New Roman" w:hAnsi="Times New Roman"/>
          <w:sz w:val="24"/>
        </w:rPr>
        <w:t>333/14</w:t>
      </w:r>
      <w:r>
        <w:t xml:space="preserve"> a Curții de Justiție a Uniunii Europene (Asociația Scotch Whisky, articolele 62–65).</w:t>
      </w:r>
      <w:r>
        <w:rPr>
          <w:rFonts w:ascii="Times New Roman" w:hAnsi="Times New Roman"/>
          <w:sz w:val="24"/>
        </w:rPr>
        <w:t xml:space="preserve"> În această privință, Curtea Supremă a afirmat că noua Lege privind alcoolul este, de asemenea, conformă cu legislația Uniunii cu privire la următoarele aspecte:</w:t>
      </w:r>
    </w:p>
    <w:p w:rsidR="00D04209" w:rsidRPr="00C51AA4" w:rsidRDefault="00D04209" w:rsidP="00C51AA4">
      <w:pPr>
        <w:jc w:val="both"/>
        <w:rPr>
          <w:rFonts w:ascii="Times New Roman" w:hAnsi="Times New Roman" w:cs="Times New Roman"/>
        </w:rPr>
      </w:pPr>
      <w:r>
        <w:rPr>
          <w:rFonts w:ascii="Times New Roman" w:hAnsi="Times New Roman"/>
          <w:sz w:val="24"/>
        </w:rPr>
        <w:t>- Toate metodele de livrare de băuturi alcoolice care sunt disponibile numai Monopolului de stat privind alcoolul (Alko Oy) vor fi evaluate luând în considerare prevederile articolului 37 din TFUE în loc de prevederile articolelor 34 din TFUE și 36 din TFUE (articolele 31–32 din hotărâre).</w:t>
      </w:r>
    </w:p>
    <w:p w:rsidR="006D1604" w:rsidRPr="00C51AA4" w:rsidRDefault="00D04209" w:rsidP="00C51AA4">
      <w:pPr>
        <w:jc w:val="both"/>
        <w:rPr>
          <w:rFonts w:ascii="Times New Roman" w:hAnsi="Times New Roman" w:cs="Times New Roman"/>
          <w:sz w:val="24"/>
          <w:szCs w:val="24"/>
        </w:rPr>
      </w:pPr>
      <w:r>
        <w:rPr>
          <w:rFonts w:ascii="Times New Roman" w:hAnsi="Times New Roman"/>
          <w:sz w:val="24"/>
        </w:rPr>
        <w:t>- Modificările stipulate în noua Lege privind alcoolul care extind disponibilitatea băuturilor alcoolice nu ar trebui considerate ca fiind modificări considerabile având în vedere legislația Uniunii (articolele 60 și 71).</w:t>
      </w:r>
    </w:p>
    <w:p w:rsidR="00A610CB" w:rsidRPr="00C51AA4" w:rsidRDefault="00A610CB" w:rsidP="00C51AA4">
      <w:pPr>
        <w:jc w:val="both"/>
        <w:rPr>
          <w:rFonts w:ascii="Times New Roman" w:hAnsi="Times New Roman" w:cs="Times New Roman"/>
          <w:b/>
          <w:sz w:val="24"/>
          <w:szCs w:val="24"/>
        </w:rPr>
      </w:pPr>
    </w:p>
    <w:p w:rsidR="00A5142E" w:rsidRPr="00C51AA4" w:rsidRDefault="00A5142E" w:rsidP="00C51AA4">
      <w:pPr>
        <w:jc w:val="both"/>
        <w:rPr>
          <w:rFonts w:ascii="Times New Roman" w:hAnsi="Times New Roman" w:cs="Times New Roman"/>
          <w:b/>
          <w:sz w:val="24"/>
          <w:szCs w:val="24"/>
        </w:rPr>
      </w:pPr>
      <w:r>
        <w:rPr>
          <w:rFonts w:ascii="Times New Roman" w:hAnsi="Times New Roman"/>
          <w:b/>
          <w:sz w:val="24"/>
        </w:rPr>
        <w:t>2. Scopul propunerii</w:t>
      </w:r>
    </w:p>
    <w:p w:rsidR="005F364E" w:rsidRPr="00C51AA4" w:rsidRDefault="005F364E" w:rsidP="00C51AA4">
      <w:pPr>
        <w:jc w:val="both"/>
        <w:rPr>
          <w:rFonts w:ascii="Times New Roman" w:hAnsi="Times New Roman" w:cs="Times New Roman"/>
          <w:sz w:val="24"/>
          <w:szCs w:val="24"/>
        </w:rPr>
      </w:pPr>
      <w:r>
        <w:rPr>
          <w:rFonts w:ascii="Times New Roman" w:hAnsi="Times New Roman"/>
          <w:sz w:val="24"/>
        </w:rPr>
        <w:t>Astfel, Parlamentul a stipulat ca guvernul să clarifice prevederile neclare privind vânzarea la distanță.</w:t>
      </w:r>
    </w:p>
    <w:p w:rsidR="00A5142E" w:rsidRPr="00C51AA4" w:rsidRDefault="005F364E" w:rsidP="00C51AA4">
      <w:pPr>
        <w:jc w:val="both"/>
        <w:rPr>
          <w:rFonts w:ascii="Times New Roman" w:hAnsi="Times New Roman" w:cs="Times New Roman"/>
          <w:sz w:val="24"/>
          <w:szCs w:val="24"/>
        </w:rPr>
      </w:pPr>
      <w:r>
        <w:rPr>
          <w:rFonts w:ascii="Times New Roman" w:hAnsi="Times New Roman"/>
          <w:sz w:val="24"/>
        </w:rPr>
        <w:t>Propunerea va lua în considerare hotărârea Curții Supreme în cauza Visnapuu, cerințele legislației Uniunii și, în special, faptul că soluțiile privind vânzarea la distanță nu periclitează conservarea unicului drept actual pentru vânzarea cu amănuntul de băuturi alcoolice sau egalitatea comunității de afaceri finlandeze cu privire la concurenții străini. Cerințele impuse pentru buna colectare a accizelor trebuie, de asemenea, luate în considerare pe parcursul pregătirii.</w:t>
      </w:r>
    </w:p>
    <w:p w:rsidR="00615909" w:rsidRPr="00C51AA4" w:rsidRDefault="00A610CB" w:rsidP="00C51AA4">
      <w:pPr>
        <w:jc w:val="both"/>
        <w:rPr>
          <w:rFonts w:ascii="Times New Roman" w:hAnsi="Times New Roman" w:cs="Times New Roman"/>
          <w:sz w:val="24"/>
          <w:szCs w:val="24"/>
        </w:rPr>
      </w:pPr>
      <w:r>
        <w:rPr>
          <w:rFonts w:ascii="Times New Roman" w:hAnsi="Times New Roman"/>
          <w:sz w:val="24"/>
        </w:rPr>
        <w:t>În hotărârea Curții Supreme se afirmă astfel că interdicția vânzării transfrontaliere la distanță a tuturor băuturilor alcoolice este conformă cu legislația Uniunii. Hotărârea este legitimă.</w:t>
      </w:r>
    </w:p>
    <w:p w:rsidR="00A5142E" w:rsidRPr="00C51AA4" w:rsidRDefault="00A610CB" w:rsidP="00C51AA4">
      <w:pPr>
        <w:jc w:val="both"/>
        <w:rPr>
          <w:rFonts w:ascii="Times New Roman" w:hAnsi="Times New Roman" w:cs="Times New Roman"/>
          <w:sz w:val="24"/>
          <w:szCs w:val="24"/>
        </w:rPr>
      </w:pPr>
      <w:r>
        <w:rPr>
          <w:rFonts w:ascii="Times New Roman" w:hAnsi="Times New Roman"/>
          <w:sz w:val="24"/>
        </w:rPr>
        <w:t>În această privință, hotărârea ia în special în considerare cerința ca vânzarea de băuturi alcoolice să fie permisă numai în Finlanda în centre aprobate de o autoritate. Curtea Supremă declară că dacă un comerciant cu amănuntul (și anume, vânzătorul de la distanță) poate transporta băuturile alcoolice direct la domiciliul clienților sau la un alt loc ales de aceștia, nu ar fi posibilă implementarea punerii în aplicare efective.</w:t>
      </w:r>
    </w:p>
    <w:p w:rsidR="00A610CB" w:rsidRPr="00C51AA4" w:rsidRDefault="00A610CB" w:rsidP="00C51AA4">
      <w:pPr>
        <w:jc w:val="both"/>
        <w:rPr>
          <w:rFonts w:ascii="Times New Roman" w:hAnsi="Times New Roman" w:cs="Times New Roman"/>
          <w:b/>
          <w:sz w:val="24"/>
          <w:szCs w:val="24"/>
        </w:rPr>
      </w:pPr>
    </w:p>
    <w:p w:rsidR="005F364E" w:rsidRPr="00C51AA4" w:rsidRDefault="0010412A" w:rsidP="00C51AA4">
      <w:pPr>
        <w:keepNext/>
        <w:jc w:val="both"/>
        <w:rPr>
          <w:rFonts w:ascii="Times New Roman" w:hAnsi="Times New Roman" w:cs="Times New Roman"/>
          <w:b/>
          <w:sz w:val="24"/>
          <w:szCs w:val="24"/>
        </w:rPr>
      </w:pPr>
      <w:r>
        <w:rPr>
          <w:rFonts w:ascii="Times New Roman" w:hAnsi="Times New Roman"/>
          <w:b/>
          <w:sz w:val="24"/>
        </w:rPr>
        <w:t>3. Opțiuni de soluții</w:t>
      </w:r>
    </w:p>
    <w:p w:rsidR="0010412A" w:rsidRPr="00C51AA4" w:rsidRDefault="0010412A" w:rsidP="00C51AA4">
      <w:pPr>
        <w:pStyle w:val="ListParagraph"/>
        <w:keepNext/>
        <w:ind w:left="360"/>
        <w:jc w:val="both"/>
        <w:rPr>
          <w:i/>
        </w:rPr>
      </w:pPr>
    </w:p>
    <w:p w:rsidR="005F364E" w:rsidRPr="00C51AA4" w:rsidRDefault="005F364E" w:rsidP="00C51AA4">
      <w:pPr>
        <w:pStyle w:val="ListParagraph"/>
        <w:keepNext/>
        <w:numPr>
          <w:ilvl w:val="1"/>
          <w:numId w:val="24"/>
        </w:numPr>
        <w:jc w:val="both"/>
        <w:rPr>
          <w:i/>
        </w:rPr>
      </w:pPr>
      <w:r>
        <w:rPr>
          <w:i/>
        </w:rPr>
        <w:t>Păstrarea situației actuale</w:t>
      </w:r>
    </w:p>
    <w:p w:rsidR="00FE765E" w:rsidRPr="00C51AA4" w:rsidRDefault="00FE765E" w:rsidP="00C51AA4">
      <w:pPr>
        <w:pStyle w:val="ListParagraph"/>
        <w:keepNext/>
        <w:ind w:left="360"/>
        <w:jc w:val="both"/>
        <w:rPr>
          <w:b/>
        </w:rPr>
      </w:pPr>
    </w:p>
    <w:p w:rsidR="00D943A6" w:rsidRPr="00C51AA4" w:rsidRDefault="0043303C" w:rsidP="00C51AA4">
      <w:pPr>
        <w:pStyle w:val="ListParagraph"/>
        <w:ind w:left="0"/>
        <w:jc w:val="both"/>
      </w:pPr>
      <w:r>
        <w:t>Prevederile Legii privind alcoolul în vigoare corespund acelor prevederi din vechea Lege privind alcoolul în temeiul cărora Curtea Supremă a condamnat la închisoare un vânzător de băuturi alcoolice dintr-un alt stat membru care a organizat transportul băuturilor alcoolice achiziționate de clienți la domiciliul acestora din Finlanda. Hotărârea s-a bazat în mod explicit pe decizia preliminară a Curții de Justiție a Uniunii Europene.</w:t>
      </w:r>
    </w:p>
    <w:p w:rsidR="006D1604" w:rsidRPr="00C51AA4" w:rsidRDefault="006D1604" w:rsidP="00C51AA4">
      <w:pPr>
        <w:pStyle w:val="ListParagraph"/>
        <w:ind w:left="0"/>
        <w:jc w:val="both"/>
      </w:pPr>
    </w:p>
    <w:p w:rsidR="00D943A6" w:rsidRPr="00C51AA4" w:rsidRDefault="0091510E" w:rsidP="00C51AA4">
      <w:pPr>
        <w:jc w:val="both"/>
        <w:rPr>
          <w:rFonts w:ascii="Times New Roman" w:hAnsi="Times New Roman" w:cs="Times New Roman"/>
          <w:sz w:val="24"/>
          <w:szCs w:val="24"/>
        </w:rPr>
      </w:pPr>
      <w:r>
        <w:rPr>
          <w:rFonts w:ascii="Times New Roman" w:hAnsi="Times New Roman"/>
          <w:sz w:val="24"/>
        </w:rPr>
        <w:t>Păstrarea articolelor în vigoare ar însemna că vânzarea transfrontalieră la distanță de băuturi alcoolice ar rămâne interzisă și ar fi o contravenție pedepsită de lege. În mod corespunzător, i se permite unui consumator finlandez să cumpere băuturi alcoolice dintr-un alt stat membru și să le importe personal în Finlanda deoarece acest lucru nu este interzis în temeiul Legii privind alcoolul.</w:t>
      </w:r>
    </w:p>
    <w:p w:rsidR="0043303C" w:rsidRPr="00C51AA4" w:rsidRDefault="00D943A6" w:rsidP="00C51AA4">
      <w:pPr>
        <w:jc w:val="both"/>
        <w:rPr>
          <w:rFonts w:ascii="Times New Roman" w:hAnsi="Times New Roman" w:cs="Times New Roman"/>
          <w:sz w:val="24"/>
          <w:szCs w:val="24"/>
        </w:rPr>
      </w:pPr>
      <w:r>
        <w:rPr>
          <w:rFonts w:ascii="Times New Roman" w:hAnsi="Times New Roman"/>
          <w:sz w:val="24"/>
        </w:rPr>
        <w:t>Pe de altă parte, astfel cum a declarat Parlamentul, prevederile s-au dovedit a fi neclare și supuse interpretărilor. Fără a ține seama de decizia preliminară a Curții Supreme, interdicția vânzării transfrontaliere la distanță nu este în mod clar aparentă în prevederi, deși companiile și cetățenii ar trebui să poată stabili, în temeiul prevederilor legale, dacă o anumită activitate constituie o contravenție pedepsită de lege.</w:t>
      </w:r>
    </w:p>
    <w:p w:rsidR="005F364E" w:rsidRPr="00C51AA4" w:rsidRDefault="0091510E" w:rsidP="00C51AA4">
      <w:pPr>
        <w:jc w:val="both"/>
        <w:rPr>
          <w:rFonts w:ascii="Times New Roman" w:hAnsi="Times New Roman" w:cs="Times New Roman"/>
          <w:sz w:val="24"/>
          <w:szCs w:val="24"/>
        </w:rPr>
      </w:pPr>
      <w:r>
        <w:rPr>
          <w:rFonts w:ascii="Times New Roman" w:hAnsi="Times New Roman"/>
          <w:sz w:val="24"/>
        </w:rPr>
        <w:t>Problema cu situația actuală este, în mod special, că vânzarea transfrontalieră la distanță nu este deloc definită. Acest lucru are ca rezultat incapacitatea consumatorilor de a stabili în mod clar ce tip de activitate ar fi achiziție la distanță permisibilă. În plus, chiar în conformitate cu proiectul de lege, această situație neclară a condus la circumstanțe în care prevederile Legii privind alcoolul nu ar fi respectate cu privire la livrarea directă de băuturi alcoolice și mulți consumatori au putut să comande băuturi alcoolice fără taxe prin intermediul vânzării la distanță din străinătate.</w:t>
      </w:r>
    </w:p>
    <w:p w:rsidR="0010412A" w:rsidRPr="00C51AA4" w:rsidRDefault="0010412A" w:rsidP="00C51AA4">
      <w:pPr>
        <w:pStyle w:val="ListParagraph"/>
        <w:ind w:left="360"/>
        <w:jc w:val="both"/>
        <w:rPr>
          <w:b/>
        </w:rPr>
      </w:pPr>
    </w:p>
    <w:p w:rsidR="005F364E" w:rsidRPr="00C51AA4" w:rsidRDefault="00992E1C" w:rsidP="00C51AA4">
      <w:pPr>
        <w:pStyle w:val="ListParagraph"/>
        <w:keepNext/>
        <w:numPr>
          <w:ilvl w:val="1"/>
          <w:numId w:val="24"/>
        </w:numPr>
        <w:jc w:val="both"/>
        <w:rPr>
          <w:i/>
        </w:rPr>
      </w:pPr>
      <w:r>
        <w:rPr>
          <w:i/>
        </w:rPr>
        <w:t>Clarificarea legislativă a situației actuale</w:t>
      </w:r>
    </w:p>
    <w:p w:rsidR="00992E1C" w:rsidRPr="00C51AA4" w:rsidRDefault="00992E1C" w:rsidP="00C51AA4">
      <w:pPr>
        <w:pStyle w:val="ListParagraph"/>
        <w:keepNext/>
        <w:ind w:left="0"/>
        <w:jc w:val="both"/>
        <w:rPr>
          <w:b/>
        </w:rPr>
      </w:pPr>
    </w:p>
    <w:p w:rsidR="00992E1C" w:rsidRPr="00C51AA4" w:rsidRDefault="00992E1C" w:rsidP="00C51AA4">
      <w:pPr>
        <w:pStyle w:val="ListParagraph"/>
        <w:ind w:left="0"/>
        <w:jc w:val="both"/>
      </w:pPr>
      <w:r>
        <w:t>Grupul de lucru sus-menționat a propus ca prevederile actuale să fie clarificate prin definirea vânzării transfrontaliere la distanță de băuturi alcoolice, precum și prin interdicția mai clară a vânzării transfrontaliere la distanță și a importului asociat, dar permițând achiziția la distanță de băuturi alcoolice, astfel cum este definită în Legea privind accizele.</w:t>
      </w:r>
    </w:p>
    <w:p w:rsidR="00751AA4" w:rsidRPr="00C51AA4" w:rsidRDefault="00751AA4" w:rsidP="00C51AA4">
      <w:pPr>
        <w:pStyle w:val="ListParagraph"/>
        <w:ind w:left="0"/>
        <w:jc w:val="both"/>
      </w:pPr>
    </w:p>
    <w:p w:rsidR="00AC4D8E" w:rsidRPr="00C51AA4" w:rsidRDefault="0010412A" w:rsidP="00C51AA4">
      <w:pPr>
        <w:jc w:val="both"/>
        <w:rPr>
          <w:rFonts w:ascii="Times New Roman" w:hAnsi="Times New Roman" w:cs="Times New Roman"/>
          <w:sz w:val="24"/>
          <w:szCs w:val="24"/>
        </w:rPr>
      </w:pPr>
      <w:r>
        <w:rPr>
          <w:rFonts w:ascii="Times New Roman" w:hAnsi="Times New Roman"/>
          <w:sz w:val="24"/>
        </w:rPr>
        <w:t>Potrivit propunerii grupului de lucru, punctul de plecare al pregătirii ar trebui să fie pregătirea prevederilor privind vânzarea transfrontalieră la distanță de băuturi alcoolice în conformitate cu definiția vânzării la distanță în contextul accizelor UE și cu decizia preliminară a Curții de Justiție a Uniunii Europene privind vânzarea la distanță în Cauza C-198/14 Visnapuu. Din moment ce Curtea Supremă nu a deținut nicio parte a sistemului de autorizații de vânzare cu amănuntul pentru băuturi alcoolice contrar legislației Uniunii, nu ar trebui să fie necesară propunerea niciunei modificări a sistemului de autorizații pentru vânzarea cu amănuntul de băuturi alcoolice sau a cerinței pentru sedii fixe.</w:t>
      </w:r>
    </w:p>
    <w:p w:rsidR="00D06353" w:rsidRPr="008E647C" w:rsidRDefault="00B5536F" w:rsidP="00C51AA4">
      <w:pPr>
        <w:jc w:val="both"/>
        <w:rPr>
          <w:rFonts w:ascii="Times New Roman" w:hAnsi="Times New Roman" w:cs="Times New Roman"/>
          <w:sz w:val="24"/>
          <w:szCs w:val="24"/>
        </w:rPr>
      </w:pPr>
      <w:r>
        <w:rPr>
          <w:rFonts w:ascii="Times New Roman" w:hAnsi="Times New Roman"/>
          <w:sz w:val="24"/>
        </w:rPr>
        <w:t>Pentru o pregătire ulterioară, propunerea grupului de lucru a fost completată pentru a include următoarele clarificări privind situația actuală:</w:t>
      </w:r>
    </w:p>
    <w:p w:rsidR="00095018" w:rsidRPr="00C51AA4" w:rsidRDefault="00095018" w:rsidP="00C51AA4">
      <w:pPr>
        <w:keepNext/>
        <w:jc w:val="both"/>
        <w:rPr>
          <w:rFonts w:ascii="Times New Roman" w:hAnsi="Times New Roman" w:cs="Times New Roman"/>
          <w:i/>
        </w:rPr>
      </w:pPr>
      <w:r>
        <w:rPr>
          <w:rFonts w:ascii="Times New Roman" w:hAnsi="Times New Roman"/>
          <w:i/>
        </w:rPr>
        <w:t>Definirea vânzării transfrontaliere la distanță</w:t>
      </w:r>
    </w:p>
    <w:p w:rsidR="00BF59AF" w:rsidRPr="00C51AA4" w:rsidRDefault="00765E4F" w:rsidP="00C51AA4">
      <w:pPr>
        <w:jc w:val="both"/>
        <w:rPr>
          <w:rFonts w:ascii="Times New Roman" w:hAnsi="Times New Roman" w:cs="Times New Roman"/>
          <w:sz w:val="24"/>
          <w:szCs w:val="24"/>
        </w:rPr>
      </w:pPr>
      <w:r>
        <w:rPr>
          <w:rFonts w:ascii="Times New Roman" w:hAnsi="Times New Roman"/>
          <w:sz w:val="24"/>
        </w:rPr>
        <w:t>Legea privind alcoolul în vigoare nu include o definiție a vânzării transfrontaliere la distanță. Potrivit definiției de la articolul 3 din propunere, în procesul de vânzare transfrontalieră la distanță, un beneficiar stabilit în Finlanda a achiziționat băuturi alcoolice fie dintr-un alt stat membru al UE, fie dintr-o țară terță pentru un scop altul decât vânzarea sau pregătirea unei băuturi alcoolice, iar vânzătorul de la distanță sau altă parte care acționează în numele său trimite sau transportă acele băuturi alcoolice în Finlanda în mod direct sau indirect.</w:t>
      </w:r>
    </w:p>
    <w:p w:rsidR="0050139B" w:rsidRPr="00C51AA4" w:rsidRDefault="00300ECD" w:rsidP="00C51AA4">
      <w:pPr>
        <w:jc w:val="both"/>
        <w:rPr>
          <w:rFonts w:ascii="Times New Roman" w:hAnsi="Times New Roman" w:cs="Times New Roman"/>
          <w:sz w:val="24"/>
          <w:szCs w:val="24"/>
        </w:rPr>
      </w:pPr>
      <w:r>
        <w:rPr>
          <w:rFonts w:ascii="Times New Roman" w:hAnsi="Times New Roman"/>
          <w:sz w:val="24"/>
        </w:rPr>
        <w:t>Definiția propusă corespunde în esență definiției pentru vânzarea la distanță prevăzută la articolul 36 din Directiva 2008/118/CE a Consiliului privind regimul general al accizelor și de abrogare a Directivei 92/12/CEE, în temeiul căreia acciza pentru băuturi alcoolice este aplicată în statul membru de destinație în loc de statul de stabilire al vânzătorului. În baza aceluiași principiu, vânzarea transfrontalieră la distanță de băuturi alcoolice ar respecta legislația privind alcoolul a statului membru de destinație, și anume Finlanda, în loc de legislația statului de stabilire a vânzătorului. Astfel, beneficiile care rezultă din interpretarea coerentă ar fi atinse prin aplicarea Legii privind alcoolul și prin supravegherea fiscală.</w:t>
      </w:r>
    </w:p>
    <w:p w:rsidR="00D55EFF" w:rsidRPr="008E647C" w:rsidRDefault="0050139B" w:rsidP="00C51AA4">
      <w:pPr>
        <w:jc w:val="both"/>
        <w:rPr>
          <w:rFonts w:ascii="Times New Roman" w:hAnsi="Times New Roman" w:cs="Times New Roman"/>
          <w:sz w:val="24"/>
          <w:szCs w:val="24"/>
        </w:rPr>
      </w:pPr>
      <w:r>
        <w:rPr>
          <w:rFonts w:ascii="Times New Roman" w:hAnsi="Times New Roman"/>
          <w:sz w:val="24"/>
        </w:rPr>
        <w:t>Numai prin faptul că cumpărătorii și vânzătorul se află în țări diferite nu se întrunește definiția, dar factorul determinant ar fi că în vânzarea la distanță bunurile sunt transportate sau trimise în numele vânzătorului, inclusiv în cazurile în care vânzătorul participă indirect la transportul sau trimiterea bunurilor în Finlanda.</w:t>
      </w:r>
    </w:p>
    <w:p w:rsidR="00095018" w:rsidRPr="00C51AA4" w:rsidRDefault="00F879DE" w:rsidP="00C51AA4">
      <w:pPr>
        <w:keepNext/>
        <w:jc w:val="both"/>
        <w:rPr>
          <w:rFonts w:ascii="Times New Roman" w:hAnsi="Times New Roman" w:cs="Times New Roman"/>
          <w:i/>
        </w:rPr>
      </w:pPr>
      <w:r>
        <w:rPr>
          <w:rFonts w:ascii="Times New Roman" w:hAnsi="Times New Roman"/>
          <w:i/>
        </w:rPr>
        <w:t>Scutire de la cerința de autorizare pentru vânzarea de băuturi alcoolice</w:t>
      </w:r>
    </w:p>
    <w:p w:rsidR="007642CB" w:rsidRPr="008E647C" w:rsidRDefault="00786462" w:rsidP="00C51AA4">
      <w:pPr>
        <w:jc w:val="both"/>
        <w:rPr>
          <w:rFonts w:ascii="Times New Roman" w:hAnsi="Times New Roman" w:cs="Times New Roman"/>
          <w:sz w:val="24"/>
          <w:szCs w:val="24"/>
        </w:rPr>
      </w:pPr>
      <w:r>
        <w:rPr>
          <w:rFonts w:ascii="Times New Roman" w:hAnsi="Times New Roman"/>
          <w:sz w:val="24"/>
        </w:rPr>
        <w:t>În temeiul articolului 5 din Legea privind alcoolul în vigoare, toate vânzările de băuturi alcoolice fac obiectul unei autorizații emise de autorități. Scutirile de la această cerință de autorizare sunt stipulate la articolul 6. Se propune ca un punct să fie adăugat la scutiri:</w:t>
      </w:r>
    </w:p>
    <w:p w:rsidR="00786462" w:rsidRPr="00C51AA4" w:rsidRDefault="001152BD" w:rsidP="00C51AA4">
      <w:pPr>
        <w:jc w:val="both"/>
        <w:rPr>
          <w:rFonts w:ascii="Times New Roman" w:hAnsi="Times New Roman" w:cs="Times New Roman"/>
          <w:sz w:val="24"/>
          <w:szCs w:val="24"/>
        </w:rPr>
      </w:pPr>
      <w:r>
        <w:rPr>
          <w:rFonts w:ascii="Times New Roman" w:hAnsi="Times New Roman"/>
          <w:sz w:val="24"/>
        </w:rPr>
        <w:t>producătorii și vânzătorii stabiliți în alte state membre își vând de obicei produsele vânzătorilor cu amănuntul finlandezi, restaurantelor finlandeze și Monopolului de stat privind alcoolul. Aceștia își pot vinde, de asemenea, produsele producătorilor finlandezi, de exemplu, pentru pregătirea de cocktailuri. Dacă vânzătorul ar participa la transportul bunurilor, vânzarea în cauză ar fi considerată ca având loc în Finlanda, dar vânzarea nu ar fi vânzare transfrontalieră la distanță în sensul definiției din propunere, pentru că ar avea loc pentru vânzarea sau pregătirea unei băuturi alcoolice realizate în Finlanda. Vânzarea de băuturi alcoolice din străinătate comercianților cu amănuntul, comercianților angro și producătorilor finlandezi nu a fost controlată și nu există niciun motiv ca această activitate să fie supusă cerinței de autorizare. Din motive de claritate, legea ar stipula că o astfel de vânzare angro de băuturi alcoolice în Finlanda din străinătate nu face obiectul niciunei autorizații indicate în Legea privind alcoolul. Această scutire de la cerința de autorizație de vânzare acordată producătorilor și vânzătorilor străini ar fi adăugată la articolul 6 din Legea privind alcoolul.</w:t>
      </w:r>
    </w:p>
    <w:p w:rsidR="00D7249B" w:rsidRPr="00C51AA4" w:rsidRDefault="0050139B" w:rsidP="00C51AA4">
      <w:pPr>
        <w:keepNext/>
        <w:jc w:val="both"/>
        <w:rPr>
          <w:rFonts w:ascii="Times New Roman" w:hAnsi="Times New Roman" w:cs="Times New Roman"/>
          <w:i/>
        </w:rPr>
      </w:pPr>
      <w:r>
        <w:rPr>
          <w:rFonts w:ascii="Times New Roman" w:hAnsi="Times New Roman"/>
          <w:i/>
        </w:rPr>
        <w:t>Clarificarea prevederilor privind vânzarea la distanță și importul asociat</w:t>
      </w:r>
    </w:p>
    <w:p w:rsidR="00D7249B" w:rsidRPr="00C51AA4" w:rsidRDefault="00D7249B" w:rsidP="00C51AA4">
      <w:pPr>
        <w:jc w:val="both"/>
        <w:rPr>
          <w:rFonts w:ascii="Times New Roman" w:hAnsi="Times New Roman" w:cs="Times New Roman"/>
          <w:i/>
          <w:sz w:val="24"/>
          <w:szCs w:val="24"/>
        </w:rPr>
      </w:pPr>
      <w:r>
        <w:rPr>
          <w:rFonts w:ascii="Times New Roman" w:hAnsi="Times New Roman"/>
          <w:sz w:val="24"/>
        </w:rPr>
        <w:t>În temeiul articolului 32 (Import de băuturi alcoolice) din Legea privind alcoolul în vigoare, importul de băuturi alcoolice este permis atât pentru uz comercial, cât și uz personal fără a fi necesară o autorizație de import separată. În baza acestei prevederi, cerințele de autorizare prevăzute în Legea privind alcoolul se aplică totuși activității comerciale referitoare la băuturile alcoolice importate.</w:t>
      </w:r>
    </w:p>
    <w:p w:rsidR="007142B9" w:rsidRPr="00C51AA4" w:rsidRDefault="00615C4B" w:rsidP="00C51AA4">
      <w:pPr>
        <w:jc w:val="both"/>
        <w:rPr>
          <w:rFonts w:ascii="Times New Roman" w:hAnsi="Times New Roman" w:cs="Times New Roman"/>
          <w:sz w:val="24"/>
          <w:szCs w:val="24"/>
        </w:rPr>
      </w:pPr>
      <w:r>
        <w:rPr>
          <w:rFonts w:ascii="Times New Roman" w:hAnsi="Times New Roman"/>
          <w:sz w:val="24"/>
        </w:rPr>
        <w:t>Articolul 32 din propunere ar stabili în primul rând, în mod similar versiunii actuale, că importul de băuturi alcoolice este permis atât pentru uz comercial, cât și uz personal fără a fi necesară o autorizație de import separată.</w:t>
      </w:r>
    </w:p>
    <w:p w:rsidR="00507C26" w:rsidRPr="00C51AA4" w:rsidRDefault="00615C4B" w:rsidP="00C51AA4">
      <w:pPr>
        <w:jc w:val="both"/>
        <w:rPr>
          <w:rFonts w:ascii="Times New Roman" w:hAnsi="Times New Roman" w:cs="Times New Roman"/>
          <w:sz w:val="24"/>
          <w:szCs w:val="24"/>
        </w:rPr>
      </w:pPr>
      <w:r>
        <w:rPr>
          <w:rFonts w:ascii="Times New Roman" w:hAnsi="Times New Roman"/>
          <w:sz w:val="24"/>
        </w:rPr>
        <w:t>Ulterior, articolul ar stipula că prevederile de la articolele 5 și 6 din Legea privind alcoolul referitoare la cerința de autorizație pentru vânzări și unicul drept pentru vânzări cu amănuntul s-ar aplica și vânzării de băuturi alcoolice importate. Prevederea ar clarifica faptul specific că Legea finlandeză privind alcoolul se aplică și vânzătorului străin care importă băuturi alcoolice pentru vânzarea cu amănuntul, în modul indicat în rezoluția Curții de Justiție a Uniunii Europene. În temeiul Legii privind alcoolul, nicio autorizație nu poate fi acordată pentru vânzare transfrontalieră la distanță, ceea ce înseamnă că o astfel de activitate va încălca mereu Legea privind alcoolul.</w:t>
      </w:r>
    </w:p>
    <w:p w:rsidR="00EB6414" w:rsidRPr="00C51AA4" w:rsidRDefault="009648DD" w:rsidP="00C51AA4">
      <w:pPr>
        <w:jc w:val="both"/>
        <w:rPr>
          <w:rFonts w:ascii="Times New Roman" w:hAnsi="Times New Roman" w:cs="Times New Roman"/>
          <w:sz w:val="24"/>
          <w:szCs w:val="24"/>
        </w:rPr>
      </w:pPr>
      <w:r>
        <w:rPr>
          <w:rFonts w:ascii="Times New Roman" w:hAnsi="Times New Roman"/>
          <w:sz w:val="24"/>
        </w:rPr>
        <w:t>Dacă un vânzător stabilit în afara Finlandei vinde băuturi alcoolice în Finlanda cu încălcarea Legii finlandeze privind alcoolul, acest lucru constituie o serie unică de evenimente (vânzare, import, livrare la cumpărător) care trebuie considerate ca o încălcare a legii în întregime. Pe de altă parte, vânzarea la distanță de băuturi alcoolice unui cumpărător finlandez în afara Finlandei nu constituie încălcare a legii dacă vânzătorul nu importă băuturile alcoolice în Finlanda în nicio etapă. Astfel cum Curtea de Justiție a Uniunii Europene a declarat în Cauza C-198/14, în temeiul Legii finlandeze privind alcoolul, un vânzător stabilit într-un alt stat membru „</w:t>
      </w:r>
      <w:r>
        <w:rPr>
          <w:rFonts w:ascii="Times New Roman" w:hAnsi="Times New Roman"/>
          <w:i/>
          <w:sz w:val="24"/>
        </w:rPr>
        <w:t>trebuie să dețină o autorizație de vânzare cu amănuntul pentru a importa băuturile alcoolice, în cazul în care acel vânzător sau o persoană care acționează în numele său transportă acele băuturi”.</w:t>
      </w:r>
      <w:r>
        <w:rPr>
          <w:rFonts w:ascii="Times New Roman" w:hAnsi="Times New Roman"/>
          <w:sz w:val="24"/>
        </w:rPr>
        <w:t xml:space="preserve"> Ținând cont de acest lucru, articolul ar clarifica faptul că, în mod specific, băuturile alcoolice care conțin mai mult de 2,8 procente în volum de alcool și vândute prin intermediul vânzării la distanță ilegale nu pot fi importate.</w:t>
      </w:r>
    </w:p>
    <w:p w:rsidR="000F75F9" w:rsidRPr="00C51AA4" w:rsidRDefault="00EB6414" w:rsidP="00C51AA4">
      <w:pPr>
        <w:jc w:val="both"/>
        <w:rPr>
          <w:rFonts w:ascii="Times New Roman" w:hAnsi="Times New Roman" w:cs="Times New Roman"/>
          <w:sz w:val="24"/>
          <w:szCs w:val="24"/>
        </w:rPr>
      </w:pPr>
      <w:r>
        <w:rPr>
          <w:rFonts w:ascii="Times New Roman" w:hAnsi="Times New Roman"/>
          <w:sz w:val="24"/>
        </w:rPr>
        <w:t>Din moment ce vânzarea de băuturi alcoolice care conțin maximum 2,8 procente în volum de alcool nu necesită nicio autorizație în Finlanda în temeiul articolului 6 din Legea privind alcoolul, prevederea ar viza numai băuturile alcoolice care conțin mai mult de 2,8 procente în volum de alcool.</w:t>
      </w:r>
    </w:p>
    <w:p w:rsidR="007142B9" w:rsidRPr="00C51AA4" w:rsidRDefault="000F75F9" w:rsidP="00C51AA4">
      <w:pPr>
        <w:jc w:val="both"/>
        <w:rPr>
          <w:rFonts w:ascii="Times New Roman" w:hAnsi="Times New Roman" w:cs="Times New Roman"/>
          <w:sz w:val="24"/>
          <w:szCs w:val="24"/>
        </w:rPr>
      </w:pPr>
      <w:r>
        <w:rPr>
          <w:rFonts w:ascii="Times New Roman" w:hAnsi="Times New Roman"/>
          <w:sz w:val="24"/>
        </w:rPr>
        <w:t>Conform celor menționate anterior, importul de băuturi alcoolice pentru propriul consum al consumatorului sau al companiei ar fi pe deplin liber în temeiul Legii privind alcoolul. Pentru a clarifica termenii și reglementările Legii privind alcoolul și Legii privind accizele, articolul ar prevedea în continuare că dacă băuturile alcoolice sunt importate astfel cum se menționează la articolul 74 din Legea privind accizele, livrarea trebuie să fie însoțită de un document de identificare a livrării care trebuie prezentat la vamă la cerere. Articolul sus-menționat din Legea privind accizele vizează un caz cu permisiune integrală în care o persoană privată achiziționează, prin mijloace altele decât import prin pasageri sau vânzare la distanță, produse în sfera Legii privind accizele din alt stat membru pentru propriul uz și o altă persoană privată sau un comerciant profesionist transportă produsele în Finlanda. În acest caz, persoana privată care a achiziționat produsele este o persoană impozabilă, așa cum este și persoana care participă la transportul produselor și deține produsele în Finlanda.</w:t>
      </w:r>
    </w:p>
    <w:p w:rsidR="0010412A" w:rsidRPr="00C51AA4" w:rsidRDefault="0010412A" w:rsidP="00C51AA4">
      <w:pPr>
        <w:pStyle w:val="ListParagraph"/>
        <w:ind w:left="0"/>
        <w:jc w:val="both"/>
        <w:rPr>
          <w:b/>
        </w:rPr>
      </w:pPr>
    </w:p>
    <w:p w:rsidR="00D7249B" w:rsidRPr="00C51AA4" w:rsidRDefault="00DA1B77" w:rsidP="00C51AA4">
      <w:pPr>
        <w:pStyle w:val="ListParagraph"/>
        <w:keepNext/>
        <w:ind w:left="0"/>
        <w:jc w:val="both"/>
        <w:rPr>
          <w:i/>
        </w:rPr>
      </w:pPr>
      <w:r>
        <w:rPr>
          <w:i/>
        </w:rPr>
        <w:t>3.3 Permisiunea vânzării transfrontaliere la distanță de băuturi alcoolice</w:t>
      </w:r>
    </w:p>
    <w:p w:rsidR="00F16490" w:rsidRPr="00C51AA4" w:rsidRDefault="00F16490" w:rsidP="00C51AA4">
      <w:pPr>
        <w:pStyle w:val="ListParagraph"/>
        <w:ind w:left="360"/>
        <w:jc w:val="both"/>
        <w:rPr>
          <w:rFonts w:eastAsiaTheme="minorHAnsi"/>
          <w:sz w:val="22"/>
          <w:szCs w:val="22"/>
        </w:rPr>
      </w:pPr>
    </w:p>
    <w:p w:rsidR="00F16490" w:rsidRPr="00C51AA4" w:rsidRDefault="0090707E" w:rsidP="00C51AA4">
      <w:pPr>
        <w:jc w:val="both"/>
        <w:rPr>
          <w:rFonts w:ascii="Times New Roman" w:eastAsia="Times New Roman" w:hAnsi="Times New Roman" w:cs="Times New Roman"/>
          <w:sz w:val="24"/>
          <w:szCs w:val="24"/>
        </w:rPr>
      </w:pPr>
      <w:r>
        <w:rPr>
          <w:rFonts w:ascii="Times New Roman" w:hAnsi="Times New Roman"/>
          <w:sz w:val="24"/>
        </w:rPr>
        <w:t>O opțiune luată, de asemenea, în considerare în pregătire este una potrivit căreia Legea privind alcoolul ar permite vânzarea transfrontalieră la distanță de băuturi alcoolice de către vânzători care operează în străinătate. Acest lucru ar însemna, de exemplu, că producătorii și vânzătorii stabiliți în alte state membre ar avea permisiunea să vândă vinuri consumatorilor finlandezi și acei vânzători sau o persoană care acționează în numele acestora ar transporta aceste băuturi. Legea ar putea stipula proceduri al căror obiectiv ar fi de a asigura aplicarea Legii privind alcoolul cât mai eficient posibil.</w:t>
      </w:r>
    </w:p>
    <w:p w:rsidR="00F16490" w:rsidRPr="00C51AA4" w:rsidRDefault="0090707E" w:rsidP="00C51AA4">
      <w:pPr>
        <w:autoSpaceDE w:val="0"/>
        <w:autoSpaceDN w:val="0"/>
        <w:adjustRightInd w:val="0"/>
        <w:spacing w:after="0" w:line="240" w:lineRule="auto"/>
        <w:jc w:val="both"/>
        <w:rPr>
          <w:rFonts w:ascii="TimesNewRomanPSMT" w:eastAsia="Times New Roman" w:hAnsi="TimesNewRomanPSMT" w:cs="TimesNewRomanPSMT"/>
          <w:i/>
          <w:sz w:val="24"/>
          <w:szCs w:val="24"/>
        </w:rPr>
      </w:pPr>
      <w:r>
        <w:rPr>
          <w:rFonts w:ascii="Times New Roman" w:hAnsi="Times New Roman"/>
          <w:sz w:val="24"/>
        </w:rPr>
        <w:t>Cu toate acestea, această opțiune ar însemna că producătorii și vânzătorii străini de băuturi alcoolice ar fi într-o poziție mult mai favorabilă în legislația finlandeză decât producătorii și vânzătorii finlandezi. Punerea în aplicare a acestei opțiuni ar fi contrară principiului-cheie stipulat la articolul 6 din Constituția Finlandei, și anume principiul egalității. Astfel cum a declarat Curtea de Apel din Helsinki în hotărârea pronunțată pe baza deciziei preliminare a Curții de Justiție a Uniunii Europene:</w:t>
      </w:r>
      <w:r>
        <w:rPr>
          <w:rFonts w:ascii="TimesNewRomanPSMT" w:hAnsi="TimesNewRomanPSMT"/>
          <w:i/>
          <w:sz w:val="24"/>
        </w:rPr>
        <w:t xml:space="preserve"> „Dacă vânzarea la distanță de produse care fac obiectul monopolului de vânzare cu amănuntul al Monopolului de stat privind alcoolul către consumatorii finlandezi ar fi permisă operatorilor stabiliți în alte state membre, ar trebui să fie permisă și operatorilor stabiliți în Finlanda. În practică, acest lucru ar însemna eliminarea monopolului existent, lucru care nu este solicitat în temeiul articolului 37 din TFUE potrivit jurisprudenței Curții de Justiție a Uniunii Europene (Cauza</w:t>
      </w:r>
      <w:r w:rsidR="00415C59">
        <w:rPr>
          <w:rFonts w:ascii="TimesNewRomanPSMT" w:hAnsi="TimesNewRomanPSMT"/>
          <w:i/>
          <w:sz w:val="24"/>
        </w:rPr>
        <w:t xml:space="preserve"> </w:t>
      </w:r>
      <w:r>
        <w:rPr>
          <w:rFonts w:ascii="TimesNewRomanPSMT" w:hAnsi="TimesNewRomanPSMT"/>
          <w:i/>
          <w:sz w:val="24"/>
        </w:rPr>
        <w:t>59/75 Pubblico Ministero vs. Manghera și alții [1976] Rep. 91, paragraful 9; Cauza 91/78 Hansen [1979] Rep.</w:t>
      </w:r>
      <w:r w:rsidR="00415C59">
        <w:rPr>
          <w:rFonts w:ascii="TimesNewRomanPSMT" w:hAnsi="TimesNewRomanPSMT"/>
          <w:i/>
          <w:sz w:val="24"/>
        </w:rPr>
        <w:t xml:space="preserve"> </w:t>
      </w:r>
      <w:r>
        <w:rPr>
          <w:rFonts w:ascii="TimesNewRomanPSMT" w:hAnsi="TimesNewRomanPSMT"/>
          <w:i/>
          <w:sz w:val="24"/>
        </w:rPr>
        <w:t>935, paragraful 8; Cauza 8/82 Comisia vs. Italia [1983] Rep.</w:t>
      </w:r>
      <w:r w:rsidR="00415C59">
        <w:rPr>
          <w:rFonts w:ascii="TimesNewRomanPSMT" w:hAnsi="TimesNewRomanPSMT"/>
          <w:i/>
          <w:sz w:val="24"/>
        </w:rPr>
        <w:t xml:space="preserve"> </w:t>
      </w:r>
      <w:r>
        <w:rPr>
          <w:rFonts w:ascii="TimesNewRomanPSMT" w:hAnsi="TimesNewRomanPSMT"/>
          <w:i/>
          <w:sz w:val="24"/>
        </w:rPr>
        <w:t>1955, paragraful 11; Cauza C</w:t>
      </w:r>
      <w:r>
        <w:noBreakHyphen/>
      </w:r>
      <w:r>
        <w:rPr>
          <w:rFonts w:ascii="TimesNewRomanPSMT" w:hAnsi="TimesNewRomanPSMT"/>
          <w:i/>
          <w:sz w:val="24"/>
        </w:rPr>
        <w:t>347/88 Comisia vs. Grecia [1990] Rep. I-4747, paragraful 42 și Cauza C</w:t>
      </w:r>
      <w:r>
        <w:noBreakHyphen/>
      </w:r>
      <w:r>
        <w:rPr>
          <w:rFonts w:ascii="TimesNewRomanPSMT" w:hAnsi="TimesNewRomanPSMT"/>
          <w:i/>
          <w:sz w:val="24"/>
        </w:rPr>
        <w:t>387/93 Banchero [1995] Rep.</w:t>
      </w:r>
      <w:r w:rsidR="00415C59">
        <w:rPr>
          <w:rFonts w:ascii="TimesNewRomanPSMT" w:hAnsi="TimesNewRomanPSMT"/>
          <w:i/>
          <w:sz w:val="24"/>
        </w:rPr>
        <w:t xml:space="preserve"> </w:t>
      </w:r>
      <w:r>
        <w:rPr>
          <w:rFonts w:ascii="TimesNewRomanPSMT" w:hAnsi="TimesNewRomanPSMT"/>
          <w:i/>
          <w:sz w:val="24"/>
        </w:rPr>
        <w:t>I-4663, paragraful 27, Banchero II).”</w:t>
      </w:r>
    </w:p>
    <w:p w:rsidR="00F16490" w:rsidRPr="00C51AA4" w:rsidRDefault="00F16490" w:rsidP="00C51AA4">
      <w:pPr>
        <w:autoSpaceDE w:val="0"/>
        <w:autoSpaceDN w:val="0"/>
        <w:adjustRightInd w:val="0"/>
        <w:spacing w:after="0" w:line="240" w:lineRule="auto"/>
        <w:jc w:val="both"/>
        <w:rPr>
          <w:rFonts w:ascii="TimesNewRomanPSMT" w:eastAsia="Times New Roman" w:hAnsi="TimesNewRomanPSMT" w:cs="TimesNewRomanPSMT"/>
          <w:i/>
          <w:sz w:val="24"/>
          <w:szCs w:val="24"/>
        </w:rPr>
      </w:pPr>
    </w:p>
    <w:p w:rsidR="0003159B" w:rsidRPr="00C51AA4" w:rsidRDefault="0003159B" w:rsidP="00C51AA4">
      <w:pPr>
        <w:jc w:val="both"/>
        <w:rPr>
          <w:rFonts w:ascii="Times New Roman" w:hAnsi="Times New Roman" w:cs="Times New Roman"/>
          <w:sz w:val="24"/>
          <w:szCs w:val="24"/>
        </w:rPr>
      </w:pPr>
      <w:r>
        <w:rPr>
          <w:rFonts w:ascii="Times New Roman" w:hAnsi="Times New Roman"/>
          <w:sz w:val="24"/>
        </w:rPr>
        <w:t>Potrivit declarației Parlamentului, obiectivul proiectului de lege a fost găsirea de soluții privind vânzarea la distanță inclusă în propunere pentru a nu periclita păstrarea dreptului unic actual de vânzare cu amănuntul de băuturi alcoolice sau egalitatea comunității de afaceri finlandeze cu privire la concurenții străini. Singura opțiune, care este coerentă și cu legislația Uniunii, este, prin urmare, de a interzice în mod mult mai clar decât în prezent vânzarea transfrontalieră a tuturor băuturilor alcoolice și importul asociat.</w:t>
      </w:r>
    </w:p>
    <w:p w:rsidR="003434B1" w:rsidRPr="00C51AA4" w:rsidRDefault="0003159B" w:rsidP="00C51AA4">
      <w:pPr>
        <w:pStyle w:val="ListParagraph"/>
        <w:ind w:left="0"/>
        <w:jc w:val="both"/>
        <w:rPr>
          <w:rFonts w:eastAsiaTheme="minorHAnsi"/>
        </w:rPr>
      </w:pPr>
      <w:r>
        <w:t xml:space="preserve">Printre opțiunile sus-menționate, cea considerată cea mai bună este, prin urmare, </w:t>
      </w:r>
      <w:r>
        <w:rPr>
          <w:i/>
        </w:rPr>
        <w:t xml:space="preserve">Clarificarea legislativă a situației actuale, </w:t>
      </w:r>
      <w:r>
        <w:t>pentru că ar clarifica reglementările neclare și s-ar adera la principiile legislației Uniunii prevăzute în decizia preliminară a Curții de Justiție a Uniunii Europene și în hotărârea Curții Supreme. Deși propunerea nu ar schimba situația actuală ca atare, punerea sa în aplicare ar îmbunătăți eficiența aplicării atât a Legii privind alcoolul, cât și a Legii privind accizele.</w:t>
      </w:r>
    </w:p>
    <w:p w:rsidR="003434B1" w:rsidRPr="00C51AA4" w:rsidRDefault="003434B1" w:rsidP="00C51AA4">
      <w:pPr>
        <w:pStyle w:val="ListParagraph"/>
        <w:ind w:left="0"/>
        <w:jc w:val="both"/>
        <w:rPr>
          <w:rFonts w:eastAsiaTheme="minorHAnsi"/>
        </w:rPr>
      </w:pPr>
    </w:p>
    <w:p w:rsidR="0003159B" w:rsidRPr="00C51AA4" w:rsidRDefault="00340E73" w:rsidP="00C51AA4">
      <w:pPr>
        <w:pStyle w:val="ListParagraph"/>
        <w:ind w:left="0"/>
        <w:jc w:val="both"/>
        <w:rPr>
          <w:rFonts w:eastAsiaTheme="minorHAnsi"/>
        </w:rPr>
      </w:pPr>
      <w:r>
        <w:t>În plus, legea ar prevedea o procedură clară privind modul în care persoanele private ar putea cumpăra și importa toate băuturile alcoolice pentru propriul uz, caz în care o altă persoană privată sau un comerciant profesionist transportă băuturile în Finlanda.</w:t>
      </w:r>
    </w:p>
    <w:p w:rsidR="00F16490" w:rsidRPr="00C51AA4" w:rsidRDefault="00F16490"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834014" w:rsidRPr="00C51AA4" w:rsidRDefault="00834014"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03159B" w:rsidRPr="00C51AA4" w:rsidRDefault="00340E73" w:rsidP="00C51AA4">
      <w:pPr>
        <w:keepNext/>
        <w:autoSpaceDE w:val="0"/>
        <w:autoSpaceDN w:val="0"/>
        <w:adjustRightInd w:val="0"/>
        <w:spacing w:after="0" w:line="240" w:lineRule="auto"/>
        <w:jc w:val="both"/>
        <w:rPr>
          <w:rFonts w:ascii="TimesNewRomanPSMT" w:eastAsia="Times New Roman" w:hAnsi="TimesNewRomanPSMT" w:cs="TimesNewRomanPSMT"/>
          <w:b/>
          <w:sz w:val="24"/>
          <w:szCs w:val="24"/>
        </w:rPr>
      </w:pPr>
      <w:r>
        <w:rPr>
          <w:rFonts w:ascii="TimesNewRomanPSMT" w:hAnsi="TimesNewRomanPSMT"/>
          <w:b/>
          <w:sz w:val="24"/>
        </w:rPr>
        <w:t>4. Puncte de vedere ale operatorilor</w:t>
      </w:r>
    </w:p>
    <w:p w:rsidR="0003159B" w:rsidRPr="00C51AA4" w:rsidRDefault="0003159B" w:rsidP="00C51AA4">
      <w:pPr>
        <w:autoSpaceDE w:val="0"/>
        <w:autoSpaceDN w:val="0"/>
        <w:adjustRightInd w:val="0"/>
        <w:spacing w:after="0" w:line="240" w:lineRule="auto"/>
        <w:jc w:val="both"/>
        <w:rPr>
          <w:rFonts w:ascii="TimesNewRomanPSMT" w:eastAsia="Times New Roman" w:hAnsi="TimesNewRomanPSMT" w:cs="TimesNewRomanPSMT"/>
          <w:b/>
          <w:sz w:val="24"/>
          <w:szCs w:val="24"/>
        </w:rPr>
      </w:pPr>
    </w:p>
    <w:p w:rsidR="0003159B" w:rsidRPr="0063111B" w:rsidRDefault="0003159B" w:rsidP="00C51AA4">
      <w:pPr>
        <w:autoSpaceDE w:val="0"/>
        <w:autoSpaceDN w:val="0"/>
        <w:adjustRightInd w:val="0"/>
        <w:spacing w:after="0" w:line="240" w:lineRule="auto"/>
        <w:jc w:val="both"/>
        <w:rPr>
          <w:rFonts w:ascii="Times New Roman" w:hAnsi="Times New Roman" w:cs="Times New Roman"/>
          <w:sz w:val="24"/>
          <w:szCs w:val="24"/>
        </w:rPr>
      </w:pPr>
      <w:r w:rsidRPr="0063111B">
        <w:rPr>
          <w:rFonts w:ascii="Times New Roman" w:hAnsi="Times New Roman" w:cs="Times New Roman"/>
          <w:sz w:val="24"/>
          <w:szCs w:val="24"/>
        </w:rPr>
        <w:t xml:space="preserve">Opțiunea </w:t>
      </w:r>
      <w:r w:rsidRPr="0063111B">
        <w:rPr>
          <w:rFonts w:ascii="Times New Roman" w:hAnsi="Times New Roman" w:cs="Times New Roman"/>
          <w:i/>
          <w:sz w:val="24"/>
          <w:szCs w:val="24"/>
        </w:rPr>
        <w:t>Clarificarea legislativă a situației actuale</w:t>
      </w:r>
      <w:r w:rsidRPr="0063111B">
        <w:rPr>
          <w:rFonts w:ascii="Times New Roman" w:hAnsi="Times New Roman" w:cs="Times New Roman"/>
          <w:sz w:val="24"/>
          <w:szCs w:val="24"/>
        </w:rPr>
        <w:t xml:space="preserve"> are la bază propunerea unanimă a grupului de lucru care a analizat problema. Entitățile reprezentate în grupul de lucru au fost Ministerul Afacerilor Sociale și Sănătății, Ministerul Finanțelor, Ministerul Afacerilor Economice și Forței de Muncă, Autoritatea Națională de Supraveghere pentru Bunăstare și Sănătate, Administrația Vamală și Fiscală din cadrul guvernului central și Asociația Industriilor Băuturilor Alcoolice și Asociația Finlandeză a Furnizorilor de Băuturi Alcoolice din cadrul comunității de afaceri.</w:t>
      </w:r>
    </w:p>
    <w:p w:rsidR="009E07A1" w:rsidRPr="00C51AA4" w:rsidRDefault="009E07A1" w:rsidP="00C51AA4">
      <w:pPr>
        <w:autoSpaceDE w:val="0"/>
        <w:autoSpaceDN w:val="0"/>
        <w:adjustRightInd w:val="0"/>
        <w:spacing w:after="0" w:line="240" w:lineRule="auto"/>
        <w:jc w:val="both"/>
        <w:rPr>
          <w:rFonts w:ascii="Times New Roman" w:hAnsi="Times New Roman" w:cs="Times New Roman"/>
          <w:sz w:val="24"/>
          <w:szCs w:val="24"/>
        </w:rPr>
      </w:pPr>
    </w:p>
    <w:p w:rsidR="00834014" w:rsidRPr="00C51AA4" w:rsidRDefault="00834014" w:rsidP="00C51A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Multe companii care realizează vânzarea transfrontalieră la distanță de băuturi alcoolice, în special din Estonia, consideră că Legea privind alcoolul ar trebui modificată pentru a permite vânzarea transfrontalieră la distanță de băuturi alcoolice.</w:t>
      </w:r>
    </w:p>
    <w:p w:rsidR="00834014" w:rsidRPr="00C51AA4" w:rsidRDefault="00834014" w:rsidP="00C51AA4">
      <w:pPr>
        <w:autoSpaceDE w:val="0"/>
        <w:autoSpaceDN w:val="0"/>
        <w:adjustRightInd w:val="0"/>
        <w:spacing w:after="0" w:line="240" w:lineRule="auto"/>
        <w:jc w:val="both"/>
        <w:rPr>
          <w:rFonts w:ascii="Times New Roman" w:hAnsi="Times New Roman" w:cs="Times New Roman"/>
          <w:sz w:val="24"/>
          <w:szCs w:val="24"/>
        </w:rPr>
      </w:pPr>
    </w:p>
    <w:p w:rsidR="00340E73" w:rsidRPr="00C51AA4" w:rsidRDefault="00340E73"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340E73" w:rsidRPr="00C51AA4" w:rsidRDefault="00340E73" w:rsidP="00C51AA4">
      <w:pPr>
        <w:keepNext/>
        <w:spacing w:after="0" w:line="240" w:lineRule="auto"/>
        <w:jc w:val="both"/>
        <w:rPr>
          <w:rFonts w:ascii="TimesNewRomanPSMT" w:eastAsia="Times New Roman" w:hAnsi="TimesNewRomanPSMT" w:cs="TimesNewRomanPSMT"/>
          <w:b/>
          <w:sz w:val="24"/>
          <w:szCs w:val="24"/>
        </w:rPr>
      </w:pPr>
      <w:r>
        <w:rPr>
          <w:rFonts w:ascii="TimesNewRomanPSMT" w:hAnsi="TimesNewRomanPSMT"/>
          <w:b/>
          <w:sz w:val="24"/>
        </w:rPr>
        <w:t>5. Beneficiile și costurile opțiunii selectate ca fiind cea mai bună</w:t>
      </w:r>
    </w:p>
    <w:p w:rsidR="003766A6" w:rsidRPr="00C51AA4" w:rsidRDefault="003766A6" w:rsidP="00C51AA4">
      <w:pPr>
        <w:pStyle w:val="ListParagraph"/>
        <w:ind w:left="0"/>
        <w:jc w:val="both"/>
        <w:rPr>
          <w:rFonts w:ascii="TimesNewRomanPSMT" w:hAnsi="TimesNewRomanPSMT" w:cs="TimesNewRomanPSMT"/>
        </w:rPr>
      </w:pPr>
    </w:p>
    <w:p w:rsidR="00E90597" w:rsidRPr="00C51AA4" w:rsidRDefault="00834014" w:rsidP="00C51AA4">
      <w:pPr>
        <w:pStyle w:val="ListParagraph"/>
        <w:ind w:left="0"/>
        <w:jc w:val="both"/>
        <w:rPr>
          <w:rFonts w:ascii="TimesNewRomanPSMT" w:hAnsi="TimesNewRomanPSMT" w:cs="TimesNewRomanPSMT"/>
        </w:rPr>
      </w:pPr>
      <w:r>
        <w:t xml:space="preserve">Opțiunea </w:t>
      </w:r>
      <w:r>
        <w:rPr>
          <w:i/>
        </w:rPr>
        <w:t xml:space="preserve">Clarificarea legislativă a situației actuale </w:t>
      </w:r>
      <w:r>
        <w:t>nu ar schimba statutul juridic actual și, astfel, niciun beneficiu sau cost nou special nu este asociat propunerii.</w:t>
      </w:r>
    </w:p>
    <w:p w:rsidR="00E90597" w:rsidRPr="00C51AA4" w:rsidRDefault="00E90597" w:rsidP="00C51AA4">
      <w:pPr>
        <w:pStyle w:val="ListParagraph"/>
        <w:ind w:left="0"/>
        <w:jc w:val="both"/>
        <w:rPr>
          <w:rFonts w:ascii="TimesNewRomanPSMT" w:hAnsi="TimesNewRomanPSMT" w:cs="TimesNewRomanPSMT"/>
        </w:rPr>
      </w:pPr>
    </w:p>
    <w:p w:rsidR="00FF75A1" w:rsidRPr="00C51AA4" w:rsidRDefault="00E90597" w:rsidP="00C51AA4">
      <w:pPr>
        <w:pStyle w:val="ListParagraph"/>
        <w:ind w:left="0"/>
        <w:jc w:val="both"/>
        <w:rPr>
          <w:rFonts w:ascii="TimesNewRomanPSMT" w:hAnsi="TimesNewRomanPSMT" w:cs="TimesNewRomanPSMT"/>
        </w:rPr>
      </w:pPr>
      <w:r>
        <w:rPr>
          <w:rFonts w:ascii="TimesNewRomanPSMT" w:hAnsi="TimesNewRomanPSMT"/>
        </w:rPr>
        <w:t>Cu toate acestea, propunerea ar clarifica interpretarea prevederilor și ar îmbunătăți considerabil precizia legală. Prin reducerea vânzărilor care încalcă Legea privind alcoolul, propunerea ar avea efecte pozitive asupra sănătății publice și finanțelor guvernului. Peste 10 000 de loturi de marfă de la magazine online care includeau alcool au intrat în Finlanda din străinătate anual și, în aproximativ 99 % dintre cazuri, vânzătorul organiza transportul băuturilor alcoolice în Finlanda. În mare parte, acești vânzători la distanță nu au plătit taxe pentru alcool, iar băuturile au fost livrate clienților încălcându-se Legea privind alcoolul.</w:t>
      </w:r>
    </w:p>
    <w:p w:rsidR="00FF75A1" w:rsidRPr="00C51AA4" w:rsidRDefault="00FF75A1" w:rsidP="00C51AA4">
      <w:pPr>
        <w:pStyle w:val="ListParagraph"/>
        <w:ind w:left="0"/>
        <w:jc w:val="both"/>
        <w:rPr>
          <w:rFonts w:ascii="TimesNewRomanPSMT" w:hAnsi="TimesNewRomanPSMT" w:cs="TimesNewRomanPSMT"/>
        </w:rPr>
      </w:pPr>
    </w:p>
    <w:p w:rsidR="003766A6" w:rsidRPr="00C51AA4" w:rsidRDefault="003766A6" w:rsidP="00C51AA4">
      <w:pPr>
        <w:pStyle w:val="ListParagraph"/>
        <w:ind w:left="0"/>
        <w:jc w:val="both"/>
        <w:rPr>
          <w:rFonts w:ascii="TimesNewRomanPSMT" w:hAnsi="TimesNewRomanPSMT" w:cs="TimesNewRomanPSMT"/>
        </w:rPr>
      </w:pPr>
      <w:r>
        <w:rPr>
          <w:rFonts w:ascii="TimesNewRomanPSMT" w:hAnsi="TimesNewRomanPSMT"/>
        </w:rPr>
        <w:t>Vânzările online din străinătate de băuturi alcoolice reprezintă estimativ aproximativ 1–2 % din piața totală, în timp ce vânzările online agregate de alte produse alimentare atât din Finlanda, cât și din străinătate reprezintă în prezent aproximativ 0,2–0,3 % din piața produselor alimentare. Din moment ce vânzările online străine de alcool sunt deja atât de extinse, există îngrijorarea că, dacă legislația nu este clarificată, vânzarea transfrontalieră la distanță va crește în viitor odată cu creșterea tuturor vânzărilor online, astfel încât băuturile alcoolice vor fi tot mai mult livrate cumpărătorilor fără un control efectiv.</w:t>
      </w:r>
    </w:p>
    <w:p w:rsidR="003766A6" w:rsidRPr="00C51AA4" w:rsidRDefault="003766A6" w:rsidP="00C51AA4">
      <w:pPr>
        <w:pStyle w:val="ListParagraph"/>
        <w:ind w:left="0"/>
        <w:jc w:val="both"/>
        <w:rPr>
          <w:rFonts w:ascii="TimesNewRomanPSMT" w:hAnsi="TimesNewRomanPSMT" w:cs="TimesNewRomanPSMT"/>
        </w:rPr>
      </w:pPr>
    </w:p>
    <w:p w:rsidR="00173834" w:rsidRPr="00C51AA4" w:rsidRDefault="00173834" w:rsidP="00C51AA4">
      <w:pPr>
        <w:jc w:val="both"/>
        <w:rPr>
          <w:rFonts w:ascii="TimesNewRomanPSMT" w:eastAsia="Times New Roman" w:hAnsi="TimesNewRomanPSMT" w:cs="TimesNewRomanPSMT"/>
          <w:sz w:val="24"/>
          <w:szCs w:val="24"/>
        </w:rPr>
      </w:pPr>
      <w:r>
        <w:rPr>
          <w:rFonts w:ascii="TimesNewRomanPSMT" w:hAnsi="TimesNewRomanPSMT"/>
          <w:sz w:val="24"/>
        </w:rPr>
        <w:t>Deși producătorii și vânzătorii de băuturi alcoolice stabiliți în alte state membre nu pot, în temeiul Legii finlandeze privind alcoolul, practica vânzarea la distanță de băuturi alcoolice cumpărătorilor finlandezi, importul de băuturi alcoolice în Finlanda ar fi în continuare permis sub formă de achiziție la distanță. Pe de altă parte, este sigur că cu cât va fi mai mare impozitul datorat pentru achizițiile la distanță, cu atât va fi mai mic volumul actual de achiziții de băuturi alcoolice.</w:t>
      </w:r>
    </w:p>
    <w:p w:rsidR="009C096E" w:rsidRPr="008E647C" w:rsidRDefault="00173834" w:rsidP="00C51AA4">
      <w:pPr>
        <w:jc w:val="both"/>
        <w:rPr>
          <w:rFonts w:ascii="TimesNewRomanPSMT" w:eastAsia="Times New Roman" w:hAnsi="TimesNewRomanPSMT" w:cs="TimesNewRomanPSMT"/>
          <w:sz w:val="24"/>
          <w:szCs w:val="24"/>
        </w:rPr>
      </w:pPr>
      <w:r>
        <w:rPr>
          <w:rFonts w:ascii="TimesNewRomanPSMT" w:hAnsi="TimesNewRomanPSMT"/>
          <w:sz w:val="24"/>
        </w:rPr>
        <w:t>În plus, Finlanda a planificat un aranjament pe care Comisia l-a menționat în opinia sa detaliată din 15 martie 2017. Comisia a prezentat aspectul autorizării Monopolului de stat privind alcoolul pentru a realiza vânzare transfrontalieră la distanță, importuri în Finlanda și livrarea către persoane private a băuturilor alcoolice importate. Obiectivul noului aranjament planificat de Finlanda este ca fiecare producător sau vânzător de băuturi alcoolice, indiferent de naționalitate, să pună liste cu propriile lor produse în selecția magazinului online al Monopolului de stat privind alcoolul pe baza propriei lor notificări. Acest lucru ar însemna, de exemplu, că fiecare producător ar putea să își comercializeze produsele în Finlanda, consumatorii finlandezi le-ar putea comanda direct de pe magazinul online al Monopolului de stat privind alcoolul, iar Monopolul de stat privind alcoolul ar realiza importul produselor și livrarea acestora persoanelor private în cauză fie la centrul de desfacere al Monopolului de stat privind alcoolul, fie la adresele de livrare. Obiectivul este ca acest aranjament să fie pus în aplicare în același timp cu intrarea în vigoare a proiectului de lege avut în vedere.</w:t>
      </w:r>
    </w:p>
    <w:p w:rsidR="00606BB4" w:rsidRPr="00C51AA4" w:rsidRDefault="00606BB4" w:rsidP="00D715FE">
      <w:pPr>
        <w:pageBreakBefore/>
        <w:rPr>
          <w:rFonts w:ascii="Times New Roman" w:eastAsia="Times New Roman" w:hAnsi="Times New Roman" w:cs="Times New Roman"/>
          <w:sz w:val="24"/>
          <w:szCs w:val="24"/>
          <w:u w:val="single"/>
        </w:rPr>
      </w:pPr>
      <w:r>
        <w:rPr>
          <w:rFonts w:ascii="Times New Roman" w:hAnsi="Times New Roman"/>
          <w:sz w:val="24"/>
          <w:u w:val="single"/>
        </w:rPr>
        <w:t>Proiect din 2 iulie 2018</w:t>
      </w:r>
    </w:p>
    <w:p w:rsidR="006A1CEB" w:rsidRPr="00C51AA4" w:rsidRDefault="006A1CEB" w:rsidP="006A1CEB">
      <w:pPr>
        <w:jc w:val="center"/>
        <w:rPr>
          <w:rFonts w:ascii="Times New Roman" w:hAnsi="Times New Roman" w:cs="Times New Roman"/>
          <w:b/>
          <w:bCs/>
          <w:sz w:val="32"/>
          <w:szCs w:val="32"/>
        </w:rPr>
      </w:pPr>
      <w:r>
        <w:rPr>
          <w:rFonts w:ascii="Times New Roman" w:hAnsi="Times New Roman"/>
          <w:b/>
          <w:sz w:val="32"/>
        </w:rPr>
        <w:t>Lege</w:t>
      </w:r>
    </w:p>
    <w:p w:rsidR="006A1CEB" w:rsidRPr="00C51AA4" w:rsidRDefault="006A1CEB" w:rsidP="006A1CEB">
      <w:pPr>
        <w:jc w:val="center"/>
        <w:rPr>
          <w:rFonts w:ascii="Times New Roman" w:hAnsi="Times New Roman" w:cs="Times New Roman"/>
          <w:b/>
          <w:bCs/>
        </w:rPr>
      </w:pPr>
      <w:r>
        <w:rPr>
          <w:rFonts w:ascii="Times New Roman" w:hAnsi="Times New Roman"/>
          <w:b/>
        </w:rPr>
        <w:t>de modificare a Legii privind alcoolul</w:t>
      </w:r>
    </w:p>
    <w:p w:rsidR="006A1CEB" w:rsidRPr="00C51AA4" w:rsidRDefault="006A1CEB" w:rsidP="006A1CEB">
      <w:pPr>
        <w:rPr>
          <w:rFonts w:ascii="Times New Roman" w:hAnsi="Times New Roman" w:cs="Times New Roman"/>
          <w:bCs/>
        </w:rPr>
      </w:pPr>
      <w:r>
        <w:rPr>
          <w:rFonts w:ascii="Times New Roman" w:hAnsi="Times New Roman"/>
        </w:rPr>
        <w:t>În conformitate cu decizia Parlamentului,</w:t>
      </w:r>
    </w:p>
    <w:p w:rsidR="006A1CEB" w:rsidRPr="00C51AA4" w:rsidRDefault="006A1CEB" w:rsidP="00C51AA4">
      <w:pPr>
        <w:jc w:val="both"/>
        <w:rPr>
          <w:rFonts w:ascii="Times New Roman" w:hAnsi="Times New Roman" w:cs="Times New Roman"/>
          <w:bCs/>
        </w:rPr>
      </w:pPr>
      <w:r>
        <w:rPr>
          <w:rFonts w:ascii="Times New Roman" w:hAnsi="Times New Roman"/>
        </w:rPr>
        <w:t xml:space="preserve">noi puncte 17 și 18 sunt </w:t>
      </w:r>
      <w:r>
        <w:rPr>
          <w:rFonts w:ascii="Times New Roman" w:hAnsi="Times New Roman"/>
          <w:i/>
        </w:rPr>
        <w:t>adăugate</w:t>
      </w:r>
      <w:r>
        <w:rPr>
          <w:rFonts w:ascii="Times New Roman" w:hAnsi="Times New Roman"/>
        </w:rPr>
        <w:t xml:space="preserve"> la articolul 3 alineatul (1), un nou punct 8 este </w:t>
      </w:r>
      <w:r>
        <w:rPr>
          <w:rFonts w:ascii="Times New Roman" w:hAnsi="Times New Roman"/>
          <w:i/>
        </w:rPr>
        <w:t>adăugat</w:t>
      </w:r>
      <w:r>
        <w:rPr>
          <w:rFonts w:ascii="Times New Roman" w:hAnsi="Times New Roman"/>
        </w:rPr>
        <w:t xml:space="preserve"> la articolul 6 alineatul (1), iar articolul 32 din Legea privind alcoolul (1102/2017) se </w:t>
      </w:r>
      <w:r>
        <w:rPr>
          <w:rFonts w:ascii="Times New Roman" w:hAnsi="Times New Roman"/>
          <w:i/>
        </w:rPr>
        <w:t xml:space="preserve">modifică </w:t>
      </w:r>
      <w:r>
        <w:rPr>
          <w:rFonts w:ascii="Times New Roman" w:hAnsi="Times New Roman"/>
        </w:rPr>
        <w:t>după cum urmează:</w:t>
      </w:r>
    </w:p>
    <w:p w:rsidR="006A1CEB" w:rsidRPr="00C51AA4" w:rsidRDefault="006A1CEB" w:rsidP="006A1CEB">
      <w:pPr>
        <w:jc w:val="center"/>
        <w:rPr>
          <w:rFonts w:ascii="Times New Roman" w:hAnsi="Times New Roman" w:cs="Times New Roman"/>
          <w:bCs/>
          <w:i/>
        </w:rPr>
      </w:pPr>
      <w:r>
        <w:rPr>
          <w:rFonts w:ascii="Times New Roman" w:hAnsi="Times New Roman"/>
          <w:i/>
        </w:rPr>
        <w:t>Articolul 3</w:t>
      </w:r>
    </w:p>
    <w:p w:rsidR="006A1CEB" w:rsidRPr="00C51AA4" w:rsidRDefault="006A1CEB" w:rsidP="006A1CEB">
      <w:pPr>
        <w:jc w:val="center"/>
        <w:rPr>
          <w:rFonts w:ascii="Times New Roman" w:eastAsia="Times New Roman" w:hAnsi="Times New Roman" w:cs="Times New Roman"/>
          <w:i/>
          <w:color w:val="000000"/>
        </w:rPr>
      </w:pPr>
      <w:r>
        <w:rPr>
          <w:rFonts w:ascii="Times New Roman" w:hAnsi="Times New Roman"/>
          <w:i/>
          <w:color w:val="000000"/>
        </w:rPr>
        <w:t>Definiții</w:t>
      </w:r>
    </w:p>
    <w:p w:rsidR="00834014" w:rsidRPr="00C51AA4" w:rsidRDefault="00834014" w:rsidP="00834014">
      <w:pPr>
        <w:rPr>
          <w:rFonts w:ascii="Times New Roman" w:eastAsia="Times New Roman" w:hAnsi="Times New Roman" w:cs="Times New Roman"/>
          <w:color w:val="000000"/>
        </w:rPr>
      </w:pPr>
      <w:r>
        <w:rPr>
          <w:rFonts w:ascii="Times New Roman" w:hAnsi="Times New Roman"/>
          <w:color w:val="000000"/>
        </w:rPr>
        <w:t>În sensul prezentei legi:</w:t>
      </w:r>
    </w:p>
    <w:p w:rsidR="00A03F7B" w:rsidRPr="00C51AA4" w:rsidRDefault="00A03F7B" w:rsidP="00EF3848">
      <w:pPr>
        <w:pStyle w:val="Default"/>
        <w:jc w:val="center"/>
        <w:rPr>
          <w:rFonts w:ascii="Times New Roman" w:hAnsi="Times New Roman" w:cs="Times New Roman"/>
          <w:sz w:val="22"/>
          <w:szCs w:val="22"/>
        </w:rPr>
      </w:pPr>
      <w:r>
        <w:rPr>
          <w:rFonts w:ascii="Times New Roman" w:hAnsi="Times New Roman"/>
          <w:b/>
          <w:sz w:val="22"/>
        </w:rPr>
        <w:t>------------------------------------------</w:t>
      </w:r>
    </w:p>
    <w:p w:rsidR="006A1CEB" w:rsidRPr="0063111B" w:rsidRDefault="006A1CEB" w:rsidP="00C51AA4">
      <w:pPr>
        <w:jc w:val="both"/>
        <w:rPr>
          <w:rFonts w:ascii="Times New Roman" w:eastAsia="Times New Roman" w:hAnsi="Times New Roman" w:cs="Times New Roman"/>
          <w:color w:val="000000"/>
        </w:rPr>
      </w:pPr>
      <w:r w:rsidRPr="0063111B">
        <w:rPr>
          <w:rFonts w:ascii="Times New Roman" w:hAnsi="Times New Roman" w:cs="Times New Roman"/>
          <w:color w:val="000000"/>
        </w:rPr>
        <w:t xml:space="preserve">17) </w:t>
      </w:r>
      <w:r w:rsidRPr="0063111B">
        <w:rPr>
          <w:rFonts w:ascii="Times New Roman" w:hAnsi="Times New Roman" w:cs="Times New Roman"/>
          <w:i/>
          <w:color w:val="000000"/>
        </w:rPr>
        <w:t>vânzare transfrontalieră la distanță</w:t>
      </w:r>
      <w:r w:rsidRPr="0063111B">
        <w:rPr>
          <w:rFonts w:ascii="Times New Roman" w:hAnsi="Times New Roman" w:cs="Times New Roman"/>
          <w:color w:val="000000"/>
        </w:rPr>
        <w:t xml:space="preserve"> înseamnă vânzare în care un beneficiar stabilit în Finlanda a achiziționat băuturi alcoolice fie dintr-un alt stat membru al UE, fie dintr-o țară terță pentru un scop altul decât vânzarea sau pregătirea unei băuturi alcoolice, iar vânzătorul sau altă parte care acționează în numele său trimite sau transportă acele băuturi alcoolice în Finlanda în mod direct sau indirect;</w:t>
      </w:r>
    </w:p>
    <w:p w:rsidR="006A1CEB" w:rsidRPr="0063111B" w:rsidRDefault="006A1CEB" w:rsidP="006A1CEB">
      <w:pPr>
        <w:rPr>
          <w:rFonts w:ascii="Times New Roman" w:eastAsia="Times New Roman" w:hAnsi="Times New Roman" w:cs="Times New Roman"/>
          <w:color w:val="000000"/>
        </w:rPr>
      </w:pPr>
      <w:r w:rsidRPr="0063111B">
        <w:rPr>
          <w:rFonts w:ascii="Times New Roman" w:hAnsi="Times New Roman" w:cs="Times New Roman"/>
          <w:i/>
          <w:color w:val="000000"/>
        </w:rPr>
        <w:t>18) vânzător la distanță</w:t>
      </w:r>
      <w:r w:rsidRPr="0063111B">
        <w:rPr>
          <w:rFonts w:ascii="Times New Roman" w:hAnsi="Times New Roman" w:cs="Times New Roman"/>
          <w:color w:val="000000"/>
        </w:rPr>
        <w:t xml:space="preserve"> înseamnă un vânzător care vinde băuturi alcoolice în modul indicat la punctul 17.</w:t>
      </w:r>
    </w:p>
    <w:p w:rsidR="00EF3848" w:rsidRPr="0063111B" w:rsidRDefault="00EF3848" w:rsidP="00EF3848">
      <w:pPr>
        <w:jc w:val="center"/>
        <w:rPr>
          <w:rFonts w:ascii="Times New Roman" w:eastAsia="Times New Roman" w:hAnsi="Times New Roman" w:cs="Times New Roman"/>
          <w:color w:val="000000"/>
        </w:rPr>
      </w:pPr>
      <w:r w:rsidRPr="0063111B">
        <w:rPr>
          <w:rFonts w:ascii="Times New Roman" w:hAnsi="Times New Roman" w:cs="Times New Roman"/>
          <w:b/>
        </w:rPr>
        <w:t>-------------------------------------------</w:t>
      </w:r>
    </w:p>
    <w:p w:rsidR="00EF3848" w:rsidRPr="0063111B" w:rsidRDefault="00EF3848" w:rsidP="00EF3848">
      <w:pPr>
        <w:jc w:val="center"/>
        <w:rPr>
          <w:rFonts w:ascii="Times New Roman" w:eastAsia="Times New Roman" w:hAnsi="Times New Roman" w:cs="Times New Roman"/>
          <w:i/>
          <w:color w:val="000000"/>
        </w:rPr>
      </w:pPr>
      <w:r w:rsidRPr="0063111B">
        <w:rPr>
          <w:rFonts w:ascii="Times New Roman" w:hAnsi="Times New Roman" w:cs="Times New Roman"/>
          <w:i/>
          <w:color w:val="000000"/>
        </w:rPr>
        <w:t>Articolul 6</w:t>
      </w:r>
    </w:p>
    <w:p w:rsidR="00EF3848" w:rsidRPr="0063111B" w:rsidRDefault="00EF3848" w:rsidP="00EF3848">
      <w:pPr>
        <w:jc w:val="center"/>
        <w:rPr>
          <w:rFonts w:ascii="Times New Roman" w:eastAsia="Times New Roman" w:hAnsi="Times New Roman" w:cs="Times New Roman"/>
          <w:i/>
          <w:color w:val="000000"/>
        </w:rPr>
      </w:pPr>
      <w:r w:rsidRPr="0063111B">
        <w:rPr>
          <w:rFonts w:ascii="Times New Roman" w:hAnsi="Times New Roman" w:cs="Times New Roman"/>
          <w:i/>
          <w:color w:val="000000"/>
        </w:rPr>
        <w:t>Scutiri de la autorizare</w:t>
      </w:r>
    </w:p>
    <w:p w:rsidR="00EF3848" w:rsidRPr="0063111B" w:rsidRDefault="00EF3848" w:rsidP="00EF3848">
      <w:pPr>
        <w:pStyle w:val="Default"/>
        <w:rPr>
          <w:rFonts w:ascii="Times New Roman" w:hAnsi="Times New Roman" w:cs="Times New Roman"/>
          <w:sz w:val="22"/>
          <w:szCs w:val="22"/>
        </w:rPr>
      </w:pPr>
      <w:r w:rsidRPr="0063111B">
        <w:rPr>
          <w:rFonts w:ascii="Times New Roman" w:hAnsi="Times New Roman" w:cs="Times New Roman"/>
          <w:sz w:val="22"/>
        </w:rPr>
        <w:t>Prin derogare de la articolul 5 de mai sus:</w:t>
      </w:r>
    </w:p>
    <w:p w:rsidR="009648DD" w:rsidRPr="0063111B" w:rsidRDefault="009648DD" w:rsidP="009648DD">
      <w:pPr>
        <w:pStyle w:val="Default"/>
        <w:jc w:val="center"/>
        <w:rPr>
          <w:rFonts w:ascii="Times New Roman" w:hAnsi="Times New Roman" w:cs="Times New Roman"/>
          <w:sz w:val="22"/>
          <w:szCs w:val="22"/>
        </w:rPr>
      </w:pPr>
      <w:r w:rsidRPr="0063111B">
        <w:rPr>
          <w:rFonts w:ascii="Times New Roman" w:hAnsi="Times New Roman" w:cs="Times New Roman"/>
          <w:b/>
          <w:sz w:val="22"/>
        </w:rPr>
        <w:t>-------------------------------------------</w:t>
      </w:r>
    </w:p>
    <w:p w:rsidR="00EF3848" w:rsidRPr="0063111B" w:rsidRDefault="00EF3848" w:rsidP="00EF3848">
      <w:pPr>
        <w:pStyle w:val="Default"/>
        <w:rPr>
          <w:rFonts w:ascii="Times New Roman" w:hAnsi="Times New Roman" w:cs="Times New Roman"/>
          <w:sz w:val="22"/>
          <w:szCs w:val="22"/>
        </w:rPr>
      </w:pPr>
      <w:r w:rsidRPr="0063111B">
        <w:rPr>
          <w:rFonts w:ascii="Times New Roman" w:hAnsi="Times New Roman" w:cs="Times New Roman"/>
          <w:sz w:val="22"/>
        </w:rPr>
        <w:t>8) vânzările angro de băuturi alcoolice către Finlanda sunt permise.</w:t>
      </w:r>
    </w:p>
    <w:p w:rsidR="00EF3848" w:rsidRPr="0063111B" w:rsidRDefault="00EF3848" w:rsidP="00EF3848">
      <w:pPr>
        <w:pStyle w:val="Default"/>
        <w:jc w:val="center"/>
        <w:rPr>
          <w:rFonts w:ascii="Times New Roman" w:hAnsi="Times New Roman" w:cs="Times New Roman"/>
          <w:sz w:val="22"/>
          <w:szCs w:val="22"/>
        </w:rPr>
      </w:pPr>
      <w:r w:rsidRPr="0063111B">
        <w:rPr>
          <w:rFonts w:ascii="Times New Roman" w:hAnsi="Times New Roman" w:cs="Times New Roman"/>
          <w:b/>
          <w:sz w:val="22"/>
        </w:rPr>
        <w:t>-------------------------------------------</w:t>
      </w:r>
    </w:p>
    <w:p w:rsidR="006A1CEB" w:rsidRPr="0063111B" w:rsidRDefault="006A1CEB" w:rsidP="006A1CEB">
      <w:pPr>
        <w:jc w:val="center"/>
        <w:rPr>
          <w:rFonts w:ascii="Times New Roman" w:hAnsi="Times New Roman" w:cs="Times New Roman"/>
        </w:rPr>
      </w:pPr>
    </w:p>
    <w:p w:rsidR="006A1CEB" w:rsidRPr="0063111B" w:rsidRDefault="007C0466" w:rsidP="006A1CEB">
      <w:pPr>
        <w:jc w:val="center"/>
        <w:rPr>
          <w:rFonts w:ascii="Times New Roman" w:hAnsi="Times New Roman" w:cs="Times New Roman"/>
        </w:rPr>
      </w:pPr>
      <w:r w:rsidRPr="0063111B">
        <w:rPr>
          <w:rFonts w:ascii="Times New Roman" w:hAnsi="Times New Roman" w:cs="Times New Roman"/>
        </w:rPr>
        <w:t>Articolul 32</w:t>
      </w:r>
    </w:p>
    <w:p w:rsidR="006A1CEB" w:rsidRPr="0063111B" w:rsidRDefault="007C0466" w:rsidP="006A1CEB">
      <w:pPr>
        <w:jc w:val="center"/>
        <w:rPr>
          <w:rFonts w:ascii="Times New Roman" w:hAnsi="Times New Roman" w:cs="Times New Roman"/>
          <w:i/>
        </w:rPr>
      </w:pPr>
      <w:r w:rsidRPr="0063111B">
        <w:rPr>
          <w:rFonts w:ascii="Times New Roman" w:hAnsi="Times New Roman" w:cs="Times New Roman"/>
          <w:i/>
        </w:rPr>
        <w:t>Importul de băuturi alcoolice</w:t>
      </w:r>
    </w:p>
    <w:p w:rsidR="007C0466" w:rsidRPr="00C51AA4" w:rsidRDefault="007C0466" w:rsidP="00C51AA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Băuturile alcoolice pot fi importate fără o autorizație de import pentru uz personal și comercial sau alte operațiuni comerciale.</w:t>
      </w:r>
    </w:p>
    <w:p w:rsidR="007C0466" w:rsidRPr="00C51AA4" w:rsidRDefault="007C0466" w:rsidP="00C51AA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rPr>
        <w:t>Dispozițiile articolului 5 alineatul (1) și ale articolului</w:t>
      </w:r>
      <w:r w:rsidR="00415C59">
        <w:rPr>
          <w:rFonts w:ascii="Times New Roman" w:hAnsi="Times New Roman"/>
          <w:sz w:val="24"/>
        </w:rPr>
        <w:t xml:space="preserve"> </w:t>
      </w:r>
      <w:r>
        <w:rPr>
          <w:rFonts w:ascii="Times New Roman" w:hAnsi="Times New Roman"/>
          <w:sz w:val="24"/>
        </w:rPr>
        <w:t>6 privind vânzarea de băuturi alcoolice se aplică, de asemenea, vânzării de băuturi alcoolice importate. Băuturile alcoolice care conțin mai mult de 2,8 procente în volum de alcool etilic și vândute prin vânzare transfrontalieră la distanță nu pot fi importate în Finlanda.</w:t>
      </w:r>
    </w:p>
    <w:p w:rsidR="00E3483E" w:rsidRPr="00C51AA4" w:rsidRDefault="00E3483E" w:rsidP="00C51AA4">
      <w:pPr>
        <w:pStyle w:val="Default"/>
        <w:jc w:val="both"/>
        <w:rPr>
          <w:rFonts w:ascii="Times New Roman" w:hAnsi="Times New Roman" w:cs="Times New Roman"/>
          <w:color w:val="auto"/>
        </w:rPr>
      </w:pPr>
      <w:r>
        <w:rPr>
          <w:rFonts w:ascii="Times New Roman" w:hAnsi="Times New Roman"/>
          <w:color w:val="auto"/>
        </w:rPr>
        <w:t>Dacă băuturile alcoolice sunt importate pentru uz personal, astfel cum se menționează la articolul 74 din Legea privind accizele, livrarea trebuie să fie însoțită de un document de identificare a livrării care trebuie prezentat la vamă la cerere.</w:t>
      </w:r>
    </w:p>
    <w:sectPr w:rsidR="00E3483E" w:rsidRPr="00C51AA4"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85E" w:rsidRDefault="00C2585E" w:rsidP="008E0F4A">
      <w:r>
        <w:separator/>
      </w:r>
    </w:p>
  </w:endnote>
  <w:endnote w:type="continuationSeparator" w:id="0">
    <w:p w:rsidR="00C2585E" w:rsidRDefault="00C2585E"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3C" w:rsidRDefault="0043303C" w:rsidP="00FA6ACE">
    <w:pPr>
      <w:pStyle w:val="Footer"/>
      <w:ind w:right="28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85E" w:rsidRDefault="00C2585E" w:rsidP="008E0F4A">
      <w:r>
        <w:separator/>
      </w:r>
    </w:p>
  </w:footnote>
  <w:footnote w:type="continuationSeparator" w:id="0">
    <w:p w:rsidR="00C2585E" w:rsidRDefault="00C2585E" w:rsidP="008E0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399"/>
      <w:docPartObj>
        <w:docPartGallery w:val="Page Numbers (Top of Page)"/>
        <w:docPartUnique/>
      </w:docPartObj>
    </w:sdtPr>
    <w:sdtEndPr/>
    <w:sdtContent>
      <w:p w:rsidR="0043303C" w:rsidRDefault="0043303C" w:rsidP="00D715FE">
        <w:pPr>
          <w:ind w:right="-143" w:firstLine="8789"/>
          <w:jc w:val="center"/>
        </w:pPr>
        <w:r>
          <w:fldChar w:fldCharType="begin"/>
        </w:r>
        <w:r>
          <w:instrText xml:space="preserve"> PAGE   \* MERGEFORMAT </w:instrText>
        </w:r>
        <w:r>
          <w:fldChar w:fldCharType="separate"/>
        </w:r>
        <w:r w:rsidR="00415C59">
          <w:rPr>
            <w:noProof/>
          </w:rPr>
          <w:t>3</w:t>
        </w:r>
        <w:r>
          <w:fldChar w:fldCharType="end"/>
        </w:r>
        <w:r>
          <w:t>(</w:t>
        </w:r>
        <w:fldSimple w:instr=" NUMPAGES   \* MERGEFORMAT ">
          <w:r w:rsidR="00415C59">
            <w:rPr>
              <w:noProof/>
            </w:rPr>
            <w:t>11</w:t>
          </w:r>
        </w:fldSimple>
        <w:r>
          <w: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400"/>
      <w:docPartObj>
        <w:docPartGallery w:val="Page Numbers (Top of Page)"/>
        <w:docPartUnique/>
      </w:docPartObj>
    </w:sdtPr>
    <w:sdtEndPr/>
    <w:sdtContent>
      <w:p w:rsidR="0043303C" w:rsidRDefault="0043303C" w:rsidP="00562E6B">
        <w:pPr>
          <w:ind w:right="-143" w:firstLine="8789"/>
          <w:jc w:val="right"/>
        </w:pPr>
        <w:r>
          <w:fldChar w:fldCharType="begin"/>
        </w:r>
        <w:r>
          <w:instrText xml:space="preserve"> PAGE   \* MERGEFORMAT </w:instrText>
        </w:r>
        <w:r>
          <w:fldChar w:fldCharType="separate"/>
        </w:r>
        <w:r w:rsidR="00C2585E">
          <w:rPr>
            <w:noProof/>
          </w:rPr>
          <w:t>1</w:t>
        </w:r>
        <w:r>
          <w:fldChar w:fldCharType="end"/>
        </w:r>
        <w:r>
          <w:t>(</w:t>
        </w:r>
        <w:fldSimple w:instr=" NUMPAGES   \* MERGEFORMAT ">
          <w:r w:rsidR="00C2585E">
            <w:rPr>
              <w:noProof/>
            </w:rPr>
            <w:t>1</w:t>
          </w:r>
        </w:fldSimple>
        <w:r>
          <w:t>)</w:t>
        </w:r>
      </w:p>
      <w:p w:rsidR="0043303C" w:rsidRDefault="003466CD" w:rsidP="00D715FE">
        <w:pPr>
          <w:tabs>
            <w:tab w:val="left" w:pos="5220"/>
          </w:tabs>
        </w:pPr>
        <w:r>
          <w:t>Ministerul Afacerilor Sociale și Sănătății</w:t>
        </w:r>
        <w:r>
          <w:tab/>
          <w:t>6 iulie 2018</w:t>
        </w:r>
      </w:p>
    </w:sdtContent>
  </w:sdt>
  <w:p w:rsidR="0043303C" w:rsidRDefault="003466CD" w:rsidP="00CB4C78">
    <w:r>
      <w:t>Departamentul pentru Bunăstare și Servicii</w:t>
    </w:r>
  </w:p>
  <w:p w:rsidR="0043303C" w:rsidRDefault="0043303C" w:rsidP="00CB4C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2CD"/>
    <w:multiLevelType w:val="hybridMultilevel"/>
    <w:tmpl w:val="ECAC2F20"/>
    <w:lvl w:ilvl="0" w:tplc="48B0F9C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4" w15:restartNumberingAfterBreak="0">
    <w:nsid w:val="0E1A27AB"/>
    <w:multiLevelType w:val="hybridMultilevel"/>
    <w:tmpl w:val="A7645AB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6BB370F"/>
    <w:multiLevelType w:val="hybridMultilevel"/>
    <w:tmpl w:val="4E42AB68"/>
    <w:lvl w:ilvl="0" w:tplc="3ED8301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8A73E25"/>
    <w:multiLevelType w:val="hybridMultilevel"/>
    <w:tmpl w:val="B0482C5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2D112342"/>
    <w:multiLevelType w:val="hybridMultilevel"/>
    <w:tmpl w:val="5484B7C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E343436"/>
    <w:multiLevelType w:val="multilevel"/>
    <w:tmpl w:val="8982B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E4561"/>
    <w:multiLevelType w:val="hybridMultilevel"/>
    <w:tmpl w:val="5B1228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1676905"/>
    <w:multiLevelType w:val="hybridMultilevel"/>
    <w:tmpl w:val="7C9021E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409064D"/>
    <w:multiLevelType w:val="hybridMultilevel"/>
    <w:tmpl w:val="A56CB7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E34967"/>
    <w:multiLevelType w:val="hybridMultilevel"/>
    <w:tmpl w:val="EB2213BE"/>
    <w:lvl w:ilvl="0" w:tplc="61265A48">
      <w:start w:val="2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3EFC0994"/>
    <w:multiLevelType w:val="multilevel"/>
    <w:tmpl w:val="4F70FAA6"/>
    <w:lvl w:ilvl="0">
      <w:start w:val="3"/>
      <w:numFmt w:val="decimal"/>
      <w:lvlText w:val="%1."/>
      <w:lvlJc w:val="left"/>
      <w:pPr>
        <w:ind w:left="360" w:hanging="360"/>
      </w:pPr>
      <w:rPr>
        <w:rFonts w:eastAsia="Times New Roman" w:hint="default"/>
        <w:b/>
        <w:sz w:val="24"/>
      </w:rPr>
    </w:lvl>
    <w:lvl w:ilvl="1">
      <w:start w:val="3"/>
      <w:numFmt w:val="decimal"/>
      <w:lvlText w:val="%1.%2."/>
      <w:lvlJc w:val="left"/>
      <w:pPr>
        <w:ind w:left="720" w:hanging="360"/>
      </w:pPr>
      <w:rPr>
        <w:rFonts w:eastAsia="Times New Roman" w:hint="default"/>
        <w:b/>
        <w:sz w:val="24"/>
      </w:rPr>
    </w:lvl>
    <w:lvl w:ilvl="2">
      <w:start w:val="1"/>
      <w:numFmt w:val="decimal"/>
      <w:lvlText w:val="%1.%2.%3."/>
      <w:lvlJc w:val="left"/>
      <w:pPr>
        <w:ind w:left="1440" w:hanging="720"/>
      </w:pPr>
      <w:rPr>
        <w:rFonts w:eastAsia="Times New Roman" w:hint="default"/>
        <w:b/>
        <w:sz w:val="24"/>
      </w:rPr>
    </w:lvl>
    <w:lvl w:ilvl="3">
      <w:start w:val="1"/>
      <w:numFmt w:val="decimal"/>
      <w:lvlText w:val="%1.%2.%3.%4."/>
      <w:lvlJc w:val="left"/>
      <w:pPr>
        <w:ind w:left="1800" w:hanging="720"/>
      </w:pPr>
      <w:rPr>
        <w:rFonts w:eastAsia="Times New Roman" w:hint="default"/>
        <w:b/>
        <w:sz w:val="24"/>
      </w:rPr>
    </w:lvl>
    <w:lvl w:ilvl="4">
      <w:start w:val="1"/>
      <w:numFmt w:val="decimal"/>
      <w:lvlText w:val="%1.%2.%3.%4.%5."/>
      <w:lvlJc w:val="left"/>
      <w:pPr>
        <w:ind w:left="2520" w:hanging="1080"/>
      </w:pPr>
      <w:rPr>
        <w:rFonts w:eastAsia="Times New Roman" w:hint="default"/>
        <w:b/>
        <w:sz w:val="24"/>
      </w:rPr>
    </w:lvl>
    <w:lvl w:ilvl="5">
      <w:start w:val="1"/>
      <w:numFmt w:val="decimal"/>
      <w:lvlText w:val="%1.%2.%3.%4.%5.%6."/>
      <w:lvlJc w:val="left"/>
      <w:pPr>
        <w:ind w:left="2880" w:hanging="1080"/>
      </w:pPr>
      <w:rPr>
        <w:rFonts w:eastAsia="Times New Roman" w:hint="default"/>
        <w:b/>
        <w:sz w:val="24"/>
      </w:rPr>
    </w:lvl>
    <w:lvl w:ilvl="6">
      <w:start w:val="1"/>
      <w:numFmt w:val="decimal"/>
      <w:lvlText w:val="%1.%2.%3.%4.%5.%6.%7."/>
      <w:lvlJc w:val="left"/>
      <w:pPr>
        <w:ind w:left="3600" w:hanging="1440"/>
      </w:pPr>
      <w:rPr>
        <w:rFonts w:eastAsia="Times New Roman" w:hint="default"/>
        <w:b/>
        <w:sz w:val="24"/>
      </w:rPr>
    </w:lvl>
    <w:lvl w:ilvl="7">
      <w:start w:val="1"/>
      <w:numFmt w:val="decimal"/>
      <w:lvlText w:val="%1.%2.%3.%4.%5.%6.%7.%8."/>
      <w:lvlJc w:val="left"/>
      <w:pPr>
        <w:ind w:left="3960" w:hanging="1440"/>
      </w:pPr>
      <w:rPr>
        <w:rFonts w:eastAsia="Times New Roman" w:hint="default"/>
        <w:b/>
        <w:sz w:val="24"/>
      </w:rPr>
    </w:lvl>
    <w:lvl w:ilvl="8">
      <w:start w:val="1"/>
      <w:numFmt w:val="decimal"/>
      <w:lvlText w:val="%1.%2.%3.%4.%5.%6.%7.%8.%9."/>
      <w:lvlJc w:val="left"/>
      <w:pPr>
        <w:ind w:left="4680" w:hanging="1800"/>
      </w:pPr>
      <w:rPr>
        <w:rFonts w:eastAsia="Times New Roman" w:hint="default"/>
        <w:b/>
        <w:sz w:val="24"/>
      </w:rPr>
    </w:lvl>
  </w:abstractNum>
  <w:abstractNum w:abstractNumId="14"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5" w15:restartNumberingAfterBreak="0">
    <w:nsid w:val="47472394"/>
    <w:multiLevelType w:val="hybridMultilevel"/>
    <w:tmpl w:val="B5FAC7B0"/>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4B3754EC"/>
    <w:multiLevelType w:val="multilevel"/>
    <w:tmpl w:val="245C2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F48CA"/>
    <w:multiLevelType w:val="hybridMultilevel"/>
    <w:tmpl w:val="E652802A"/>
    <w:lvl w:ilvl="0" w:tplc="717E49CE">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8B674F3"/>
    <w:multiLevelType w:val="hybridMultilevel"/>
    <w:tmpl w:val="6A5CA7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B3A76DD"/>
    <w:multiLevelType w:val="hybridMultilevel"/>
    <w:tmpl w:val="E18E94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FC66D42"/>
    <w:multiLevelType w:val="hybridMultilevel"/>
    <w:tmpl w:val="0FACB890"/>
    <w:lvl w:ilvl="0" w:tplc="040B0011">
      <w:start w:val="1"/>
      <w:numFmt w:val="decimal"/>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19"/>
  </w:num>
  <w:num w:numId="2">
    <w:abstractNumId w:val="23"/>
  </w:num>
  <w:num w:numId="3">
    <w:abstractNumId w:val="1"/>
  </w:num>
  <w:num w:numId="4">
    <w:abstractNumId w:val="2"/>
  </w:num>
  <w:num w:numId="5">
    <w:abstractNumId w:val="22"/>
  </w:num>
  <w:num w:numId="6">
    <w:abstractNumId w:val="14"/>
  </w:num>
  <w:num w:numId="7">
    <w:abstractNumId w:val="14"/>
  </w:num>
  <w:num w:numId="8">
    <w:abstractNumId w:val="3"/>
  </w:num>
  <w:num w:numId="9">
    <w:abstractNumId w:val="12"/>
  </w:num>
  <w:num w:numId="10">
    <w:abstractNumId w:val="6"/>
  </w:num>
  <w:num w:numId="11">
    <w:abstractNumId w:val="4"/>
  </w:num>
  <w:num w:numId="12">
    <w:abstractNumId w:val="17"/>
  </w:num>
  <w:num w:numId="13">
    <w:abstractNumId w:val="20"/>
  </w:num>
  <w:num w:numId="14">
    <w:abstractNumId w:val="0"/>
  </w:num>
  <w:num w:numId="15">
    <w:abstractNumId w:val="11"/>
  </w:num>
  <w:num w:numId="16">
    <w:abstractNumId w:val="21"/>
  </w:num>
  <w:num w:numId="17">
    <w:abstractNumId w:val="10"/>
  </w:num>
  <w:num w:numId="18">
    <w:abstractNumId w:val="18"/>
  </w:num>
  <w:num w:numId="19">
    <w:abstractNumId w:val="7"/>
  </w:num>
  <w:num w:numId="20">
    <w:abstractNumId w:val="9"/>
  </w:num>
  <w:num w:numId="21">
    <w:abstractNumId w:val="16"/>
  </w:num>
  <w:num w:numId="22">
    <w:abstractNumId w:val="15"/>
  </w:num>
  <w:num w:numId="23">
    <w:abstractNumId w:val="5"/>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60"/>
    <w:rsid w:val="0001085A"/>
    <w:rsid w:val="00016E55"/>
    <w:rsid w:val="00020721"/>
    <w:rsid w:val="0003159B"/>
    <w:rsid w:val="0003182E"/>
    <w:rsid w:val="00043147"/>
    <w:rsid w:val="00045B5B"/>
    <w:rsid w:val="00050AC8"/>
    <w:rsid w:val="00053D44"/>
    <w:rsid w:val="00057037"/>
    <w:rsid w:val="00063ECB"/>
    <w:rsid w:val="000659DE"/>
    <w:rsid w:val="00075991"/>
    <w:rsid w:val="00082F80"/>
    <w:rsid w:val="00094D4A"/>
    <w:rsid w:val="00095018"/>
    <w:rsid w:val="000B3024"/>
    <w:rsid w:val="000C272A"/>
    <w:rsid w:val="000D3235"/>
    <w:rsid w:val="000F4A62"/>
    <w:rsid w:val="000F75F9"/>
    <w:rsid w:val="001011BC"/>
    <w:rsid w:val="0010412A"/>
    <w:rsid w:val="00105CF0"/>
    <w:rsid w:val="00107CAE"/>
    <w:rsid w:val="001152BD"/>
    <w:rsid w:val="0012492F"/>
    <w:rsid w:val="00135D83"/>
    <w:rsid w:val="001431B7"/>
    <w:rsid w:val="00144D34"/>
    <w:rsid w:val="00147111"/>
    <w:rsid w:val="00151941"/>
    <w:rsid w:val="00155F3B"/>
    <w:rsid w:val="00173834"/>
    <w:rsid w:val="001776E9"/>
    <w:rsid w:val="00177F91"/>
    <w:rsid w:val="00185B55"/>
    <w:rsid w:val="001B078B"/>
    <w:rsid w:val="001C3BCC"/>
    <w:rsid w:val="001D1AF5"/>
    <w:rsid w:val="001D331F"/>
    <w:rsid w:val="001D5E3E"/>
    <w:rsid w:val="001E5F86"/>
    <w:rsid w:val="001F70AF"/>
    <w:rsid w:val="00210152"/>
    <w:rsid w:val="00213F7A"/>
    <w:rsid w:val="00222901"/>
    <w:rsid w:val="00234C94"/>
    <w:rsid w:val="002373F4"/>
    <w:rsid w:val="00250387"/>
    <w:rsid w:val="00282988"/>
    <w:rsid w:val="00292DED"/>
    <w:rsid w:val="002979F5"/>
    <w:rsid w:val="002A13C4"/>
    <w:rsid w:val="002D31CC"/>
    <w:rsid w:val="002D72CF"/>
    <w:rsid w:val="002E00FB"/>
    <w:rsid w:val="002E38C4"/>
    <w:rsid w:val="00300ECD"/>
    <w:rsid w:val="00307C47"/>
    <w:rsid w:val="003268C9"/>
    <w:rsid w:val="00340E73"/>
    <w:rsid w:val="003434B1"/>
    <w:rsid w:val="003466CD"/>
    <w:rsid w:val="00346B03"/>
    <w:rsid w:val="00360640"/>
    <w:rsid w:val="003664D1"/>
    <w:rsid w:val="003674A3"/>
    <w:rsid w:val="00367C90"/>
    <w:rsid w:val="003765CD"/>
    <w:rsid w:val="003766A6"/>
    <w:rsid w:val="00393411"/>
    <w:rsid w:val="003A2869"/>
    <w:rsid w:val="003B6A80"/>
    <w:rsid w:val="003D0EE8"/>
    <w:rsid w:val="003E27C2"/>
    <w:rsid w:val="00415C59"/>
    <w:rsid w:val="00416F73"/>
    <w:rsid w:val="00424B29"/>
    <w:rsid w:val="0043303C"/>
    <w:rsid w:val="00446E3A"/>
    <w:rsid w:val="0047233E"/>
    <w:rsid w:val="0048163A"/>
    <w:rsid w:val="0048242B"/>
    <w:rsid w:val="00486BE8"/>
    <w:rsid w:val="004A196F"/>
    <w:rsid w:val="004C5212"/>
    <w:rsid w:val="004C6B33"/>
    <w:rsid w:val="004D33EC"/>
    <w:rsid w:val="004E719A"/>
    <w:rsid w:val="0050139B"/>
    <w:rsid w:val="00507C26"/>
    <w:rsid w:val="005146D4"/>
    <w:rsid w:val="0051596E"/>
    <w:rsid w:val="0052100C"/>
    <w:rsid w:val="005439FB"/>
    <w:rsid w:val="00550210"/>
    <w:rsid w:val="005512A4"/>
    <w:rsid w:val="00562E6B"/>
    <w:rsid w:val="005834E9"/>
    <w:rsid w:val="0059671F"/>
    <w:rsid w:val="005E2B8D"/>
    <w:rsid w:val="005F1CA8"/>
    <w:rsid w:val="005F364E"/>
    <w:rsid w:val="00606BB4"/>
    <w:rsid w:val="006131C2"/>
    <w:rsid w:val="00615909"/>
    <w:rsid w:val="00615C4B"/>
    <w:rsid w:val="00630936"/>
    <w:rsid w:val="0063111B"/>
    <w:rsid w:val="00692A24"/>
    <w:rsid w:val="006A1CEB"/>
    <w:rsid w:val="006A4A91"/>
    <w:rsid w:val="006D1604"/>
    <w:rsid w:val="006D40F8"/>
    <w:rsid w:val="006D6C2D"/>
    <w:rsid w:val="006E017B"/>
    <w:rsid w:val="006E04C3"/>
    <w:rsid w:val="007142B9"/>
    <w:rsid w:val="00722420"/>
    <w:rsid w:val="00751AA4"/>
    <w:rsid w:val="00760E7B"/>
    <w:rsid w:val="0076257D"/>
    <w:rsid w:val="007642CB"/>
    <w:rsid w:val="00765E4F"/>
    <w:rsid w:val="007729CF"/>
    <w:rsid w:val="00783B52"/>
    <w:rsid w:val="00785D97"/>
    <w:rsid w:val="00786462"/>
    <w:rsid w:val="00790C7B"/>
    <w:rsid w:val="007A2489"/>
    <w:rsid w:val="007A4B07"/>
    <w:rsid w:val="007A74D4"/>
    <w:rsid w:val="007B4560"/>
    <w:rsid w:val="007B4E42"/>
    <w:rsid w:val="007C0466"/>
    <w:rsid w:val="007C2B22"/>
    <w:rsid w:val="007C313B"/>
    <w:rsid w:val="007F40C0"/>
    <w:rsid w:val="00811D8D"/>
    <w:rsid w:val="008200A9"/>
    <w:rsid w:val="008327EE"/>
    <w:rsid w:val="008328B1"/>
    <w:rsid w:val="00834014"/>
    <w:rsid w:val="00834629"/>
    <w:rsid w:val="008559F2"/>
    <w:rsid w:val="008604E6"/>
    <w:rsid w:val="00885EDF"/>
    <w:rsid w:val="008900F4"/>
    <w:rsid w:val="008A0773"/>
    <w:rsid w:val="008A4280"/>
    <w:rsid w:val="008C71D4"/>
    <w:rsid w:val="008D6548"/>
    <w:rsid w:val="008E0F4A"/>
    <w:rsid w:val="008E647C"/>
    <w:rsid w:val="00906E49"/>
    <w:rsid w:val="0090707E"/>
    <w:rsid w:val="0091510E"/>
    <w:rsid w:val="00942E22"/>
    <w:rsid w:val="0094316D"/>
    <w:rsid w:val="00963662"/>
    <w:rsid w:val="009648DD"/>
    <w:rsid w:val="00992E1C"/>
    <w:rsid w:val="009B230C"/>
    <w:rsid w:val="009B6311"/>
    <w:rsid w:val="009C096E"/>
    <w:rsid w:val="009C7B11"/>
    <w:rsid w:val="009D222E"/>
    <w:rsid w:val="009E07A1"/>
    <w:rsid w:val="00A03F7B"/>
    <w:rsid w:val="00A135F7"/>
    <w:rsid w:val="00A24604"/>
    <w:rsid w:val="00A5142E"/>
    <w:rsid w:val="00A610CB"/>
    <w:rsid w:val="00A612FC"/>
    <w:rsid w:val="00A61390"/>
    <w:rsid w:val="00A61A0F"/>
    <w:rsid w:val="00A64BD2"/>
    <w:rsid w:val="00A75231"/>
    <w:rsid w:val="00A90735"/>
    <w:rsid w:val="00AA5350"/>
    <w:rsid w:val="00AB2863"/>
    <w:rsid w:val="00AB6A8C"/>
    <w:rsid w:val="00AC4D8E"/>
    <w:rsid w:val="00AF2EBD"/>
    <w:rsid w:val="00AF3346"/>
    <w:rsid w:val="00B13889"/>
    <w:rsid w:val="00B42986"/>
    <w:rsid w:val="00B5536F"/>
    <w:rsid w:val="00B627A6"/>
    <w:rsid w:val="00B63D4C"/>
    <w:rsid w:val="00B972F3"/>
    <w:rsid w:val="00BC782D"/>
    <w:rsid w:val="00BC7FC0"/>
    <w:rsid w:val="00BE4CA3"/>
    <w:rsid w:val="00BF06A8"/>
    <w:rsid w:val="00BF2DEB"/>
    <w:rsid w:val="00BF2E2E"/>
    <w:rsid w:val="00BF59AF"/>
    <w:rsid w:val="00C21181"/>
    <w:rsid w:val="00C219C0"/>
    <w:rsid w:val="00C2585E"/>
    <w:rsid w:val="00C51AA4"/>
    <w:rsid w:val="00CA5A3C"/>
    <w:rsid w:val="00CB4C78"/>
    <w:rsid w:val="00CC62E8"/>
    <w:rsid w:val="00CD4A95"/>
    <w:rsid w:val="00CE3360"/>
    <w:rsid w:val="00D04209"/>
    <w:rsid w:val="00D05785"/>
    <w:rsid w:val="00D06353"/>
    <w:rsid w:val="00D152C9"/>
    <w:rsid w:val="00D25AD2"/>
    <w:rsid w:val="00D35E49"/>
    <w:rsid w:val="00D44B33"/>
    <w:rsid w:val="00D4567A"/>
    <w:rsid w:val="00D55EFF"/>
    <w:rsid w:val="00D60C53"/>
    <w:rsid w:val="00D715FE"/>
    <w:rsid w:val="00D7249B"/>
    <w:rsid w:val="00D76D7A"/>
    <w:rsid w:val="00D87C57"/>
    <w:rsid w:val="00D943A6"/>
    <w:rsid w:val="00DA1B77"/>
    <w:rsid w:val="00DA678C"/>
    <w:rsid w:val="00DA7311"/>
    <w:rsid w:val="00DE107F"/>
    <w:rsid w:val="00DE217C"/>
    <w:rsid w:val="00E07440"/>
    <w:rsid w:val="00E2160A"/>
    <w:rsid w:val="00E330A7"/>
    <w:rsid w:val="00E3483E"/>
    <w:rsid w:val="00E34F64"/>
    <w:rsid w:val="00E44094"/>
    <w:rsid w:val="00E5139E"/>
    <w:rsid w:val="00E770D5"/>
    <w:rsid w:val="00E90597"/>
    <w:rsid w:val="00EB6414"/>
    <w:rsid w:val="00EF3848"/>
    <w:rsid w:val="00F1469C"/>
    <w:rsid w:val="00F16490"/>
    <w:rsid w:val="00F33320"/>
    <w:rsid w:val="00F63379"/>
    <w:rsid w:val="00F7177D"/>
    <w:rsid w:val="00F734F9"/>
    <w:rsid w:val="00F73B15"/>
    <w:rsid w:val="00F879DE"/>
    <w:rsid w:val="00FA356E"/>
    <w:rsid w:val="00FA5927"/>
    <w:rsid w:val="00FA6ACE"/>
    <w:rsid w:val="00FB16EB"/>
    <w:rsid w:val="00FB5660"/>
    <w:rsid w:val="00FB6ABF"/>
    <w:rsid w:val="00FC564F"/>
    <w:rsid w:val="00FD4804"/>
    <w:rsid w:val="00FD5EFB"/>
    <w:rsid w:val="00FE765E"/>
    <w:rsid w:val="00FF6A81"/>
    <w:rsid w:val="00FF75A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ED200D-EE07-4DDB-979A-9D52359D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6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63D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613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l"/>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Footer">
    <w:name w:val="footer"/>
    <w:basedOn w:val="Normal"/>
    <w:link w:val="FooterChar"/>
    <w:uiPriority w:val="99"/>
    <w:unhideWhenUsed/>
    <w:rsid w:val="008E0F4A"/>
    <w:pPr>
      <w:tabs>
        <w:tab w:val="center" w:pos="4819"/>
        <w:tab w:val="right" w:pos="9638"/>
      </w:tabs>
    </w:pPr>
  </w:style>
  <w:style w:type="character" w:customStyle="1" w:styleId="FooterChar">
    <w:name w:val="Footer Char"/>
    <w:basedOn w:val="DefaultParagraphFont"/>
    <w:link w:val="Footer"/>
    <w:uiPriority w:val="99"/>
    <w:rsid w:val="008E0F4A"/>
    <w:rPr>
      <w:sz w:val="24"/>
      <w:lang w:eastAsia="en-GB"/>
    </w:rPr>
  </w:style>
  <w:style w:type="paragraph" w:styleId="BalloonText">
    <w:name w:val="Balloon Text"/>
    <w:basedOn w:val="Normal"/>
    <w:link w:val="BalloonTextChar"/>
    <w:uiPriority w:val="99"/>
    <w:semiHidden/>
    <w:unhideWhenUsed/>
    <w:rsid w:val="00CB4C78"/>
    <w:rPr>
      <w:rFonts w:ascii="Tahoma" w:hAnsi="Tahoma" w:cs="Tahoma"/>
      <w:sz w:val="16"/>
      <w:szCs w:val="16"/>
    </w:rPr>
  </w:style>
  <w:style w:type="character" w:customStyle="1" w:styleId="BalloonTextChar">
    <w:name w:val="Balloon Text Char"/>
    <w:basedOn w:val="DefaultParagraphFont"/>
    <w:link w:val="BalloonText"/>
    <w:uiPriority w:val="99"/>
    <w:semiHidden/>
    <w:rsid w:val="00CB4C78"/>
    <w:rPr>
      <w:rFonts w:ascii="Tahoma" w:hAnsi="Tahoma" w:cs="Tahoma"/>
      <w:sz w:val="16"/>
      <w:szCs w:val="16"/>
      <w:lang w:eastAsia="en-GB"/>
    </w:rPr>
  </w:style>
  <w:style w:type="character" w:customStyle="1" w:styleId="Heading1Char">
    <w:name w:val="Heading 1 Char"/>
    <w:basedOn w:val="DefaultParagraphFont"/>
    <w:link w:val="Heading1"/>
    <w:uiPriority w:val="9"/>
    <w:rsid w:val="00722420"/>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9B6311"/>
    <w:pPr>
      <w:tabs>
        <w:tab w:val="center" w:pos="4819"/>
        <w:tab w:val="right" w:pos="9638"/>
      </w:tabs>
    </w:pPr>
  </w:style>
  <w:style w:type="character" w:customStyle="1" w:styleId="HeaderChar">
    <w:name w:val="Header Char"/>
    <w:basedOn w:val="DefaultParagraphFont"/>
    <w:link w:val="Header"/>
    <w:uiPriority w:val="99"/>
    <w:rsid w:val="009B6311"/>
    <w:rPr>
      <w:sz w:val="24"/>
      <w:lang w:eastAsia="en-GB"/>
    </w:rPr>
  </w:style>
  <w:style w:type="character" w:styleId="Emphasis">
    <w:name w:val="Emphasis"/>
    <w:basedOn w:val="DefaultParagraphFont"/>
    <w:uiPriority w:val="20"/>
    <w:qFormat/>
    <w:rsid w:val="00CE3360"/>
    <w:rPr>
      <w:i/>
      <w:iCs/>
    </w:rPr>
  </w:style>
  <w:style w:type="character" w:customStyle="1" w:styleId="Heading3Char">
    <w:name w:val="Heading 3 Char"/>
    <w:basedOn w:val="DefaultParagraphFont"/>
    <w:link w:val="Heading3"/>
    <w:uiPriority w:val="9"/>
    <w:semiHidden/>
    <w:rsid w:val="00B63D4C"/>
    <w:rPr>
      <w:rFonts w:asciiTheme="majorHAnsi" w:eastAsiaTheme="majorEastAsia" w:hAnsiTheme="majorHAnsi" w:cstheme="majorBidi"/>
      <w:color w:val="243F60" w:themeColor="accent1" w:themeShade="7F"/>
      <w:sz w:val="24"/>
      <w:szCs w:val="24"/>
      <w:lang w:eastAsia="en-GB"/>
    </w:rPr>
  </w:style>
  <w:style w:type="paragraph" w:styleId="ListParagraph">
    <w:name w:val="List Paragraph"/>
    <w:basedOn w:val="Normal"/>
    <w:uiPriority w:val="34"/>
    <w:qFormat/>
    <w:rsid w:val="00B63D4C"/>
    <w:pPr>
      <w:spacing w:after="0" w:line="240" w:lineRule="auto"/>
      <w:ind w:left="720"/>
      <w:contextualSpacing/>
    </w:pPr>
    <w:rPr>
      <w:rFonts w:ascii="Times New Roman" w:eastAsia="Times New Roman" w:hAnsi="Times New Roman" w:cs="Times New Roman"/>
      <w:sz w:val="24"/>
      <w:szCs w:val="24"/>
    </w:rPr>
  </w:style>
  <w:style w:type="paragraph" w:customStyle="1" w:styleId="LLPerustelujenkappalejako">
    <w:name w:val="LLPerustelujenkappalejako"/>
    <w:basedOn w:val="Normal"/>
    <w:rsid w:val="005F1CA8"/>
    <w:pPr>
      <w:spacing w:after="220" w:line="220" w:lineRule="exact"/>
      <w:jc w:val="both"/>
    </w:pPr>
    <w:rPr>
      <w:rFonts w:ascii="Times New Roman" w:hAnsi="Times New Roman" w:cs="Times New Roman"/>
    </w:rPr>
  </w:style>
  <w:style w:type="paragraph" w:customStyle="1" w:styleId="Body">
    <w:name w:val="Body"/>
    <w:basedOn w:val="Normal"/>
    <w:uiPriority w:val="99"/>
    <w:rsid w:val="005F1CA8"/>
    <w:pPr>
      <w:autoSpaceDE w:val="0"/>
      <w:autoSpaceDN w:val="0"/>
      <w:spacing w:after="0" w:line="280" w:lineRule="atLeast"/>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A61390"/>
    <w:rPr>
      <w:rFonts w:asciiTheme="majorHAnsi" w:eastAsiaTheme="majorEastAsia" w:hAnsiTheme="majorHAnsi" w:cstheme="majorBidi"/>
      <w:color w:val="365F91" w:themeColor="accent1" w:themeShade="BF"/>
      <w:sz w:val="22"/>
      <w:szCs w:val="22"/>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A61390"/>
    <w:rPr>
      <w:rFonts w:asciiTheme="minorHAnsi" w:eastAsiaTheme="minorHAnsi" w:hAnsiTheme="minorHAnsi" w:cstheme="minorBidi"/>
      <w:lang w:eastAsia="en-GB"/>
    </w:rPr>
  </w:style>
  <w:style w:type="paragraph" w:styleId="CommentSubject">
    <w:name w:val="annotation subject"/>
    <w:basedOn w:val="CommentText"/>
    <w:next w:val="CommentText"/>
    <w:link w:val="CommentSubjectChar"/>
    <w:uiPriority w:val="99"/>
    <w:semiHidden/>
    <w:unhideWhenUsed/>
    <w:rsid w:val="00A61390"/>
    <w:rPr>
      <w:b/>
      <w:bCs/>
    </w:rPr>
  </w:style>
  <w:style w:type="character" w:customStyle="1" w:styleId="CommentSubjectChar">
    <w:name w:val="Comment Subject Char"/>
    <w:basedOn w:val="CommentTextChar"/>
    <w:link w:val="CommentSubject"/>
    <w:uiPriority w:val="99"/>
    <w:semiHidden/>
    <w:rsid w:val="00A61390"/>
    <w:rPr>
      <w:rFonts w:asciiTheme="minorHAnsi" w:eastAsiaTheme="minorHAnsi" w:hAnsiTheme="minorHAnsi" w:cstheme="minorBidi"/>
      <w:b/>
      <w:bCs/>
      <w:lang w:eastAsia="en-GB"/>
    </w:rPr>
  </w:style>
  <w:style w:type="paragraph" w:customStyle="1" w:styleId="CM1">
    <w:name w:val="CM1"/>
    <w:basedOn w:val="Normal"/>
    <w:next w:val="Normal"/>
    <w:uiPriority w:val="99"/>
    <w:rsid w:val="00BF2D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M3">
    <w:name w:val="CM3"/>
    <w:basedOn w:val="Normal"/>
    <w:next w:val="Normal"/>
    <w:uiPriority w:val="99"/>
    <w:rsid w:val="00BF2D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BF2DEB"/>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BF2DEB"/>
    <w:rPr>
      <w:rFonts w:cs="Times New Roman"/>
      <w:color w:val="auto"/>
    </w:rPr>
  </w:style>
  <w:style w:type="character" w:styleId="Strong">
    <w:name w:val="Strong"/>
    <w:basedOn w:val="DefaultParagraphFont"/>
    <w:uiPriority w:val="22"/>
    <w:qFormat/>
    <w:rsid w:val="00213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30398">
      <w:bodyDiv w:val="1"/>
      <w:marLeft w:val="0"/>
      <w:marRight w:val="0"/>
      <w:marTop w:val="0"/>
      <w:marBottom w:val="0"/>
      <w:divBdr>
        <w:top w:val="none" w:sz="0" w:space="0" w:color="auto"/>
        <w:left w:val="none" w:sz="0" w:space="0" w:color="auto"/>
        <w:bottom w:val="none" w:sz="0" w:space="0" w:color="auto"/>
        <w:right w:val="none" w:sz="0" w:space="0" w:color="auto"/>
      </w:divBdr>
    </w:div>
    <w:div w:id="359667622">
      <w:bodyDiv w:val="1"/>
      <w:marLeft w:val="0"/>
      <w:marRight w:val="0"/>
      <w:marTop w:val="0"/>
      <w:marBottom w:val="0"/>
      <w:divBdr>
        <w:top w:val="none" w:sz="0" w:space="0" w:color="auto"/>
        <w:left w:val="none" w:sz="0" w:space="0" w:color="auto"/>
        <w:bottom w:val="none" w:sz="0" w:space="0" w:color="auto"/>
        <w:right w:val="none" w:sz="0" w:space="0" w:color="auto"/>
      </w:divBdr>
      <w:divsChild>
        <w:div w:id="713385865">
          <w:marLeft w:val="0"/>
          <w:marRight w:val="0"/>
          <w:marTop w:val="0"/>
          <w:marBottom w:val="0"/>
          <w:divBdr>
            <w:top w:val="none" w:sz="0" w:space="0" w:color="auto"/>
            <w:left w:val="none" w:sz="0" w:space="0" w:color="auto"/>
            <w:bottom w:val="none" w:sz="0" w:space="0" w:color="auto"/>
            <w:right w:val="none" w:sz="0" w:space="0" w:color="auto"/>
          </w:divBdr>
        </w:div>
      </w:divsChild>
    </w:div>
    <w:div w:id="399328608">
      <w:bodyDiv w:val="1"/>
      <w:marLeft w:val="0"/>
      <w:marRight w:val="0"/>
      <w:marTop w:val="0"/>
      <w:marBottom w:val="0"/>
      <w:divBdr>
        <w:top w:val="none" w:sz="0" w:space="0" w:color="auto"/>
        <w:left w:val="none" w:sz="0" w:space="0" w:color="auto"/>
        <w:bottom w:val="none" w:sz="0" w:space="0" w:color="auto"/>
        <w:right w:val="none" w:sz="0" w:space="0" w:color="auto"/>
      </w:divBdr>
    </w:div>
    <w:div w:id="739521859">
      <w:bodyDiv w:val="1"/>
      <w:marLeft w:val="0"/>
      <w:marRight w:val="0"/>
      <w:marTop w:val="0"/>
      <w:marBottom w:val="0"/>
      <w:divBdr>
        <w:top w:val="none" w:sz="0" w:space="0" w:color="auto"/>
        <w:left w:val="none" w:sz="0" w:space="0" w:color="auto"/>
        <w:bottom w:val="none" w:sz="0" w:space="0" w:color="auto"/>
        <w:right w:val="none" w:sz="0" w:space="0" w:color="auto"/>
      </w:divBdr>
    </w:div>
    <w:div w:id="1542549394">
      <w:bodyDiv w:val="1"/>
      <w:marLeft w:val="0"/>
      <w:marRight w:val="0"/>
      <w:marTop w:val="0"/>
      <w:marBottom w:val="0"/>
      <w:divBdr>
        <w:top w:val="none" w:sz="0" w:space="0" w:color="auto"/>
        <w:left w:val="none" w:sz="0" w:space="0" w:color="auto"/>
        <w:bottom w:val="none" w:sz="0" w:space="0" w:color="auto"/>
        <w:right w:val="none" w:sz="0" w:space="0" w:color="auto"/>
      </w:divBdr>
    </w:div>
    <w:div w:id="1743792276">
      <w:bodyDiv w:val="1"/>
      <w:marLeft w:val="0"/>
      <w:marRight w:val="0"/>
      <w:marTop w:val="0"/>
      <w:marBottom w:val="0"/>
      <w:divBdr>
        <w:top w:val="none" w:sz="0" w:space="0" w:color="auto"/>
        <w:left w:val="none" w:sz="0" w:space="0" w:color="auto"/>
        <w:bottom w:val="none" w:sz="0" w:space="0" w:color="auto"/>
        <w:right w:val="none" w:sz="0" w:space="0" w:color="auto"/>
      </w:divBdr>
    </w:div>
    <w:div w:id="1806585641">
      <w:bodyDiv w:val="1"/>
      <w:marLeft w:val="0"/>
      <w:marRight w:val="0"/>
      <w:marTop w:val="0"/>
      <w:marBottom w:val="0"/>
      <w:divBdr>
        <w:top w:val="none" w:sz="0" w:space="0" w:color="auto"/>
        <w:left w:val="none" w:sz="0" w:space="0" w:color="auto"/>
        <w:bottom w:val="none" w:sz="0" w:space="0" w:color="auto"/>
        <w:right w:val="none" w:sz="0" w:space="0" w:color="auto"/>
      </w:divBdr>
    </w:div>
    <w:div w:id="2067102720">
      <w:bodyDiv w:val="1"/>
      <w:marLeft w:val="0"/>
      <w:marRight w:val="0"/>
      <w:marTop w:val="0"/>
      <w:marBottom w:val="0"/>
      <w:divBdr>
        <w:top w:val="none" w:sz="0" w:space="0" w:color="auto"/>
        <w:left w:val="none" w:sz="0" w:space="0" w:color="auto"/>
        <w:bottom w:val="none" w:sz="0" w:space="0" w:color="auto"/>
        <w:right w:val="none" w:sz="0" w:space="0" w:color="auto"/>
      </w:divBdr>
    </w:div>
    <w:div w:id="21256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5495</Words>
  <Characters>31325</Characters>
  <Application>Microsoft Office Word</Application>
  <DocSecurity>0</DocSecurity>
  <Lines>261</Lines>
  <Paragraphs>73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36747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Ismo (STM)</dc:creator>
  <cp:keywords/>
  <dc:description/>
  <cp:lastModifiedBy>Liu, Lei</cp:lastModifiedBy>
  <cp:revision>6</cp:revision>
  <cp:lastPrinted>2018-07-03T05:33:00Z</cp:lastPrinted>
  <dcterms:created xsi:type="dcterms:W3CDTF">2018-07-06T10:20:00Z</dcterms:created>
  <dcterms:modified xsi:type="dcterms:W3CDTF">2018-07-20T09:29:00Z</dcterms:modified>
</cp:coreProperties>
</file>