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3EA46" w14:textId="024E6B4C" w:rsidR="00441D3F" w:rsidRPr="00BC2E09" w:rsidRDefault="00441D3F" w:rsidP="00441D3F">
      <w:pPr>
        <w:spacing w:line="360" w:lineRule="auto"/>
        <w:ind w:right="-1065"/>
        <w:jc w:val="center"/>
        <w:rPr>
          <w:rFonts w:ascii="Courier New" w:hAnsi="Courier New" w:cs="Courier New"/>
          <w:sz w:val="20"/>
        </w:rPr>
      </w:pPr>
      <w:r>
        <w:rPr>
          <w:rFonts w:ascii="Courier New" w:hAnsi="Courier New"/>
          <w:sz w:val="20"/>
        </w:rPr>
        <w:t>1. ------IND- 2019 0524 D-- CS- ------ 20191031 --- --- PROJET</w:t>
      </w:r>
    </w:p>
    <w:p w14:paraId="67DDED23" w14:textId="77777777" w:rsidR="001F5D8C" w:rsidRPr="00147AD4" w:rsidRDefault="001F5D8C" w:rsidP="00240927">
      <w:pPr>
        <w:pStyle w:val="Dokumentstatus"/>
        <w:jc w:val="left"/>
      </w:pPr>
      <w:r>
        <w:t>Referentský návrh</w:t>
      </w:r>
      <w:r>
        <w:br/>
        <w:t>Spolkového ministerstva výživy a zemědělství</w:t>
      </w:r>
    </w:p>
    <w:p w14:paraId="47DF3AFF" w14:textId="797B47A7" w:rsidR="001F5D8C" w:rsidRPr="00147AD4" w:rsidRDefault="00E875AE" w:rsidP="00FC7982">
      <w:pPr>
        <w:pStyle w:val="Bezeichnungnderungsdokument"/>
      </w:pPr>
      <w:r>
        <w:t>Čtvrté nařízení o změně nařízení o ovocných šťávách a nealkoholických nápojích</w:t>
      </w:r>
      <w:r w:rsidR="00E26470" w:rsidRPr="00147AD4">
        <w:rPr>
          <w:rStyle w:val="FootnoteReference"/>
        </w:rPr>
        <w:footnoteReference w:id="1"/>
      </w:r>
      <w:r w:rsidR="00E26470" w:rsidRPr="00147AD4">
        <w:rPr>
          <w:rStyle w:val="FootnoteReference"/>
        </w:rPr>
        <w:t>)</w:t>
      </w:r>
      <w:r>
        <w:rPr>
          <w:rStyle w:val="FootnoteReference"/>
        </w:rPr>
        <w:t>)</w:t>
      </w:r>
      <w:r>
        <w:t xml:space="preserve"> </w:t>
      </w:r>
    </w:p>
    <w:p w14:paraId="59E715F6" w14:textId="77777777" w:rsidR="001F5D8C" w:rsidRPr="00147AD4" w:rsidRDefault="001F5D8C" w:rsidP="00FC7982">
      <w:pPr>
        <w:pStyle w:val="Ausfertigungsdatumnderungsdokument"/>
      </w:pPr>
      <w:r>
        <w:t>ze dne...</w:t>
      </w:r>
    </w:p>
    <w:p w14:paraId="11426998" w14:textId="77777777" w:rsidR="001F5D8C" w:rsidRPr="00147AD4" w:rsidRDefault="001F5D8C" w:rsidP="00FC7982">
      <w:pPr>
        <w:pStyle w:val="EingangsformelStandardnderungsdokument"/>
      </w:pPr>
      <w:r>
        <w:t>Na základě § 13 odst. 1 čís. 1 písm. a, čís. 2 a odst. 4 čís. 1 písm. a a b, a § 35 čís. 1 Zákoníku o potravinách a krmivech ve znění oznámení ze dne 3. června 2013 (Spolková sbírka zákonů I, str. 1426), který byl naposledy změněn článkem 1 zákona ze dne 24. dubna 2019 (Spolková sbírka zákonů I, str. 498), nařizuje Spolkové ministerstvo výživy a zemědělství ve shodě se Spolkovým ministerstvem hospodářství a energií:</w:t>
      </w:r>
    </w:p>
    <w:p w14:paraId="3BD99CEC" w14:textId="42B0D875" w:rsidR="00A66863" w:rsidRPr="00147AD4" w:rsidRDefault="00147AD4" w:rsidP="00147AD4">
      <w:pPr>
        <w:pStyle w:val="ArtikelBezeichner"/>
        <w:numPr>
          <w:ilvl w:val="0"/>
          <w:numId w:val="0"/>
        </w:numPr>
      </w:pPr>
      <w:r>
        <w:t>Článek 1</w:t>
      </w:r>
    </w:p>
    <w:p w14:paraId="2665E61F" w14:textId="77777777" w:rsidR="00010922" w:rsidRPr="00147AD4" w:rsidRDefault="00010922" w:rsidP="00010922">
      <w:pPr>
        <w:pStyle w:val="JuristischerAbsatznichtnummeriert"/>
        <w:rPr>
          <w:rStyle w:val="Marker"/>
          <w:color w:val="auto"/>
        </w:rPr>
      </w:pPr>
      <w:r>
        <w:rPr>
          <w:rStyle w:val="Marker"/>
          <w:color w:val="auto"/>
        </w:rPr>
        <w:t>Nařízení o ovocných šťávách a nealkoholických nápojích ve znění oznámení ze dne 24. května 2004 (Spolková sbírka zákonů I, str. 1016), které bylo naposledy změněno článkem 12 nařízení ze dne 5. července 2017 (Spolková sbírka zákonů I, str. 2272), se mění následovně:</w:t>
      </w:r>
    </w:p>
    <w:p w14:paraId="2E3A0BAE" w14:textId="77777777" w:rsidR="00E65FEB" w:rsidRPr="00147AD4" w:rsidRDefault="00266573" w:rsidP="00147AD4">
      <w:pPr>
        <w:pStyle w:val="NummerierungStufe1"/>
        <w:keepNext/>
      </w:pPr>
      <w:r>
        <w:t xml:space="preserve">Název nařízení se mění následovně: </w:t>
      </w:r>
    </w:p>
    <w:p w14:paraId="03DED294" w14:textId="77777777" w:rsidR="00266573" w:rsidRPr="00147AD4" w:rsidRDefault="006C01E1" w:rsidP="006C01E1">
      <w:pPr>
        <w:pStyle w:val="RevisionBezeichnungStammdokument"/>
        <w:ind w:left="425"/>
        <w:rPr>
          <w:rStyle w:val="Marker"/>
          <w:color w:val="auto"/>
        </w:rPr>
      </w:pPr>
      <w:r>
        <w:rPr>
          <w:rStyle w:val="Marker"/>
          <w:color w:val="auto"/>
        </w:rPr>
        <w:t>„Nařízení o ovocných šťávách, ovocném nektaru, nealkoholických nápojích s obsahem kofeinu a bylinných a ovocných čajích pro kojence nebo malé děti (orig. Fruchtsaft-, Erfrischungsgetränke- und Teeverordnung – FrSaftErfrischGetrTeeV)“.</w:t>
      </w:r>
    </w:p>
    <w:p w14:paraId="16412C5E" w14:textId="77777777" w:rsidR="008413AA" w:rsidRPr="00147AD4" w:rsidRDefault="007A647B" w:rsidP="00147AD4">
      <w:pPr>
        <w:pStyle w:val="NummerierungStufe1"/>
        <w:keepNext/>
      </w:pPr>
      <w:r>
        <w:t>V § 1 se po odst. 2 přidává následující odst. 3:</w:t>
      </w:r>
    </w:p>
    <w:p w14:paraId="5D4FD941" w14:textId="77777777" w:rsidR="008413AA" w:rsidRPr="00147AD4" w:rsidRDefault="008413AA" w:rsidP="00C72B5A">
      <w:pPr>
        <w:pStyle w:val="RevisionJuristischerAbsatz"/>
        <w:numPr>
          <w:ilvl w:val="2"/>
          <w:numId w:val="0"/>
        </w:numPr>
        <w:tabs>
          <w:tab w:val="left" w:pos="1700"/>
        </w:tabs>
        <w:ind w:left="850" w:firstLine="425"/>
        <w:rPr>
          <w:color w:val="auto"/>
        </w:rPr>
      </w:pPr>
      <w:r>
        <w:rPr>
          <w:color w:val="auto"/>
        </w:rPr>
        <w:t>„(3) Toto nařízení platí podle měřítek oddílu 4 také pro bylinné a ovocné čaje pro kojence nebo malé děti.“</w:t>
      </w:r>
    </w:p>
    <w:p w14:paraId="5B4E7AEA" w14:textId="77777777" w:rsidR="00806CEA" w:rsidRPr="00147AD4" w:rsidRDefault="00C54CCB" w:rsidP="00147AD4">
      <w:pPr>
        <w:pStyle w:val="NummerierungStufe1"/>
        <w:keepNext/>
      </w:pPr>
      <w:r>
        <w:lastRenderedPageBreak/>
        <w:t>Za § 6 je vložen následující oddíl 4:</w:t>
      </w:r>
    </w:p>
    <w:p w14:paraId="6CCE36DA" w14:textId="77777777" w:rsidR="00604F4F" w:rsidRPr="00147AD4" w:rsidRDefault="00604F4F" w:rsidP="00604F4F">
      <w:pPr>
        <w:pStyle w:val="RevisionAbschnittBezeichner"/>
        <w:ind w:left="425"/>
        <w:rPr>
          <w:color w:val="auto"/>
        </w:rPr>
      </w:pPr>
      <w:r>
        <w:rPr>
          <w:color w:val="auto"/>
        </w:rPr>
        <w:t>„Oddíl 4</w:t>
      </w:r>
    </w:p>
    <w:p w14:paraId="3E1B2CDA" w14:textId="77777777" w:rsidR="00604F4F" w:rsidRPr="00147AD4" w:rsidRDefault="006A424D" w:rsidP="00604F4F">
      <w:pPr>
        <w:pStyle w:val="RevisionAbschnittberschrift"/>
        <w:ind w:left="425"/>
        <w:rPr>
          <w:color w:val="auto"/>
        </w:rPr>
      </w:pPr>
      <w:r>
        <w:rPr>
          <w:rStyle w:val="Marker"/>
          <w:color w:val="auto"/>
        </w:rPr>
        <w:t xml:space="preserve">Bylinné a ovocné čaje pro kojence nebo malé děti </w:t>
      </w:r>
    </w:p>
    <w:p w14:paraId="33947127" w14:textId="77777777" w:rsidR="00604F4F" w:rsidRPr="00147AD4" w:rsidRDefault="00604F4F" w:rsidP="00604F4F">
      <w:pPr>
        <w:pStyle w:val="RevisionParagraphBezeichner"/>
        <w:rPr>
          <w:color w:val="auto"/>
        </w:rPr>
      </w:pPr>
    </w:p>
    <w:p w14:paraId="60C5A35B" w14:textId="77777777" w:rsidR="00604F4F" w:rsidRPr="00147AD4" w:rsidRDefault="00604F4F" w:rsidP="00604F4F">
      <w:pPr>
        <w:pStyle w:val="RevisionParagraphberschrift"/>
        <w:ind w:left="425"/>
        <w:rPr>
          <w:color w:val="auto"/>
        </w:rPr>
      </w:pPr>
      <w:r>
        <w:rPr>
          <w:color w:val="auto"/>
        </w:rPr>
        <w:t xml:space="preserve">Vymezení pojmů </w:t>
      </w:r>
    </w:p>
    <w:p w14:paraId="1918D11F" w14:textId="77777777" w:rsidR="00604F4F" w:rsidRPr="00147AD4" w:rsidRDefault="00A74D49" w:rsidP="00147AD4">
      <w:pPr>
        <w:pStyle w:val="RevisionJuristischerAbsatz"/>
        <w:keepNext/>
        <w:tabs>
          <w:tab w:val="clear" w:pos="850"/>
          <w:tab w:val="num" w:pos="1275"/>
        </w:tabs>
        <w:ind w:left="425"/>
        <w:rPr>
          <w:color w:val="auto"/>
        </w:rPr>
      </w:pPr>
      <w:r>
        <w:rPr>
          <w:color w:val="auto"/>
        </w:rPr>
        <w:t>Bylinné a ovocné čaje pro kojence nebo malé děti ve smyslu nařízení jsou</w:t>
      </w:r>
    </w:p>
    <w:p w14:paraId="681B5DCA"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čaji podobné výrobky, extrakty z čaji podobných výrobků nebo směsi potravin z extraktů z čaji podobných výrobků, které, aby byly vhodné pro požití, musí být ještě připravovány s vodou, a rovněž </w:t>
      </w:r>
    </w:p>
    <w:p w14:paraId="7CE9EBD1"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hotové nápoje připravené k požití, které byly vyrobeny z čaji podobných výrobků, jejich extraktů nebo směsí, </w:t>
      </w:r>
    </w:p>
    <w:p w14:paraId="35089E2C" w14:textId="77777777" w:rsidR="00604F4F" w:rsidRPr="00147AD4" w:rsidRDefault="00D82A60" w:rsidP="00F02C53">
      <w:pPr>
        <w:pStyle w:val="RevisionJuristischerAbsatzFolgeabsatz"/>
        <w:ind w:left="425"/>
        <w:rPr>
          <w:color w:val="auto"/>
        </w:rPr>
      </w:pPr>
      <w:r>
        <w:rPr>
          <w:color w:val="auto"/>
        </w:rPr>
        <w:t>které podle svého označení, podle jejich ostatních údajů nebo zobrazení na obalu nebo na etiketě umístěné na obalu, jsou podle jejich přípravy, jejich vzhledu nebo na základě reklamních sdělení určeny ke spotřebě kojenci nebo malými dětmi.</w:t>
      </w:r>
    </w:p>
    <w:p w14:paraId="26A8D188" w14:textId="77777777" w:rsidR="00604F4F" w:rsidRPr="00147AD4" w:rsidRDefault="00604F4F" w:rsidP="00147AD4">
      <w:pPr>
        <w:pStyle w:val="RevisionJuristischerAbsatz"/>
        <w:keepNext/>
        <w:numPr>
          <w:ilvl w:val="2"/>
          <w:numId w:val="33"/>
        </w:numPr>
        <w:rPr>
          <w:color w:val="auto"/>
        </w:rPr>
      </w:pPr>
      <w:r>
        <w:rPr>
          <w:color w:val="auto"/>
        </w:rPr>
        <w:t xml:space="preserve">Pro účely tohoto nařízení platí </w:t>
      </w:r>
    </w:p>
    <w:p w14:paraId="357B1630" w14:textId="77777777" w:rsidR="00604F4F" w:rsidRPr="00147AD4" w:rsidRDefault="00604F4F" w:rsidP="00791424">
      <w:pPr>
        <w:pStyle w:val="RevisionNummerierungStufe1"/>
        <w:tabs>
          <w:tab w:val="clear" w:pos="425"/>
          <w:tab w:val="num" w:pos="850"/>
        </w:tabs>
        <w:ind w:left="850"/>
        <w:rPr>
          <w:color w:val="auto"/>
        </w:rPr>
      </w:pPr>
      <w:r>
        <w:rPr>
          <w:color w:val="auto"/>
        </w:rPr>
        <w:t xml:space="preserve">pro pojem „kojenec“ ustanovení pojmů podle čl. 2 odst. 2 písm. a vyhlášky (EU) čís. 609/2013 Evropského parlamentu a Rady ze dne 12. června 2013 o potravinách pro kojence a malé děti, potravinách pro zvláštní medicínské účely a denních dávkách pro stravu s kontrolou hmotnosti a o zrušení směrnice 92/52/EHS Rady, směrnic 96/8/ES, 1999/21/ES, 2006/125/ES a 2006/141/ES Komise, směrnice 2009/39/ES Evropského parlamentu a Rady a rovněž nařízení (ES) čís. 41/2009 a (ES) čís. 953/2009 Rady a Komise (Úř. Věstník L 181 ze dne 29. 6. 2013, str. 35) a </w:t>
      </w:r>
    </w:p>
    <w:p w14:paraId="4E0F09BA" w14:textId="77777777" w:rsidR="00604F4F" w:rsidRPr="00147AD4" w:rsidRDefault="00604F4F" w:rsidP="00791424">
      <w:pPr>
        <w:pStyle w:val="RevisionNummerierungStufe1"/>
        <w:tabs>
          <w:tab w:val="clear" w:pos="425"/>
          <w:tab w:val="num" w:pos="850"/>
        </w:tabs>
        <w:ind w:left="850"/>
        <w:rPr>
          <w:color w:val="auto"/>
        </w:rPr>
      </w:pPr>
      <w:r>
        <w:rPr>
          <w:color w:val="auto"/>
        </w:rPr>
        <w:t>pro pojem „malé dítě“ ustanovení pojmů podle článku 2 odst. 2 písm. b nařízení (EU) čís. 609/2013.</w:t>
      </w:r>
    </w:p>
    <w:p w14:paraId="31F4F9B1" w14:textId="77777777" w:rsidR="00604F4F" w:rsidRPr="00147AD4" w:rsidRDefault="00604F4F" w:rsidP="00604F4F">
      <w:pPr>
        <w:pStyle w:val="RevisionParagraphBezeichner"/>
        <w:ind w:left="425"/>
        <w:rPr>
          <w:color w:val="auto"/>
        </w:rPr>
      </w:pPr>
    </w:p>
    <w:p w14:paraId="1E1BBBF7" w14:textId="77777777" w:rsidR="00604F4F" w:rsidRPr="00147AD4" w:rsidRDefault="00604F4F" w:rsidP="00604F4F">
      <w:pPr>
        <w:pStyle w:val="RevisionParagraphberschrift"/>
        <w:ind w:left="425"/>
        <w:rPr>
          <w:color w:val="auto"/>
        </w:rPr>
      </w:pPr>
      <w:r>
        <w:rPr>
          <w:color w:val="auto"/>
        </w:rPr>
        <w:t xml:space="preserve">Zvláštní požadavky na výrobku a uvádění na trh </w:t>
      </w:r>
    </w:p>
    <w:p w14:paraId="2906C335" w14:textId="3894E342" w:rsidR="00604F4F" w:rsidRPr="00147AD4" w:rsidRDefault="006A424D" w:rsidP="00604F4F">
      <w:pPr>
        <w:pStyle w:val="RevisionJuristischerAbsatz"/>
        <w:tabs>
          <w:tab w:val="clear" w:pos="850"/>
          <w:tab w:val="num" w:pos="1275"/>
        </w:tabs>
        <w:ind w:left="425"/>
        <w:rPr>
          <w:color w:val="auto"/>
        </w:rPr>
      </w:pPr>
      <w:r>
        <w:rPr>
          <w:color w:val="auto"/>
        </w:rPr>
        <w:t>Bylinné a ovocné čaje pro kojence nebo malé děti smí být uváděny na trh pouze ve formě předbalených potravin.</w:t>
      </w:r>
    </w:p>
    <w:p w14:paraId="037B7EE1" w14:textId="03FE0274" w:rsidR="00604F4F" w:rsidRPr="00147AD4" w:rsidRDefault="006A424D" w:rsidP="00147AD4">
      <w:pPr>
        <w:pStyle w:val="RevisionJuristischerAbsatz"/>
        <w:keepNext/>
        <w:tabs>
          <w:tab w:val="clear" w:pos="850"/>
          <w:tab w:val="num" w:pos="1275"/>
        </w:tabs>
        <w:ind w:left="425"/>
        <w:rPr>
          <w:color w:val="auto"/>
        </w:rPr>
      </w:pPr>
      <w:r>
        <w:rPr>
          <w:color w:val="auto"/>
        </w:rPr>
        <w:t xml:space="preserve">Bylinné a ovocné čaje pro kojence nebo malé děti musí být pro tyto specifické skupiny spotřebitelů vhodné jako nápoj. Zejména nesmí být při výrobě bylinných a ovocných čajů pro kojence a malé děti použit nebo přidáván ani </w:t>
      </w:r>
    </w:p>
    <w:p w14:paraId="33BF412D" w14:textId="77777777" w:rsidR="00604F4F" w:rsidRPr="00147AD4" w:rsidRDefault="00604F4F" w:rsidP="00F02C53">
      <w:pPr>
        <w:pStyle w:val="RevisionNummerierungStufe1"/>
        <w:tabs>
          <w:tab w:val="clear" w:pos="425"/>
          <w:tab w:val="num" w:pos="850"/>
        </w:tabs>
        <w:ind w:left="850"/>
        <w:rPr>
          <w:rStyle w:val="Marker"/>
          <w:color w:val="auto"/>
        </w:rPr>
      </w:pPr>
      <w:r>
        <w:rPr>
          <w:rStyle w:val="Marker"/>
          <w:color w:val="auto"/>
        </w:rPr>
        <w:t>cukr podle čl. 2 odst. 4 ve spojení s Přílohou I čís. 8 nařízení (EU) čís. 1169/2011 Evropského parlamentu a Rady ze dne 25. října 2011 týkající se informací spotřebitelů o potravinách (Úř. věstník L 304 z 22. 11. 2011, str. 18), ani</w:t>
      </w:r>
    </w:p>
    <w:p w14:paraId="4B34211B" w14:textId="77777777" w:rsidR="00387A51" w:rsidRPr="00147AD4" w:rsidRDefault="00387A51" w:rsidP="00F02C53">
      <w:pPr>
        <w:pStyle w:val="RevisionNummerierungStufe1"/>
        <w:tabs>
          <w:tab w:val="clear" w:pos="425"/>
          <w:tab w:val="num" w:pos="850"/>
        </w:tabs>
        <w:ind w:left="850"/>
        <w:rPr>
          <w:rStyle w:val="Marker"/>
          <w:color w:val="auto"/>
        </w:rPr>
      </w:pPr>
      <w:r>
        <w:rPr>
          <w:rStyle w:val="Marker"/>
          <w:color w:val="auto"/>
        </w:rPr>
        <w:t>med,</w:t>
      </w:r>
    </w:p>
    <w:p w14:paraId="29E6E6C5" w14:textId="77777777" w:rsidR="00387A51" w:rsidRPr="00147AD4" w:rsidRDefault="00387A51" w:rsidP="00F02C53">
      <w:pPr>
        <w:pStyle w:val="RevisionNummerierungStufe1"/>
        <w:tabs>
          <w:tab w:val="clear" w:pos="425"/>
          <w:tab w:val="num" w:pos="850"/>
        </w:tabs>
        <w:ind w:left="850"/>
        <w:rPr>
          <w:color w:val="auto"/>
        </w:rPr>
      </w:pPr>
      <w:r>
        <w:rPr>
          <w:color w:val="auto"/>
        </w:rPr>
        <w:lastRenderedPageBreak/>
        <w:t>sladový extrakt nebo jiné, z rostlinných surovin získané sirupy nebo koncentráty</w:t>
      </w:r>
    </w:p>
    <w:p w14:paraId="1A2FE4DE" w14:textId="77777777" w:rsidR="00387A51" w:rsidRPr="00147AD4" w:rsidRDefault="00387A51" w:rsidP="00F02C53">
      <w:pPr>
        <w:pStyle w:val="RevisionNummerierungStufe1"/>
        <w:tabs>
          <w:tab w:val="clear" w:pos="425"/>
          <w:tab w:val="num" w:pos="850"/>
        </w:tabs>
        <w:ind w:left="850"/>
        <w:rPr>
          <w:rStyle w:val="Marker"/>
          <w:color w:val="auto"/>
        </w:rPr>
      </w:pPr>
      <w:r>
        <w:rPr>
          <w:color w:val="auto"/>
        </w:rPr>
        <w:t>nebo výrobky</w:t>
      </w:r>
    </w:p>
    <w:p w14:paraId="3A6BCF32" w14:textId="77777777" w:rsidR="003D0B76" w:rsidRPr="00147AD4" w:rsidRDefault="00604F4F" w:rsidP="003D0B76">
      <w:pPr>
        <w:pStyle w:val="RevisionJuristischerAbsatzmanuell"/>
        <w:tabs>
          <w:tab w:val="clear" w:pos="850"/>
          <w:tab w:val="left" w:pos="1275"/>
        </w:tabs>
        <w:ind w:left="425"/>
        <w:rPr>
          <w:color w:val="auto"/>
        </w:rPr>
      </w:pPr>
      <w:r>
        <w:rPr>
          <w:color w:val="auto"/>
        </w:rPr>
        <w:t>podle přílohy 1.</w:t>
      </w:r>
    </w:p>
    <w:p w14:paraId="54F893FE" w14:textId="2F29456E" w:rsidR="00AB26A0" w:rsidRPr="00147AD4" w:rsidRDefault="00AB26A0" w:rsidP="003D0B76">
      <w:pPr>
        <w:pStyle w:val="RevisionJuristischerAbsatzmanuell"/>
        <w:tabs>
          <w:tab w:val="clear" w:pos="850"/>
          <w:tab w:val="left" w:pos="1275"/>
        </w:tabs>
        <w:ind w:left="425"/>
        <w:rPr>
          <w:color w:val="auto"/>
        </w:rPr>
      </w:pPr>
      <w:r>
        <w:rPr>
          <w:color w:val="auto"/>
        </w:rPr>
        <w:t>(3) Na bylinné a ovocné čaje pro kojence nebo malé děti je nutno aplikovat § 14 odst. 1 čís. 1 nařízení o dietě ve znění oznámení ze dne 28. dubna 2005 (Spolková sbírka zákonů I, str. 1161), které bylo naposledy změněno článkem 22 nařízení ze dne 5. července 2017 (Spolková sbírka zákonů I, str. 2272), a to odpovídajícím způsobem.</w:t>
      </w:r>
    </w:p>
    <w:p w14:paraId="5F526784" w14:textId="3A40F4B5" w:rsidR="00AB26A0" w:rsidRPr="00147AD4" w:rsidRDefault="00D259EE" w:rsidP="00604F4F">
      <w:pPr>
        <w:pStyle w:val="RevisionJuristischerAbsatzmanuell"/>
        <w:tabs>
          <w:tab w:val="clear" w:pos="850"/>
          <w:tab w:val="left" w:pos="1275"/>
        </w:tabs>
        <w:ind w:left="425"/>
        <w:rPr>
          <w:color w:val="auto"/>
        </w:rPr>
      </w:pPr>
      <w:r>
        <w:rPr>
          <w:color w:val="auto"/>
        </w:rPr>
        <w:t>(4) Bylinné a ovocné čaje pro kojence nebo malé děti, které neodpovídají požadavkům podle odst. 2 věta 2 nebo odst. 3, nesmí být uváděny na trh.</w:t>
      </w:r>
    </w:p>
    <w:p w14:paraId="775A1089" w14:textId="77777777" w:rsidR="00604F4F" w:rsidRPr="00147AD4" w:rsidRDefault="00604F4F" w:rsidP="00604F4F">
      <w:pPr>
        <w:pStyle w:val="RevisionParagraphBezeichner"/>
        <w:ind w:left="425"/>
        <w:rPr>
          <w:color w:val="auto"/>
        </w:rPr>
      </w:pPr>
    </w:p>
    <w:p w14:paraId="553952F3" w14:textId="77777777" w:rsidR="00604F4F" w:rsidRPr="00147AD4" w:rsidRDefault="00604F4F" w:rsidP="00604F4F">
      <w:pPr>
        <w:pStyle w:val="RevisionParagraphberschrift"/>
        <w:ind w:left="425"/>
        <w:rPr>
          <w:color w:val="auto"/>
        </w:rPr>
      </w:pPr>
      <w:r>
        <w:rPr>
          <w:color w:val="auto"/>
        </w:rPr>
        <w:t xml:space="preserve">Označení bylinných a ovocných čajů pro kojence nebo malé děti </w:t>
      </w:r>
    </w:p>
    <w:p w14:paraId="133025CC" w14:textId="77777777" w:rsidR="00604F4F" w:rsidRPr="00147AD4" w:rsidRDefault="00E45CFE" w:rsidP="00147AD4">
      <w:pPr>
        <w:pStyle w:val="RevisionJuristischerAbsatzmanuell"/>
        <w:keepNext/>
        <w:tabs>
          <w:tab w:val="clear" w:pos="850"/>
          <w:tab w:val="left" w:pos="1275"/>
        </w:tabs>
        <w:ind w:left="425"/>
        <w:rPr>
          <w:color w:val="auto"/>
        </w:rPr>
      </w:pPr>
      <w:r>
        <w:rPr>
          <w:color w:val="auto"/>
        </w:rPr>
        <w:t>Bylinné a ovocné čaje</w:t>
      </w:r>
      <w:r>
        <w:t xml:space="preserve"> </w:t>
      </w:r>
      <w:r>
        <w:rPr>
          <w:color w:val="auto"/>
        </w:rPr>
        <w:t>pro kojence nebo malé děti smí být uváděny na trh pouze tehdy, pokud označení na obalu nebo na etiketě umístěné na tomto obalu obsahuje následující upozornění:</w:t>
      </w:r>
    </w:p>
    <w:p w14:paraId="3926BDB4" w14:textId="77777777" w:rsidR="00604F4F" w:rsidRPr="00147AD4" w:rsidRDefault="00604F4F" w:rsidP="00604F4F">
      <w:pPr>
        <w:pStyle w:val="RevisionNummerierungStufe1"/>
        <w:numPr>
          <w:ilvl w:val="3"/>
          <w:numId w:val="32"/>
        </w:numPr>
        <w:tabs>
          <w:tab w:val="clear" w:pos="425"/>
          <w:tab w:val="num" w:pos="850"/>
        </w:tabs>
        <w:ind w:left="850"/>
        <w:rPr>
          <w:color w:val="auto"/>
        </w:rPr>
      </w:pPr>
      <w:r>
        <w:rPr>
          <w:color w:val="auto"/>
        </w:rPr>
        <w:t>Upozornění, že při jejich přípravě a před jejich podávání nesmí být použit cukr nebo další sladicí přísady a</w:t>
      </w:r>
    </w:p>
    <w:p w14:paraId="1E487DE1" w14:textId="77777777" w:rsidR="00604F4F" w:rsidRPr="00147AD4" w:rsidRDefault="00604F4F" w:rsidP="00791424">
      <w:pPr>
        <w:pStyle w:val="RevisionNummerierungStufe1"/>
        <w:tabs>
          <w:tab w:val="clear" w:pos="425"/>
          <w:tab w:val="num" w:pos="850"/>
        </w:tabs>
        <w:ind w:left="850"/>
        <w:rPr>
          <w:color w:val="auto"/>
        </w:rPr>
      </w:pPr>
      <w:r>
        <w:rPr>
          <w:color w:val="auto"/>
        </w:rPr>
        <w:t>upozornění, od jakého věku mohou být používány: tento věk nesmí být nižší než dosažené čtyři měsíce života.</w:t>
      </w:r>
    </w:p>
    <w:p w14:paraId="5E11F242" w14:textId="77777777" w:rsidR="00604F4F" w:rsidRPr="00147AD4" w:rsidRDefault="00604F4F" w:rsidP="00E8038F">
      <w:pPr>
        <w:pStyle w:val="RevisionJuristischerAbsatzFolgeabsatz"/>
        <w:ind w:left="425"/>
        <w:rPr>
          <w:color w:val="auto"/>
        </w:rPr>
      </w:pPr>
      <w:r>
        <w:rPr>
          <w:color w:val="auto"/>
        </w:rPr>
        <w:t>Upozornění podle věty 1 musí být na obalu dobře viditelné, umístěny zřetelně a dobře čitelné a nesmí být žádným způsobem překryto nebo znevýrazněno jinými údaji nebo symboly nebo jiným přidaným materiálem.</w:t>
      </w:r>
    </w:p>
    <w:p w14:paraId="7187BFCA" w14:textId="77777777" w:rsidR="00D26AAB" w:rsidRPr="00147AD4" w:rsidRDefault="00D26AAB" w:rsidP="00D26AAB">
      <w:pPr>
        <w:pStyle w:val="NummerierungStufe1"/>
        <w:rPr>
          <w:rStyle w:val="Marker"/>
          <w:color w:val="auto"/>
        </w:rPr>
      </w:pPr>
      <w:r>
        <w:rPr>
          <w:rStyle w:val="Marker"/>
          <w:color w:val="auto"/>
        </w:rPr>
        <w:t>Dosavadní oddíl 4 se stává oddílem 5.</w:t>
      </w:r>
    </w:p>
    <w:p w14:paraId="7FD5A536" w14:textId="77777777" w:rsidR="00266573" w:rsidRPr="00147AD4" w:rsidRDefault="009B3318" w:rsidP="006C2904">
      <w:pPr>
        <w:pStyle w:val="NummerierungStufe1"/>
        <w:rPr>
          <w:rStyle w:val="Marker"/>
          <w:color w:val="auto"/>
        </w:rPr>
      </w:pPr>
      <w:r>
        <w:rPr>
          <w:rStyle w:val="Marker"/>
          <w:color w:val="auto"/>
        </w:rPr>
        <w:t>Dosavadní § 7 se stává § 10.</w:t>
      </w:r>
    </w:p>
    <w:p w14:paraId="422FFA22" w14:textId="77777777" w:rsidR="003F4260" w:rsidRPr="00147AD4" w:rsidRDefault="003F4260" w:rsidP="00147AD4">
      <w:pPr>
        <w:pStyle w:val="NummerierungStufe1"/>
        <w:keepNext/>
        <w:rPr>
          <w:rStyle w:val="Marker"/>
          <w:color w:val="auto"/>
        </w:rPr>
      </w:pPr>
      <w:r>
        <w:rPr>
          <w:rStyle w:val="Marker"/>
          <w:color w:val="auto"/>
        </w:rPr>
        <w:t>Dosavadní § 8 se stává § 11 a mění se následovně:</w:t>
      </w:r>
    </w:p>
    <w:p w14:paraId="459BCB62" w14:textId="43577324" w:rsidR="00E40DC2" w:rsidRPr="00147AD4" w:rsidRDefault="00E40DC2" w:rsidP="006C01E1">
      <w:pPr>
        <w:pStyle w:val="NummerierungStufe2"/>
        <w:rPr>
          <w:rStyle w:val="Marker"/>
          <w:color w:val="auto"/>
        </w:rPr>
      </w:pPr>
      <w:r>
        <w:rPr>
          <w:rStyle w:val="Marker"/>
          <w:color w:val="auto"/>
        </w:rPr>
        <w:t xml:space="preserve">V odst. 1 jsou po údaji „oproti § 5“ přidána slova „nebo § 8 odst. 4“. </w:t>
      </w:r>
    </w:p>
    <w:p w14:paraId="04D65110" w14:textId="77777777" w:rsidR="00E14F6C" w:rsidRPr="00705CA3" w:rsidRDefault="00A8729C" w:rsidP="00055735">
      <w:pPr>
        <w:pStyle w:val="NummerierungStufe2"/>
        <w:rPr>
          <w:rStyle w:val="Marker"/>
          <w:color w:val="auto"/>
        </w:rPr>
      </w:pPr>
      <w:r>
        <w:rPr>
          <w:rStyle w:val="Marker"/>
          <w:color w:val="auto"/>
        </w:rPr>
        <w:t xml:space="preserve">V odstavci 2 je nahrazen údaj „§ 7“ údajem „§ 10“. </w:t>
      </w:r>
    </w:p>
    <w:p w14:paraId="2CF079DA" w14:textId="77777777" w:rsidR="00DE00F7" w:rsidRPr="00705CA3" w:rsidRDefault="00A8729C" w:rsidP="00300CE2">
      <w:pPr>
        <w:pStyle w:val="NummerierungStufe2"/>
        <w:rPr>
          <w:rStyle w:val="Marker"/>
          <w:color w:val="auto"/>
        </w:rPr>
      </w:pPr>
      <w:r>
        <w:rPr>
          <w:rStyle w:val="Marker"/>
          <w:color w:val="auto"/>
        </w:rPr>
        <w:t xml:space="preserve">V odst. 4 jsou slova „nebo § 6 odst. 1“ nahrazena čárkou a slovy „§ 6 odst. 1, § 8 odst. 1 nebo § 9 věta 1“. </w:t>
      </w:r>
    </w:p>
    <w:p w14:paraId="207F6C06" w14:textId="77777777" w:rsidR="00A8729C" w:rsidRPr="00147AD4" w:rsidRDefault="00A8729C" w:rsidP="001E3C39">
      <w:pPr>
        <w:pStyle w:val="NummerierungStufe1"/>
        <w:rPr>
          <w:rStyle w:val="Marker"/>
          <w:color w:val="auto"/>
        </w:rPr>
      </w:pPr>
      <w:r>
        <w:rPr>
          <w:rStyle w:val="Marker"/>
          <w:color w:val="auto"/>
        </w:rPr>
        <w:t>Dosavadní § 9 se ruší.</w:t>
      </w:r>
    </w:p>
    <w:p w14:paraId="535FF520" w14:textId="77777777" w:rsidR="001E3C39" w:rsidRPr="00147AD4" w:rsidRDefault="00A03401" w:rsidP="001E3C39">
      <w:pPr>
        <w:pStyle w:val="NummerierungStufe1"/>
        <w:rPr>
          <w:rStyle w:val="Marker"/>
          <w:color w:val="auto"/>
        </w:rPr>
      </w:pPr>
      <w:r>
        <w:rPr>
          <w:rStyle w:val="Marker"/>
          <w:color w:val="auto"/>
        </w:rPr>
        <w:t xml:space="preserve">Po novém § 11 je přidán následující § 12: </w:t>
      </w:r>
    </w:p>
    <w:p w14:paraId="234BA963" w14:textId="77777777" w:rsidR="009269A0" w:rsidRPr="00147AD4" w:rsidRDefault="009269A0" w:rsidP="00147AD4">
      <w:pPr>
        <w:pStyle w:val="RevisionParagraphBezeichnermanuell"/>
        <w:ind w:left="425" w:hanging="75"/>
        <w:rPr>
          <w:rStyle w:val="Marker"/>
          <w:color w:val="auto"/>
        </w:rPr>
      </w:pPr>
      <w:r>
        <w:rPr>
          <w:rStyle w:val="Marker"/>
          <w:color w:val="auto"/>
        </w:rPr>
        <w:lastRenderedPageBreak/>
        <w:t>„§ 12</w:t>
      </w:r>
    </w:p>
    <w:p w14:paraId="28AE0FDC" w14:textId="77777777" w:rsidR="009269A0" w:rsidRPr="00147AD4" w:rsidRDefault="009269A0" w:rsidP="00C72B5A">
      <w:pPr>
        <w:pStyle w:val="RevisionParagraphberschrift"/>
        <w:ind w:left="425"/>
        <w:rPr>
          <w:rStyle w:val="Marker"/>
          <w:color w:val="auto"/>
        </w:rPr>
      </w:pPr>
      <w:r>
        <w:rPr>
          <w:rStyle w:val="Marker"/>
          <w:color w:val="auto"/>
        </w:rPr>
        <w:t>Přechodná úprava pro bylinné a ovocné čaje pro kojence nebo malé děti</w:t>
      </w:r>
    </w:p>
    <w:p w14:paraId="38A33D0B" w14:textId="77777777" w:rsidR="009269A0" w:rsidRPr="00705CA3" w:rsidRDefault="009269A0" w:rsidP="00C72B5A">
      <w:pPr>
        <w:pStyle w:val="RevisionJuristischerAbsatz"/>
        <w:numPr>
          <w:ilvl w:val="2"/>
          <w:numId w:val="0"/>
        </w:numPr>
        <w:tabs>
          <w:tab w:val="left" w:pos="1275"/>
        </w:tabs>
        <w:ind w:left="425" w:firstLine="425"/>
        <w:rPr>
          <w:rStyle w:val="Marker"/>
          <w:color w:val="auto"/>
        </w:rPr>
      </w:pPr>
      <w:r>
        <w:rPr>
          <w:rStyle w:val="Marker"/>
          <w:color w:val="auto"/>
        </w:rPr>
        <w:t>Až do …[vložte: Den šestého měsíce následujícího po vstupu tohoto nařízení v platnost, který odpovídá dni vstupu nařízení v platnost], smí být bylinné a ovocné čaje pro kojence nebo malé děti vyráběny a označovány podle předpisů platných do …[vložte: Den před vstupem tohoto nařízení v platnost]. Podle věty 1 vyráběné a označované bylinné a ovocné čaje pro kojence nebo malé děti smí být uváděny na trh až do vyprodání zásob.“</w:t>
      </w:r>
    </w:p>
    <w:p w14:paraId="6969ABD4" w14:textId="77777777" w:rsidR="00A03401" w:rsidRPr="00147AD4" w:rsidRDefault="00A03401" w:rsidP="00000B23">
      <w:pPr>
        <w:pStyle w:val="NummerierungStufe1"/>
        <w:rPr>
          <w:rStyle w:val="Marker"/>
          <w:color w:val="auto"/>
        </w:rPr>
      </w:pPr>
      <w:r>
        <w:rPr>
          <w:rStyle w:val="Marker"/>
          <w:color w:val="auto"/>
        </w:rPr>
        <w:t>Dosavadní § 11 se stává § 13.</w:t>
      </w:r>
    </w:p>
    <w:p w14:paraId="15F1E63E" w14:textId="77777777" w:rsidR="00000B23" w:rsidRPr="00147AD4" w:rsidRDefault="00000B23" w:rsidP="00000B23">
      <w:pPr>
        <w:pStyle w:val="NummerierungStufe1"/>
        <w:rPr>
          <w:rStyle w:val="Marker"/>
          <w:color w:val="auto"/>
        </w:rPr>
      </w:pPr>
      <w:r>
        <w:rPr>
          <w:rStyle w:val="Marker"/>
          <w:color w:val="auto"/>
        </w:rPr>
        <w:t>V Příloze 1 jsou slova „(k § 1 odst. 1, § 2 odst. 1 až 5, § 3 odst. 1 až 3 a § 7)“ nahrazena slovy „(k § 1 odst. 1, § 2 odst. 1 až 5, § 3 odst 1 až 3 a § 10)“.</w:t>
      </w:r>
    </w:p>
    <w:p w14:paraId="7C1AA685" w14:textId="0E0B093E" w:rsidR="009A0368" w:rsidRPr="00147AD4" w:rsidRDefault="00147AD4" w:rsidP="00147AD4">
      <w:pPr>
        <w:pStyle w:val="ArtikelBezeichner"/>
        <w:numPr>
          <w:ilvl w:val="0"/>
          <w:numId w:val="0"/>
        </w:numPr>
      </w:pPr>
      <w:r>
        <w:t>Článek 2</w:t>
      </w:r>
    </w:p>
    <w:p w14:paraId="25733FE4" w14:textId="77777777" w:rsidR="009A0368" w:rsidRPr="00147AD4" w:rsidRDefault="009A0368" w:rsidP="00485C50">
      <w:pPr>
        <w:pStyle w:val="JuristischerAbsatznichtnummeriert"/>
      </w:pPr>
      <w:r>
        <w:rPr>
          <w:rStyle w:val="Marker"/>
          <w:color w:val="auto"/>
        </w:rPr>
        <w:t>Spolkové ministerstvo výživy a zemědělství může oznámit znění Nařízení o ovocných šťávách a nealkoholických nápojích pod novým názvem ve Spolkové sbírce zákonů platné od vstupu této vyhlášky v platnost.</w:t>
      </w:r>
    </w:p>
    <w:p w14:paraId="5166E62B" w14:textId="18BCAC4C" w:rsidR="001F5D8C" w:rsidRPr="00147AD4" w:rsidRDefault="00147AD4" w:rsidP="00147AD4">
      <w:pPr>
        <w:pStyle w:val="ArtikelBezeichner"/>
        <w:numPr>
          <w:ilvl w:val="0"/>
          <w:numId w:val="0"/>
        </w:numPr>
      </w:pPr>
      <w:r>
        <w:t>Článek 3</w:t>
      </w:r>
    </w:p>
    <w:p w14:paraId="7398DF60" w14:textId="77777777" w:rsidR="001F5D8C" w:rsidRPr="00147AD4" w:rsidRDefault="001610C6" w:rsidP="00FC7982">
      <w:pPr>
        <w:pStyle w:val="JuristischerAbsatznichtnummeriert"/>
      </w:pPr>
      <w:r>
        <w:rPr>
          <w:rStyle w:val="Marker"/>
          <w:color w:val="auto"/>
        </w:rPr>
        <w:t>Tato vyhláška nabývá platnosti v den po jejím oznámení.</w:t>
      </w:r>
    </w:p>
    <w:p w14:paraId="4ABE6B52" w14:textId="77777777" w:rsidR="001F5D8C" w:rsidRPr="00147AD4" w:rsidRDefault="001F5D8C" w:rsidP="00FC7982">
      <w:pPr>
        <w:pStyle w:val="Schlussformel"/>
        <w:rPr>
          <w:rStyle w:val="Marker"/>
          <w:color w:val="auto"/>
        </w:rPr>
      </w:pPr>
      <w:r>
        <w:rPr>
          <w:rStyle w:val="Marker"/>
          <w:color w:val="auto"/>
        </w:rPr>
        <w:t>Spolková rada vyslovila souhlas.</w:t>
      </w:r>
    </w:p>
    <w:p w14:paraId="062815F7" w14:textId="77777777" w:rsidR="001610C6" w:rsidRPr="00147AD4" w:rsidRDefault="001610C6" w:rsidP="001610C6">
      <w:pPr>
        <w:pStyle w:val="OrtDatum"/>
        <w:jc w:val="left"/>
      </w:pPr>
      <w:r>
        <w:t>Bonn, dne…………</w:t>
      </w:r>
    </w:p>
    <w:p w14:paraId="4ADF4ACB" w14:textId="77777777" w:rsidR="001610C6" w:rsidRPr="00147AD4" w:rsidRDefault="001610C6" w:rsidP="001610C6">
      <w:pPr>
        <w:pStyle w:val="Organisation"/>
        <w:rPr>
          <w:spacing w:val="0"/>
        </w:rPr>
      </w:pPr>
      <w:r>
        <w:t>Spolková ministryně výživy a zemědělství</w:t>
      </w:r>
    </w:p>
    <w:p w14:paraId="73453213" w14:textId="77777777" w:rsidR="001610C6" w:rsidRPr="00147AD4" w:rsidRDefault="001610C6" w:rsidP="001610C6">
      <w:pPr>
        <w:pStyle w:val="Person"/>
        <w:rPr>
          <w:spacing w:val="0"/>
        </w:rPr>
      </w:pPr>
      <w:r>
        <w:t>Julia Klöcknerová</w:t>
      </w:r>
    </w:p>
    <w:sectPr w:rsidR="001610C6" w:rsidRPr="00147AD4" w:rsidSect="00BD44E7">
      <w:headerReference w:type="default" r:id="rId8"/>
      <w:headerReference w:type="first" r:id="rId9"/>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FC53CF" w14:textId="77777777" w:rsidR="00CE260C" w:rsidRDefault="00CE260C" w:rsidP="00B32E39">
      <w:pPr>
        <w:spacing w:before="0" w:after="0"/>
      </w:pPr>
      <w:r>
        <w:separator/>
      </w:r>
    </w:p>
    <w:p w14:paraId="6927E957" w14:textId="77777777" w:rsidR="00CE260C" w:rsidRDefault="00CE260C"/>
  </w:endnote>
  <w:endnote w:type="continuationSeparator" w:id="0">
    <w:p w14:paraId="2AD4409A" w14:textId="77777777" w:rsidR="00CE260C" w:rsidRDefault="00CE260C" w:rsidP="00B32E39">
      <w:pPr>
        <w:spacing w:before="0" w:after="0"/>
      </w:pPr>
      <w:r>
        <w:continuationSeparator/>
      </w:r>
    </w:p>
    <w:p w14:paraId="2BBF2C23" w14:textId="77777777" w:rsidR="00CE260C" w:rsidRDefault="00CE26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E94A7" w14:textId="77777777" w:rsidR="00CE260C" w:rsidRDefault="00CE260C" w:rsidP="00B32E39">
      <w:pPr>
        <w:spacing w:before="0" w:after="0"/>
      </w:pPr>
      <w:r>
        <w:separator/>
      </w:r>
    </w:p>
    <w:p w14:paraId="65699CF0" w14:textId="77777777" w:rsidR="00CE260C" w:rsidRDefault="00CE260C"/>
  </w:footnote>
  <w:footnote w:type="continuationSeparator" w:id="0">
    <w:p w14:paraId="3970E9FD" w14:textId="77777777" w:rsidR="00CE260C" w:rsidRDefault="00CE260C" w:rsidP="00B32E39">
      <w:pPr>
        <w:spacing w:before="0" w:after="0"/>
      </w:pPr>
      <w:r>
        <w:continuationSeparator/>
      </w:r>
    </w:p>
    <w:p w14:paraId="3BCD5DA9" w14:textId="77777777" w:rsidR="00CE260C" w:rsidRDefault="00CE260C"/>
  </w:footnote>
  <w:footnote w:id="1">
    <w:p w14:paraId="1955B4E8" w14:textId="1824B90A" w:rsidR="00E26470" w:rsidRDefault="00E26470">
      <w:pPr>
        <w:pStyle w:val="FootnoteText"/>
      </w:pPr>
      <w:r>
        <w:rPr>
          <w:rStyle w:val="FootnoteReference"/>
        </w:rPr>
        <w:footnoteRef/>
      </w:r>
      <w:r>
        <w:rPr>
          <w:rStyle w:val="FootnoteReference"/>
          <w:vertAlign w:val="baseline"/>
        </w:rPr>
        <w:t>)</w:t>
      </w:r>
      <w:bookmarkStart w:id="0" w:name="_GoBack"/>
      <w:bookmarkEnd w:id="0"/>
      <w:r>
        <w:tab/>
        <w:t>Oznámeno v souladu se směrnicí Evropského parlamentu a Rady (EU) 2015/1535 ze dne 9. září 2015 o postupu při poskytování informací v oblasti norem a technických předpisů a předpisů pro služby informační společnosti (Úř. věst. L 241, 17. 9. 2015,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8852" w14:textId="29B0641C" w:rsidR="00631A62" w:rsidRPr="00BD44E7" w:rsidRDefault="00BD44E7" w:rsidP="00B55EF7">
    <w:pPr>
      <w:pStyle w:val="Header"/>
    </w:pPr>
    <w:r>
      <w:tab/>
      <w:t xml:space="preserve">- </w:t>
    </w:r>
    <w:r>
      <w:fldChar w:fldCharType="begin"/>
    </w:r>
    <w:r>
      <w:instrText xml:space="preserve"> PAGE  \* MERGEFORMAT </w:instrText>
    </w:r>
    <w:r>
      <w:fldChar w:fldCharType="separate"/>
    </w:r>
    <w:r w:rsidR="00D7440F">
      <w:rPr>
        <w:noProof/>
      </w:rPr>
      <w:t>2</w:t>
    </w:r>
    <w:r>
      <w:fldChar w:fldCharType="end"/>
    </w:r>
    <w:r>
      <w:t xml:space="preserve"> -</w:t>
    </w:r>
    <w:r>
      <w:tab/>
      <w:t>Stav zpracování</w:t>
    </w:r>
    <w:r>
      <w:rPr>
        <w:sz w:val="18"/>
      </w:rPr>
      <w:t>: 18. 10. 2019 14:38 hod.</w:t>
    </w:r>
    <w:sdt>
      <w:sdtPr>
        <w:id w:val="1390848407"/>
        <w:docPartObj>
          <w:docPartGallery w:val="Watermarks"/>
          <w:docPartUnique/>
        </w:docPartObj>
      </w:sdtPr>
      <w:sdtEndPr/>
      <w:sdtContent>
        <w:r w:rsidR="00CE260C">
          <w:pict w14:anchorId="1CF9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NÁVRH"/>
              <w10:wrap anchorx="margin" anchory="margin"/>
            </v:shape>
          </w:pic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2B81" w14:textId="7D0A2BB4" w:rsidR="00631A62" w:rsidRPr="00BD44E7" w:rsidRDefault="00BD44E7" w:rsidP="00147AD4">
    <w:pPr>
      <w:pStyle w:val="Header"/>
      <w:jc w:val="right"/>
    </w:pPr>
    <w:r>
      <w:rPr>
        <w:sz w:val="18"/>
      </w:rPr>
      <w:t>Stav zpracování: 18. 10. 2019 14:38 hod.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E946E098"/>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127CA23E"/>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24"/>
  </w:num>
  <w:num w:numId="9">
    <w:abstractNumId w:val="16"/>
  </w:num>
  <w:num w:numId="10">
    <w:abstractNumId w:val="3"/>
  </w:num>
  <w:num w:numId="11">
    <w:abstractNumId w:val="10"/>
  </w:num>
  <w:num w:numId="12">
    <w:abstractNumId w:val="0"/>
  </w:num>
  <w:num w:numId="13">
    <w:abstractNumId w:val="23"/>
  </w:num>
  <w:num w:numId="14">
    <w:abstractNumId w:val="11"/>
  </w:num>
  <w:num w:numId="15">
    <w:abstractNumId w:val="19"/>
  </w:num>
  <w:num w:numId="16">
    <w:abstractNumId w:val="2"/>
  </w:num>
  <w:num w:numId="17">
    <w:abstractNumId w:val="15"/>
  </w:num>
  <w:num w:numId="18">
    <w:abstractNumId w:val="7"/>
  </w:num>
  <w:num w:numId="19">
    <w:abstractNumId w:val="6"/>
  </w:num>
  <w:num w:numId="20">
    <w:abstractNumId w:val="14"/>
  </w:num>
  <w:num w:numId="21">
    <w:abstractNumId w:val="20"/>
  </w:num>
  <w:num w:numId="22">
    <w:abstractNumId w:val="8"/>
  </w:num>
  <w:num w:numId="23">
    <w:abstractNumId w:val="12"/>
  </w:num>
  <w:num w:numId="24">
    <w:abstractNumId w:val="1"/>
  </w:num>
  <w:num w:numId="25">
    <w:abstractNumId w:val="13"/>
  </w:num>
  <w:num w:numId="26">
    <w:abstractNumId w:val="4"/>
  </w:num>
  <w:num w:numId="27">
    <w:abstractNumId w:val="22"/>
  </w:num>
  <w:num w:numId="28">
    <w:abstractNumId w:val="21"/>
  </w:num>
  <w:num w:numId="29">
    <w:abstractNumId w:val="9"/>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hyphenationZone w:val="425"/>
  <w:doNotHyphenateCap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20358"/>
    <w:rsid w:val="00220B58"/>
    <w:rsid w:val="00221779"/>
    <w:rsid w:val="0022322E"/>
    <w:rsid w:val="002246DD"/>
    <w:rsid w:val="00224FB5"/>
    <w:rsid w:val="00226420"/>
    <w:rsid w:val="00226A23"/>
    <w:rsid w:val="002277C1"/>
    <w:rsid w:val="0023110B"/>
    <w:rsid w:val="00233E1A"/>
    <w:rsid w:val="0023522A"/>
    <w:rsid w:val="0024082D"/>
    <w:rsid w:val="00240927"/>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F78"/>
    <w:rsid w:val="004469DB"/>
    <w:rsid w:val="004502FF"/>
    <w:rsid w:val="00452033"/>
    <w:rsid w:val="00452277"/>
    <w:rsid w:val="00453EAE"/>
    <w:rsid w:val="00453ED9"/>
    <w:rsid w:val="004579F8"/>
    <w:rsid w:val="00457C6B"/>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4175"/>
    <w:rsid w:val="004A4678"/>
    <w:rsid w:val="004A590D"/>
    <w:rsid w:val="004A5C3E"/>
    <w:rsid w:val="004A731D"/>
    <w:rsid w:val="004B0650"/>
    <w:rsid w:val="004B6F93"/>
    <w:rsid w:val="004B71AE"/>
    <w:rsid w:val="004B7C52"/>
    <w:rsid w:val="004C4C79"/>
    <w:rsid w:val="004C757C"/>
    <w:rsid w:val="004D0BBC"/>
    <w:rsid w:val="004D689E"/>
    <w:rsid w:val="004D7422"/>
    <w:rsid w:val="004E0224"/>
    <w:rsid w:val="004E367D"/>
    <w:rsid w:val="004E7E60"/>
    <w:rsid w:val="004F3343"/>
    <w:rsid w:val="004F6DA2"/>
    <w:rsid w:val="00500D82"/>
    <w:rsid w:val="0050126D"/>
    <w:rsid w:val="00504EB3"/>
    <w:rsid w:val="00506A5A"/>
    <w:rsid w:val="00512F5E"/>
    <w:rsid w:val="00516806"/>
    <w:rsid w:val="00520F95"/>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E84"/>
    <w:rsid w:val="00832E16"/>
    <w:rsid w:val="0083338F"/>
    <w:rsid w:val="008365C2"/>
    <w:rsid w:val="00837C08"/>
    <w:rsid w:val="008413AA"/>
    <w:rsid w:val="00842313"/>
    <w:rsid w:val="00843D32"/>
    <w:rsid w:val="00846221"/>
    <w:rsid w:val="00851A87"/>
    <w:rsid w:val="0085231B"/>
    <w:rsid w:val="00853AD7"/>
    <w:rsid w:val="008547D5"/>
    <w:rsid w:val="00864C43"/>
    <w:rsid w:val="00865ABD"/>
    <w:rsid w:val="00870C5F"/>
    <w:rsid w:val="00875D7A"/>
    <w:rsid w:val="00876832"/>
    <w:rsid w:val="00887A3B"/>
    <w:rsid w:val="00887D34"/>
    <w:rsid w:val="008900F4"/>
    <w:rsid w:val="00891ECB"/>
    <w:rsid w:val="00893CA5"/>
    <w:rsid w:val="008A2C38"/>
    <w:rsid w:val="008B1546"/>
    <w:rsid w:val="008B3D93"/>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50F36"/>
    <w:rsid w:val="009515F1"/>
    <w:rsid w:val="009523A4"/>
    <w:rsid w:val="009531F4"/>
    <w:rsid w:val="0095511B"/>
    <w:rsid w:val="00961A12"/>
    <w:rsid w:val="00963D7E"/>
    <w:rsid w:val="00971DAE"/>
    <w:rsid w:val="00977C3F"/>
    <w:rsid w:val="00981BED"/>
    <w:rsid w:val="0098390F"/>
    <w:rsid w:val="0098495C"/>
    <w:rsid w:val="009849C7"/>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E43"/>
    <w:rsid w:val="00B50569"/>
    <w:rsid w:val="00B510EB"/>
    <w:rsid w:val="00B5121F"/>
    <w:rsid w:val="00B53190"/>
    <w:rsid w:val="00B55EF7"/>
    <w:rsid w:val="00B57BAE"/>
    <w:rsid w:val="00B6029B"/>
    <w:rsid w:val="00B60BA6"/>
    <w:rsid w:val="00B63163"/>
    <w:rsid w:val="00B63AD8"/>
    <w:rsid w:val="00B709A5"/>
    <w:rsid w:val="00B70C43"/>
    <w:rsid w:val="00B71FE6"/>
    <w:rsid w:val="00B72037"/>
    <w:rsid w:val="00B72DFC"/>
    <w:rsid w:val="00B756C6"/>
    <w:rsid w:val="00B800BE"/>
    <w:rsid w:val="00B87131"/>
    <w:rsid w:val="00B92604"/>
    <w:rsid w:val="00B93AB1"/>
    <w:rsid w:val="00BA21A8"/>
    <w:rsid w:val="00BA5808"/>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7152"/>
    <w:rsid w:val="00C34054"/>
    <w:rsid w:val="00C36518"/>
    <w:rsid w:val="00C403B4"/>
    <w:rsid w:val="00C4046B"/>
    <w:rsid w:val="00C4171B"/>
    <w:rsid w:val="00C44E99"/>
    <w:rsid w:val="00C45321"/>
    <w:rsid w:val="00C456BB"/>
    <w:rsid w:val="00C50717"/>
    <w:rsid w:val="00C541BD"/>
    <w:rsid w:val="00C54CCB"/>
    <w:rsid w:val="00C5512E"/>
    <w:rsid w:val="00C628EA"/>
    <w:rsid w:val="00C71A80"/>
    <w:rsid w:val="00C72B5A"/>
    <w:rsid w:val="00C760E9"/>
    <w:rsid w:val="00C8116F"/>
    <w:rsid w:val="00C81FEA"/>
    <w:rsid w:val="00C82FCD"/>
    <w:rsid w:val="00C91219"/>
    <w:rsid w:val="00C91CD8"/>
    <w:rsid w:val="00C9302B"/>
    <w:rsid w:val="00C93957"/>
    <w:rsid w:val="00C941A8"/>
    <w:rsid w:val="00CA68B6"/>
    <w:rsid w:val="00CB5314"/>
    <w:rsid w:val="00CB7AA7"/>
    <w:rsid w:val="00CC083A"/>
    <w:rsid w:val="00CC1883"/>
    <w:rsid w:val="00CC61D0"/>
    <w:rsid w:val="00CC7045"/>
    <w:rsid w:val="00CD0978"/>
    <w:rsid w:val="00CD1F83"/>
    <w:rsid w:val="00CD1F9B"/>
    <w:rsid w:val="00CD611B"/>
    <w:rsid w:val="00CD6365"/>
    <w:rsid w:val="00CD6CAA"/>
    <w:rsid w:val="00CE260C"/>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440F"/>
    <w:rsid w:val="00D76F9C"/>
    <w:rsid w:val="00D779A9"/>
    <w:rsid w:val="00D81A09"/>
    <w:rsid w:val="00D82A60"/>
    <w:rsid w:val="00D91B8D"/>
    <w:rsid w:val="00D93404"/>
    <w:rsid w:val="00D9456B"/>
    <w:rsid w:val="00D9625B"/>
    <w:rsid w:val="00DA1669"/>
    <w:rsid w:val="00DA1B63"/>
    <w:rsid w:val="00DA4993"/>
    <w:rsid w:val="00DA588C"/>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65A2"/>
    <w:rsid w:val="00E77965"/>
    <w:rsid w:val="00E8038F"/>
    <w:rsid w:val="00E8237F"/>
    <w:rsid w:val="00E833D7"/>
    <w:rsid w:val="00E83ED2"/>
    <w:rsid w:val="00E850B7"/>
    <w:rsid w:val="00E87505"/>
    <w:rsid w:val="00E875AE"/>
    <w:rsid w:val="00E913F8"/>
    <w:rsid w:val="00E9284C"/>
    <w:rsid w:val="00E936DB"/>
    <w:rsid w:val="00E94024"/>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3F0A"/>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91DC2"/>
    <w:rsid w:val="00F943C7"/>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9F5C955"/>
  <w15:docId w15:val="{4E935547-DEE9-4418-ABC0-8F08451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7443B-8AE1-4FAE-8A4C-414C2986C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6</TotalTime>
  <Pages>1</Pages>
  <Words>914</Words>
  <Characters>5213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BMELV</Company>
  <LinksUpToDate>false</LinksUpToDate>
  <CharactersWithSpaces>6115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8</cp:revision>
  <cp:lastPrinted>2019-10-04T13:09:00Z</cp:lastPrinted>
  <dcterms:created xsi:type="dcterms:W3CDTF">2019-10-24T08:33:00Z</dcterms:created>
  <dcterms:modified xsi:type="dcterms:W3CDTF">2019-10-31T12:42:00Z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