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54" w:rsidRPr="00D55954" w:rsidRDefault="00D55954" w:rsidP="00D55954">
      <w:pPr>
        <w:pStyle w:val="PlainText"/>
        <w:rPr>
          <w:rFonts w:ascii="Courier New" w:hAnsi="Courier New" w:cs="Courier New"/>
          <w:sz w:val="20"/>
          <w:szCs w:val="20"/>
        </w:rPr>
      </w:pPr>
      <w:r>
        <w:rPr>
          <w:rFonts w:ascii="Courier New" w:hAnsi="Courier New"/>
          <w:sz w:val="20"/>
        </w:rPr>
        <w:t xml:space="preserve">1. ------IND- 2018 0236 P-- EN- ------ 20191122 --- --- FINAL </w:t>
      </w:r>
    </w:p>
    <w:p w:rsidR="00B42FB5" w:rsidRPr="00B42FB5" w:rsidRDefault="00B42FB5" w:rsidP="00F17942">
      <w:pPr>
        <w:spacing w:after="105" w:line="300" w:lineRule="atLeast"/>
        <w:outlineLvl w:val="0"/>
        <w:rPr>
          <w:rFonts w:ascii="Arial" w:eastAsia="Times New Roman" w:hAnsi="Arial" w:cs="Arial"/>
          <w:b/>
          <w:bCs/>
          <w:color w:val="333333"/>
          <w:kern w:val="36"/>
          <w:sz w:val="30"/>
          <w:szCs w:val="30"/>
        </w:rPr>
      </w:pPr>
      <w:r>
        <w:rPr>
          <w:rFonts w:ascii="Arial" w:hAnsi="Arial"/>
          <w:b/>
          <w:color w:val="333333"/>
          <w:kern w:val="36"/>
          <w:sz w:val="30"/>
        </w:rPr>
        <w:t>Decree-Law No 131/2019</w:t>
      </w:r>
    </w:p>
    <w:p w:rsidR="00B42FB5" w:rsidRPr="00B42FB5" w:rsidRDefault="00B42FB5" w:rsidP="00F17942">
      <w:pPr>
        <w:spacing w:after="0" w:line="240" w:lineRule="auto"/>
        <w:rPr>
          <w:rFonts w:ascii="Arial" w:eastAsia="Times New Roman" w:hAnsi="Arial" w:cs="Arial"/>
          <w:color w:val="333333"/>
          <w:sz w:val="21"/>
          <w:szCs w:val="21"/>
        </w:rPr>
      </w:pPr>
      <w:r>
        <w:rPr>
          <w:rFonts w:ascii="Arial" w:hAnsi="Arial"/>
          <w:b/>
          <w:color w:val="333333"/>
          <w:sz w:val="21"/>
        </w:rPr>
        <w:t>Publication: </w:t>
      </w:r>
      <w:r>
        <w:rPr>
          <w:rFonts w:ascii="Arial" w:hAnsi="Arial"/>
          <w:color w:val="333333"/>
          <w:sz w:val="21"/>
        </w:rPr>
        <w:t>Official Gazette No 166/2019, 1st Series of 30/08/2019</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color w:val="333333"/>
          <w:sz w:val="21"/>
        </w:rPr>
        <w:t>Issuer:</w:t>
      </w:r>
      <w:r>
        <w:t xml:space="preserve"> </w:t>
      </w:r>
      <w:r>
        <w:rPr>
          <w:rFonts w:ascii="Arial" w:hAnsi="Arial"/>
          <w:color w:val="333333"/>
          <w:sz w:val="21"/>
        </w:rPr>
        <w:t>Presidency of the Council of Ministers</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color w:val="333333"/>
          <w:sz w:val="21"/>
        </w:rPr>
        <w:t xml:space="preserve">Proposing Authority: </w:t>
      </w:r>
      <w:r>
        <w:rPr>
          <w:rFonts w:ascii="Arial" w:hAnsi="Arial"/>
          <w:color w:val="333333"/>
          <w:sz w:val="21"/>
        </w:rPr>
        <w:t>Adjunto e Economia [Secretary of State and Economy]</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color w:val="333333"/>
          <w:sz w:val="21"/>
        </w:rPr>
        <w:t>Diploma type:</w:t>
      </w:r>
      <w:r>
        <w:t xml:space="preserve"> </w:t>
      </w:r>
      <w:r>
        <w:rPr>
          <w:rFonts w:ascii="Arial" w:hAnsi="Arial"/>
          <w:color w:val="333333"/>
          <w:sz w:val="21"/>
        </w:rPr>
        <w:t>Decree-Law</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color w:val="333333"/>
          <w:sz w:val="21"/>
        </w:rPr>
        <w:t>Number:</w:t>
      </w:r>
      <w:r>
        <w:rPr>
          <w:rFonts w:ascii="Arial" w:hAnsi="Arial"/>
          <w:color w:val="333333"/>
          <w:sz w:val="21"/>
        </w:rPr>
        <w:t>131/2019</w:t>
      </w:r>
    </w:p>
    <w:p w:rsidR="00B42FB5" w:rsidRPr="00B42FB5" w:rsidRDefault="00B42FB5" w:rsidP="00F17942">
      <w:pPr>
        <w:numPr>
          <w:ilvl w:val="0"/>
          <w:numId w:val="1"/>
        </w:numPr>
        <w:spacing w:after="0" w:line="300" w:lineRule="atLeast"/>
        <w:ind w:left="0"/>
        <w:rPr>
          <w:rFonts w:ascii="Arial" w:eastAsia="Times New Roman" w:hAnsi="Arial" w:cs="Arial"/>
          <w:color w:val="333333"/>
          <w:sz w:val="21"/>
          <w:szCs w:val="21"/>
        </w:rPr>
      </w:pPr>
      <w:r>
        <w:rPr>
          <w:rFonts w:ascii="Arial" w:hAnsi="Arial"/>
          <w:b/>
          <w:color w:val="333333"/>
          <w:sz w:val="21"/>
        </w:rPr>
        <w:t>Pages:</w:t>
      </w:r>
      <w:r>
        <w:t xml:space="preserve"> </w:t>
      </w:r>
      <w:r>
        <w:rPr>
          <w:rFonts w:ascii="Arial" w:hAnsi="Arial"/>
          <w:color w:val="333333"/>
          <w:sz w:val="21"/>
        </w:rPr>
        <w:t>20 - 47</w:t>
      </w:r>
    </w:p>
    <w:p w:rsidR="00B42FB5" w:rsidRPr="00B42FB5" w:rsidRDefault="00B42FB5" w:rsidP="00F17942">
      <w:pPr>
        <w:numPr>
          <w:ilvl w:val="0"/>
          <w:numId w:val="2"/>
        </w:numPr>
        <w:spacing w:after="0" w:line="300" w:lineRule="atLeast"/>
        <w:ind w:left="0"/>
        <w:rPr>
          <w:rFonts w:ascii="Arial" w:eastAsia="Times New Roman" w:hAnsi="Arial" w:cs="Arial"/>
          <w:color w:val="333333"/>
          <w:sz w:val="21"/>
          <w:szCs w:val="21"/>
        </w:rPr>
      </w:pPr>
      <w:r>
        <w:rPr>
          <w:rFonts w:ascii="Arial" w:hAnsi="Arial"/>
          <w:b/>
          <w:color w:val="333333"/>
          <w:sz w:val="21"/>
        </w:rPr>
        <w:t>ELI:</w:t>
      </w:r>
      <w:r>
        <w:t xml:space="preserve"> </w:t>
      </w:r>
      <w:r>
        <w:rPr>
          <w:rFonts w:ascii="Arial" w:hAnsi="Arial"/>
          <w:color w:val="333333"/>
          <w:sz w:val="21"/>
        </w:rPr>
        <w:t>https://data.dre.pt/eli/dec-lei/131/2019/08/30/p/dre</w:t>
      </w:r>
    </w:p>
    <w:p w:rsidR="00B42FB5" w:rsidRDefault="00B42FB5" w:rsidP="00F17942">
      <w:pPr>
        <w:spacing w:after="0" w:line="240" w:lineRule="auto"/>
        <w:rPr>
          <w:rFonts w:ascii="Arial" w:eastAsia="Times New Roman" w:hAnsi="Arial" w:cs="Arial"/>
          <w:color w:val="333333"/>
          <w:sz w:val="21"/>
          <w:szCs w:val="21"/>
        </w:rPr>
      </w:pPr>
    </w:p>
    <w:p w:rsidR="00B42FB5" w:rsidRPr="00B42FB5" w:rsidRDefault="00B42FB5" w:rsidP="00F17942">
      <w:pPr>
        <w:spacing w:after="0" w:line="240" w:lineRule="auto"/>
        <w:rPr>
          <w:rFonts w:ascii="Arial" w:eastAsia="Times New Roman" w:hAnsi="Arial" w:cs="Arial"/>
          <w:color w:val="333333"/>
          <w:sz w:val="21"/>
          <w:szCs w:val="21"/>
        </w:rPr>
      </w:pPr>
      <w:r>
        <w:rPr>
          <w:rFonts w:ascii="Arial" w:hAnsi="Arial"/>
          <w:b/>
          <w:caps/>
          <w:color w:val="333333"/>
          <w:sz w:val="18"/>
        </w:rPr>
        <w:t>SUMMARY</w:t>
      </w:r>
    </w:p>
    <w:p w:rsidR="00B42FB5" w:rsidRPr="00B42FB5" w:rsidRDefault="00B42FB5" w:rsidP="00F17942">
      <w:pPr>
        <w:spacing w:after="225" w:line="390" w:lineRule="atLeast"/>
        <w:rPr>
          <w:rFonts w:ascii="Times New Roman" w:eastAsia="Times New Roman" w:hAnsi="Times New Roman" w:cs="Times New Roman"/>
          <w:color w:val="333333"/>
          <w:sz w:val="24"/>
          <w:szCs w:val="24"/>
        </w:rPr>
      </w:pPr>
      <w:r>
        <w:rPr>
          <w:rFonts w:ascii="Times New Roman" w:hAnsi="Times New Roman"/>
          <w:color w:val="333333"/>
          <w:sz w:val="24"/>
        </w:rPr>
        <w:t>Approves the Regulation on the Installation and Operation of Simple Pressure Vessels and Pressure Equipment</w:t>
      </w:r>
    </w:p>
    <w:p w:rsidR="00B42FB5" w:rsidRPr="00B42FB5" w:rsidRDefault="00B42FB5" w:rsidP="00F17942">
      <w:pPr>
        <w:numPr>
          <w:ilvl w:val="0"/>
          <w:numId w:val="4"/>
        </w:numPr>
        <w:spacing w:before="420" w:after="0" w:line="300" w:lineRule="atLeast"/>
        <w:ind w:left="0"/>
        <w:rPr>
          <w:rFonts w:ascii="Arial" w:eastAsia="Times New Roman" w:hAnsi="Arial" w:cs="Arial"/>
          <w:color w:val="333333"/>
          <w:sz w:val="21"/>
          <w:szCs w:val="21"/>
        </w:rPr>
      </w:pPr>
      <w:r>
        <w:rPr>
          <w:rFonts w:ascii="Arial" w:hAnsi="Arial"/>
          <w:b/>
          <w:caps/>
          <w:color w:val="333333"/>
          <w:sz w:val="18"/>
        </w:rPr>
        <w:t>TEXT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Decree-Law No 131/2019</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of 30 August 2019</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Summary: Approves the Regulation on the Installation and Operation of Simple Pressure Vessels and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This Decree-Law approves the Regulation on the Installation and Operation of Simple Pressure Vessels and Pressure Equipment (Regulation), implementing the measure of the Programa SIMPLEX+ [SIMPLEX+ Programme], called ‘IPQ.net’, which aims to simplify the licensing regimes of such equipment, namely through dematerialising the respective procedures, to be carried out by processing them on an electronic platform accessible through the Portal ePortugal [ePortugal Portal].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Included in the scope of the approved Regulation annexed to this Decree-Law, which forms an integral part thereof, are simple pressure vessels to contain air or nitrogen and pressure equipment, as well as assemblies subject to a maximum allowable pressure greater than 0.5 bar, whose rules applicable to their making available on the market having been laid down by </w:t>
      </w:r>
      <w:hyperlink r:id="rId11" w:tooltip="Decree-Law No 37/2017">
        <w:r>
          <w:rPr>
            <w:rFonts w:ascii="Times New Roman" w:hAnsi="Times New Roman"/>
            <w:color w:val="006633"/>
            <w:sz w:val="21"/>
            <w:u w:val="single"/>
          </w:rPr>
          <w:t>Decree-Law No 37/2017</w:t>
        </w:r>
      </w:hyperlink>
      <w:r>
        <w:rPr>
          <w:rFonts w:ascii="Times New Roman" w:hAnsi="Times New Roman"/>
          <w:color w:val="333333"/>
          <w:sz w:val="24"/>
        </w:rPr>
        <w:t xml:space="preserve"> of 29 March 2017, which transposed into national law </w:t>
      </w:r>
      <w:hyperlink r:id="rId12" w:tooltip="Link to European Union Directive">
        <w:r>
          <w:rPr>
            <w:rFonts w:ascii="Times New Roman" w:hAnsi="Times New Roman"/>
            <w:color w:val="006633"/>
            <w:sz w:val="21"/>
            <w:u w:val="single"/>
          </w:rPr>
          <w:t>Directive 2014/29/EU</w:t>
        </w:r>
      </w:hyperlink>
      <w:r>
        <w:rPr>
          <w:rFonts w:ascii="Times New Roman" w:hAnsi="Times New Roman"/>
          <w:color w:val="333333"/>
          <w:sz w:val="24"/>
        </w:rPr>
        <w:t xml:space="preserve"> of the European Parliament and of the Council of 26 February 2014, and by </w:t>
      </w:r>
      <w:hyperlink r:id="rId13"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which transposed into national law </w:t>
      </w:r>
      <w:hyperlink r:id="rId14" w:tooltip="Link to European Union Directive">
        <w:r>
          <w:rPr>
            <w:rFonts w:ascii="Times New Roman" w:hAnsi="Times New Roman"/>
            <w:color w:val="006633"/>
            <w:sz w:val="21"/>
            <w:u w:val="single"/>
          </w:rPr>
          <w:t>Directive 2014/68/EU</w:t>
        </w:r>
      </w:hyperlink>
      <w:r>
        <w:rPr>
          <w:rFonts w:ascii="Times New Roman" w:hAnsi="Times New Roman"/>
          <w:color w:val="333333"/>
          <w:sz w:val="24"/>
        </w:rPr>
        <w:t xml:space="preserve"> of the European Parliament and of the Council of 15 May 2014, respectively.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legislation now approved provides for a series of simplifying measures which, adapting the licensing procedures for such equipment to the rules included in the above-</w:t>
      </w:r>
      <w:r>
        <w:rPr>
          <w:rFonts w:ascii="Times New Roman" w:hAnsi="Times New Roman"/>
          <w:color w:val="333333"/>
          <w:sz w:val="24"/>
        </w:rPr>
        <w:lastRenderedPageBreak/>
        <w:t>mentioned legal texts, aims to ensure more effective management and streamline the licensing procedures for which the Instituto Português da Qualidade, I.P. (IPQ, I.P.) [Portuguese Institute for Quality] is responsible, thereby reducing the associated red tape costs.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With the publication of this Regulation, </w:t>
      </w:r>
      <w:hyperlink r:id="rId15" w:tooltip="Decree-Law No 90/2010">
        <w:r>
          <w:rPr>
            <w:rFonts w:ascii="Times New Roman" w:hAnsi="Times New Roman"/>
            <w:color w:val="006633"/>
            <w:sz w:val="21"/>
            <w:u w:val="single"/>
          </w:rPr>
          <w:t>Decree-Law No 90/2010</w:t>
        </w:r>
      </w:hyperlink>
      <w:r>
        <w:rPr>
          <w:rFonts w:ascii="Times New Roman" w:hAnsi="Times New Roman"/>
          <w:color w:val="333333"/>
          <w:sz w:val="24"/>
        </w:rPr>
        <w:t xml:space="preserve"> of 22 July 2010 is repealed, with a view to its alignment with the provisions of </w:t>
      </w:r>
      <w:hyperlink r:id="rId16"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provided that the pressure test during manufacture is accepted for the respective putting into service, if it was conducted less than two years ago, which corresponds to the period deemed compatible with the current commercial guarantee. With a view to promoting the streamlining of the licensing procedure and consequent reduction of costs, the Regulation includes, in particular: (i) the elimination of the independent registration; (ii) the prior notification of operation of a simple pressure vessel; (iii) the reduction of the time-limits for decision-making and issuance of declarations and certificates by IPQ, I.P. from 45 days to 30 days; (iv) the extension of the general period of validity of certificates from 5 to 6 years, without prejudice to the periods established for specific equipment; (v) the issue of an opinion from an inspection body for installation projects; and (vi) exemption from submitting the installation project for liquefied petroleum gas (LPG) vessels for approval by ISQ, I.P., taking into account the competences of other bodies.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Finally, with the purpose of making the licensing procedure faster, the obligation for Inspection Bodies to notify scheduled inspections to IPQ, I.P. is eliminated.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This Decree-Law was notified, in the draft stage, to the European Commission in compliance with </w:t>
      </w:r>
      <w:hyperlink r:id="rId17" w:tooltip="Link to European Union Directive">
        <w:r>
          <w:rPr>
            <w:rFonts w:ascii="Times New Roman" w:hAnsi="Times New Roman"/>
            <w:color w:val="006633"/>
            <w:sz w:val="21"/>
            <w:u w:val="single"/>
          </w:rPr>
          <w:t>Directive (EU) 2015/1535</w:t>
        </w:r>
      </w:hyperlink>
      <w:r>
        <w:rPr>
          <w:rFonts w:ascii="Times New Roman" w:hAnsi="Times New Roman"/>
          <w:color w:val="333333"/>
          <w:sz w:val="24"/>
        </w:rPr>
        <w:t xml:space="preserve"> of the European Parliament and of the Council of 9 September 2015 laying down a procedure for the provision of information in the field of technical regulations and of rules on Information Society services.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National Data Protection Commission was heard.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hearing of the self-governing bodies of the Autonomous Regions was arranged.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Therefore: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Pursuant to Article 198(1)(a) of the Constitution, the Government hereby decrees the following:</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Article 1</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Subject-matter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Regulation on the Installation and Operation of Simple Pressure Vessels and Pressure Equipment annexed to this Decree-Law, which forms an integral part thereof, is hereby approved, hereinafter referred to as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Transitional provisions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1 - The regime in </w:t>
      </w:r>
      <w:hyperlink r:id="rId18" w:tooltip="Decree-Law No 90/2010">
        <w:r>
          <w:rPr>
            <w:rFonts w:ascii="Times New Roman" w:hAnsi="Times New Roman"/>
            <w:color w:val="006633"/>
            <w:sz w:val="21"/>
            <w:u w:val="single"/>
          </w:rPr>
          <w:t>Decree-Law No 90/2010</w:t>
        </w:r>
      </w:hyperlink>
      <w:r>
        <w:rPr>
          <w:rFonts w:ascii="Times New Roman" w:hAnsi="Times New Roman"/>
          <w:color w:val="333333"/>
          <w:sz w:val="24"/>
        </w:rPr>
        <w:t xml:space="preserve"> of 22 July 2010 shall apply to the licensing procedures pending on the date of entry into force of this Regulation until their conclusion.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Supplementary Technical Instructions (</w:t>
      </w:r>
      <w:r>
        <w:rPr>
          <w:rFonts w:ascii="Times New Roman" w:hAnsi="Times New Roman"/>
          <w:i/>
          <w:color w:val="333333"/>
          <w:sz w:val="24"/>
        </w:rPr>
        <w:t>ITC - Instruções Técnicas Complementares</w:t>
      </w:r>
      <w:r>
        <w:rPr>
          <w:rFonts w:ascii="Times New Roman" w:hAnsi="Times New Roman"/>
          <w:color w:val="333333"/>
          <w:sz w:val="24"/>
        </w:rPr>
        <w:t>) approved by the following legal texts shall remain in force until their respective repeal: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Order No 22332/2001 of 12 October 2001, of the Minister for the Economy, published in the Official Gazette (</w:t>
      </w:r>
      <w:r>
        <w:rPr>
          <w:rFonts w:ascii="Times New Roman" w:hAnsi="Times New Roman"/>
          <w:i/>
          <w:color w:val="333333"/>
          <w:sz w:val="24"/>
        </w:rPr>
        <w:t>Diário da República</w:t>
      </w:r>
      <w:r>
        <w:rPr>
          <w:rFonts w:ascii="Times New Roman" w:hAnsi="Times New Roman"/>
          <w:color w:val="333333"/>
          <w:sz w:val="24"/>
        </w:rPr>
        <w:t>) No 252, 2nd Series, of 30 October 2001;</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Order No 22333/2001 of 12 October 2001, of the Minister for the Economy, published in the Official Gazette (</w:t>
      </w:r>
      <w:r>
        <w:rPr>
          <w:rFonts w:ascii="Times New Roman" w:hAnsi="Times New Roman"/>
          <w:i/>
          <w:color w:val="333333"/>
          <w:sz w:val="24"/>
        </w:rPr>
        <w:t>Diário da República</w:t>
      </w:r>
      <w:r>
        <w:rPr>
          <w:rFonts w:ascii="Times New Roman" w:hAnsi="Times New Roman"/>
          <w:color w:val="333333"/>
          <w:sz w:val="24"/>
        </w:rPr>
        <w:t>) No 252, 2nd Series, of 30 October 2001;</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Order No 1859/2003 of 13 December 2003, of the Secretary of State for Industry, Commerce and Services, published in the Official Gazette (</w:t>
      </w:r>
      <w:r>
        <w:rPr>
          <w:rFonts w:ascii="Times New Roman" w:hAnsi="Times New Roman"/>
          <w:i/>
          <w:color w:val="333333"/>
          <w:sz w:val="24"/>
        </w:rPr>
        <w:t>Diário da República</w:t>
      </w:r>
      <w:r>
        <w:rPr>
          <w:rFonts w:ascii="Times New Roman" w:hAnsi="Times New Roman"/>
          <w:color w:val="333333"/>
          <w:sz w:val="24"/>
        </w:rPr>
        <w:t>) No 25, 2nd Series, of 30 January 2003;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Order No 11551/2007 of 21 May 2007, of the Minister for the Economy and Innovation, published in the Official Gazette (</w:t>
      </w:r>
      <w:r>
        <w:rPr>
          <w:rFonts w:ascii="Times New Roman" w:hAnsi="Times New Roman"/>
          <w:i/>
          <w:color w:val="333333"/>
          <w:sz w:val="24"/>
        </w:rPr>
        <w:t>Diário da República</w:t>
      </w:r>
      <w:r>
        <w:rPr>
          <w:rFonts w:ascii="Times New Roman" w:hAnsi="Times New Roman"/>
          <w:color w:val="333333"/>
          <w:sz w:val="24"/>
        </w:rPr>
        <w:t>) No 112, 2nd Series, of 12 June 2007;</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Order No 24260/2007 of 10 October 2007, of the Minister for the Economy and Innovation, published in the Official Gazette (</w:t>
      </w:r>
      <w:r>
        <w:rPr>
          <w:rFonts w:ascii="Times New Roman" w:hAnsi="Times New Roman"/>
          <w:i/>
          <w:color w:val="333333"/>
          <w:sz w:val="24"/>
        </w:rPr>
        <w:t>Diário da República</w:t>
      </w:r>
      <w:r>
        <w:rPr>
          <w:rFonts w:ascii="Times New Roman" w:hAnsi="Times New Roman"/>
          <w:color w:val="333333"/>
          <w:sz w:val="24"/>
        </w:rPr>
        <w:t>) No 204, 2nd Series, of 23 October 2007;</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(f) Order No 24261/2007 of 10 October 2007, of the Minister for the Economy and Innovation, published in the Official Gazette (</w:t>
      </w:r>
      <w:r>
        <w:rPr>
          <w:rFonts w:ascii="Times New Roman" w:hAnsi="Times New Roman"/>
          <w:i/>
          <w:color w:val="333333"/>
          <w:sz w:val="24"/>
        </w:rPr>
        <w:t>Diário da República</w:t>
      </w:r>
      <w:r>
        <w:rPr>
          <w:rFonts w:ascii="Times New Roman" w:hAnsi="Times New Roman"/>
          <w:color w:val="333333"/>
          <w:sz w:val="24"/>
        </w:rPr>
        <w:t>) No 268, 2nd Series, of 23 October 2007.</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Repeal</w:t>
      </w:r>
    </w:p>
    <w:p w:rsidR="00B42FB5" w:rsidRPr="00B42FB5" w:rsidRDefault="004E1FDD" w:rsidP="00F17942">
      <w:pPr>
        <w:spacing w:after="225" w:line="390" w:lineRule="atLeast"/>
        <w:jc w:val="both"/>
        <w:rPr>
          <w:rFonts w:ascii="Times New Roman" w:eastAsia="Times New Roman" w:hAnsi="Times New Roman" w:cs="Times New Roman"/>
          <w:color w:val="333333"/>
          <w:sz w:val="24"/>
          <w:szCs w:val="24"/>
        </w:rPr>
      </w:pPr>
      <w:hyperlink r:id="rId19" w:tooltip="Decree-Law No 90/2010">
        <w:r w:rsidR="00B42FB5">
          <w:rPr>
            <w:rFonts w:ascii="Times New Roman" w:hAnsi="Times New Roman"/>
            <w:color w:val="006633"/>
            <w:sz w:val="21"/>
            <w:u w:val="single"/>
          </w:rPr>
          <w:t>Decree-Law No 90/2010</w:t>
        </w:r>
      </w:hyperlink>
      <w:r w:rsidR="00B42FB5">
        <w:rPr>
          <w:rFonts w:ascii="Times New Roman" w:hAnsi="Times New Roman"/>
          <w:color w:val="333333"/>
          <w:sz w:val="24"/>
        </w:rPr>
        <w:t xml:space="preserve"> of 22 July 2010 is hereby repealed.</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4</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Entry into force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This Decree-Law shall enter into force 90 days after its publication.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Seen and approved by the Council of Ministers of 18 July 2019. - António Luís Santos da Costa - Eurico Jorge Nogueira Leite Brilhante Dias - Maria de Fátima de Jesus Fonseca - João Jorge Arede Correia Neves.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Enacted on 26 July 2019.</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Let it be published.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President of the Republic, Marcelo Rebelo de Sousa.</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Signed on 30 July 2019.</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On behalf of the Prime Minister, Augusto Ernesto Santos Silva, Minister for Foreign Affairs.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REGULATION ON THE INSTALLATION AND OPERATION OF SIMPLE PRESSURE VESSELS AND PRESSURE EQUIPMENT</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CHAPTER 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Subject-matter, scope and definitions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Article 1</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Subject-matter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installation and operation of simple pressure vessels (SPV or vessels) and pressure equipment (PE or equipment), shall be subject to the procedures provided for in this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Scope</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This Regulation shall apply: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t>(</w:t>
      </w:r>
      <w:r>
        <w:rPr>
          <w:rFonts w:ascii="Times New Roman" w:hAnsi="Times New Roman"/>
          <w:color w:val="333333"/>
          <w:sz w:val="24"/>
        </w:rPr>
        <w:t xml:space="preserve">a) To all simple pressure vessels intended to contain air or nitrogen at a maximum allowable pressure (PS) greater than 0.5 bar, designed and built in accordance with </w:t>
      </w:r>
      <w:hyperlink r:id="rId20" w:tooltip="Decree-Law No 37/2017">
        <w:r>
          <w:rPr>
            <w:rFonts w:ascii="Times New Roman" w:hAnsi="Times New Roman"/>
            <w:color w:val="006633"/>
            <w:sz w:val="21"/>
            <w:u w:val="single"/>
          </w:rPr>
          <w:t>Decree-Law No 37/2017</w:t>
        </w:r>
      </w:hyperlink>
      <w:r>
        <w:rPr>
          <w:rFonts w:ascii="Times New Roman" w:hAnsi="Times New Roman"/>
          <w:color w:val="333333"/>
          <w:sz w:val="24"/>
        </w:rPr>
        <w:t xml:space="preserve"> of 29 March 2017, or with the legislation in force on the date of its construction;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t>(</w:t>
      </w:r>
      <w:r>
        <w:rPr>
          <w:rFonts w:ascii="Times New Roman" w:hAnsi="Times New Roman"/>
          <w:color w:val="333333"/>
          <w:sz w:val="24"/>
        </w:rPr>
        <w:t xml:space="preserve">b) To all pressure equipment intended to contain a fluid - liquid, gas or vapour, at a PS greater than 0.5 bar, designed and built in accordance with </w:t>
      </w:r>
      <w:hyperlink r:id="rId21"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or with the legislation in force on the date of its construction.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2 - Excluded from the scope of this Regulation are simple pressure vessels not covered by </w:t>
      </w:r>
      <w:hyperlink r:id="rId22" w:tooltip="Decree-Law No 37/2017">
        <w:r>
          <w:rPr>
            <w:rFonts w:ascii="Times New Roman" w:hAnsi="Times New Roman"/>
            <w:color w:val="006633"/>
            <w:sz w:val="21"/>
            <w:u w:val="single"/>
          </w:rPr>
          <w:t>Decree-Law No 37/2017</w:t>
        </w:r>
      </w:hyperlink>
      <w:r>
        <w:rPr>
          <w:rFonts w:ascii="Times New Roman" w:hAnsi="Times New Roman"/>
          <w:color w:val="333333"/>
          <w:sz w:val="24"/>
        </w:rPr>
        <w:t xml:space="preserve"> of 29 March 2017, pressure equipment not covered by </w:t>
      </w:r>
      <w:hyperlink r:id="rId23"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and vessels and equipment for which one of the following conditions has been established:</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Intended to:</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Contain gases, liquefied gases and vapours in Group 1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2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V (less than or equal to) 1 000 bar 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Contain liquids in Group 1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4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V (less than or equal to) 10 000 bar 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(iii) Contain gases, liquefied gases and vapours in Group 2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4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V (less than or equal to) 3 000 bar 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Contain liquids in Group 2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10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V (less than or equal to) 20 000 bar 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Maximum allowable temperature (TSmax) (less than or equal to) 80 ºC;</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Steam and super-heated water generators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0.5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V (less than or equal to) 200 bar 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TSmax (less than or equal to) 110 ºC;</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Hot water generators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Nominal output power (less than or equal to) 400 kW;</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V (less than or equal to) 10 000 bar L;</w:t>
      </w:r>
    </w:p>
    <w:p w:rsidR="00B42FB5" w:rsidRPr="00B42FB5" w:rsidRDefault="00B42FB5" w:rsidP="00F17942">
      <w:pPr>
        <w:keepNext/>
        <w:keepLines/>
        <w:tabs>
          <w:tab w:val="center" w:pos="4252"/>
        </w:tab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Thermal boilers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2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V (less than or equal to) 500 bar 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TSmax (less than or equal to) 125 ºC;</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Piping intended for: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Gases, liquefied gases and vapours in Group 1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4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Nominal Diameter (DN) (less than or equal to) 2 000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DN (less than or equal to) 32;</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(ii) Liquids in Group 1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4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DN (less than or equal to) 2 000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DN (less than or equal to) 50;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Gases, liquefied gases and vapours in Group 2 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PS (less than or equal to) 4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PS x DN (less than or equal to) 5 000 bar;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DN (less than or equal to) 100;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Liquids in Group 2.</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Definitions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For the purposes of this Regulation, the definitions in Article 3 of </w:t>
      </w:r>
      <w:hyperlink r:id="rId24" w:tooltip="Decree-Law No 37/2017">
        <w:r>
          <w:rPr>
            <w:rFonts w:ascii="Times New Roman" w:hAnsi="Times New Roman"/>
            <w:color w:val="006633"/>
            <w:sz w:val="21"/>
            <w:u w:val="single"/>
          </w:rPr>
          <w:t>Decree-Law No 37/2017</w:t>
        </w:r>
      </w:hyperlink>
      <w:r>
        <w:rPr>
          <w:rFonts w:ascii="Times New Roman" w:hAnsi="Times New Roman"/>
          <w:color w:val="333333"/>
          <w:sz w:val="24"/>
        </w:rPr>
        <w:t xml:space="preserve"> of 29 March 2017 and </w:t>
      </w:r>
      <w:hyperlink r:id="rId25"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shall apply, as well as the following: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‘Accident’ means any occurrence responsible for damage to persons or goods, caused by a criminal act or malfunction, destruction, poor installation or packaging, or by the improper use of the vessel or equipment, including the accessories thereof;</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‘Alteration’ means a modification carried out on a vessel or equipment with the purpose of changing its operating, installation or performance conditions;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‘Thermal oil boiler’ means a heat generator in which the fluid for transport is a liquid different from water, with a vapour pressure at the maximum ‘film’ temperature, lower than atmospheric pressure;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‘Assembly’ means several pieces of pressure equipment assembled by a manufacturer to constitute an integrated and functional whole;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(e) ‘Procedural assembly’ means the assembly of pressure equipment and respective connection piping, whether insulated or not, intended to contain the same fluid or different </w:t>
      </w:r>
      <w:r>
        <w:rPr>
          <w:rFonts w:ascii="Times New Roman" w:hAnsi="Times New Roman"/>
          <w:color w:val="333333"/>
          <w:sz w:val="24"/>
        </w:rPr>
        <w:lastRenderedPageBreak/>
        <w:t>fluids, whose applicable requirements are defined in specific Supplementary Technical Instructions;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‘Family of equipment’ means pressure equipment containing the same fluid or fluids with similar characteristics, with similar technical installation conditions, or assemblies of pressure equipment which due to their design are permanently interconnected;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‘Fluids’ means gases, liquids and vapours in pure phase as well as mixtures thereof; fluids may contain a suspension of solids, which are classified in accordance with subparagraphs (h) and (i);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(h) ‘Fluids in Group 1’ includes substances or mixtures, as defined in Article 2(7) and (8) of </w:t>
      </w:r>
      <w:hyperlink r:id="rId26" w:tooltip="Link para Regulamento (CE) da União Europeia">
        <w:r>
          <w:rPr>
            <w:rFonts w:ascii="Times New Roman" w:hAnsi="Times New Roman"/>
            <w:color w:val="006633"/>
            <w:sz w:val="21"/>
            <w:u w:val="single"/>
          </w:rPr>
          <w:t>Regulation (EC) No 1272/2008</w:t>
        </w:r>
      </w:hyperlink>
      <w:r>
        <w:rPr>
          <w:rFonts w:ascii="Times New Roman" w:hAnsi="Times New Roman"/>
          <w:color w:val="333333"/>
          <w:sz w:val="24"/>
        </w:rPr>
        <w:t xml:space="preserve"> of the European Parliament of the Council of 16 December 2008 on classification, labelling and packaging of substances and mixtures, classified as hazardous in accordance with the following classes of physical or health hazards, laid down in parts 2 and 3 of Annex I to the above-mentioned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Unstable explosives or explosives of Divisions 1.1, 1.2, 1.3, 1.4 and 1.5;</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Flammable gases, Categories 1 and 2;</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Oxidising gases, Category 1;</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Flammable liquids, Categories 1 and 2;</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(v) Flammable liquids, Category 3, when the maximum allowable temperature is greater than the flashpoint;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(vi) Flammable solids, Categories 1 and 2;</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(vii) Self-reactive substances and mixtures, Types A to F;</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(viii) Pyrophorpic liquids, Category 1;</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(ix) Pyrophorpic solids, Category 1;</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(x) Substances and mixtures which emit flammable gases when in contact with water, Categories 1, 2 and 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(xi) Oxidising liquids, Categories 1, 2 and 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(xii) Oxidising solids, Categories 1, 2 and 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(xiii) Organic peroxides, Types A to F;</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(xiv) Acute oral toxicity, Categories 1 and 2;</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(xv) Acute dermal toxicity, Categories 1 and 2;</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(xvi) Acute inhalation toxicity, Categories 1, 2 and 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(xvii) Specific target organ toxicity - single exposure, Category 1.</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The </w:t>
      </w:r>
      <w:r w:rsidR="004E1FDD">
        <w:rPr>
          <w:rFonts w:ascii="Times New Roman" w:hAnsi="Times New Roman"/>
          <w:color w:val="333333"/>
          <w:sz w:val="24"/>
        </w:rPr>
        <w:t>f</w:t>
      </w:r>
      <w:r>
        <w:rPr>
          <w:rFonts w:ascii="Times New Roman" w:hAnsi="Times New Roman"/>
          <w:color w:val="333333"/>
          <w:sz w:val="24"/>
        </w:rPr>
        <w:t>luids in Group 1 also include substances and mixtures contained in pressure equipment with a maximum allowable temperature exceeding the flashpoint of the fluid.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‘Fluids in Group 2’ includes all substances and mixtures not referred to in subparagraph (h);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‘Hot water generator’ means fired or otherwise heated pressure equipment at risk of overheating, in which the water is at a temperature of less than or equal to 110 ºC;</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(k) ‘Super</w:t>
      </w:r>
      <w:r w:rsidR="004E1FDD">
        <w:rPr>
          <w:rFonts w:ascii="Times New Roman" w:hAnsi="Times New Roman"/>
          <w:color w:val="333333"/>
          <w:sz w:val="24"/>
        </w:rPr>
        <w:t>-heated</w:t>
      </w:r>
      <w:r>
        <w:rPr>
          <w:rFonts w:ascii="Times New Roman" w:hAnsi="Times New Roman"/>
          <w:color w:val="333333"/>
          <w:sz w:val="24"/>
        </w:rPr>
        <w:t xml:space="preserve"> water generator’ means fired or otherwise heated pressure equipment at risk of overheating, in which the water is at a temperature greater than 110 ºC, a situation which may occur in steam generator economisers;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(l) ‘Steam generator (SG)’ means fired or otherwise heated pressure equipment at risk of overheating, intended for the generation of steam;</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(m) ‘Risk-based inspection (RBI)’ means an inspection carried out on a procedural assembly, in which the method of inspection (frequency, level of detail and additional testing) is based upon an assessment and risk management process, taking into account normative documents (e.g. API RP 580) which are recognised and appropriate for the type of industry, in particular the chemical and petrochemical industry;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(n) ‘Inspection Body’ means an entity qualified in accordance with Article 19 to carry out the procedures referred to in Article 20;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(o) ‘Data plate’, previously referred to as registration plate, identifies the vessel or equipment by a unique identification number, specifying the volume, serial number and maximum allowable pressure and where pressure tests or equivalent tests to which they are subject are recorded;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(p) ‘Nameplate output power’ means the output power specified by the manufacturer, without considering the energy of the thermal fluid upon entering the equipment and able to be supplied on a continuous basis, expressed in kW;</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(q) ‘Maximum allowable pressure (PS)’ means the maximum pressure, in bar, in relation to the atmospheric pressure, indicated on the declaration of conformity of the equipment or on the certificate of approval of construction, or that specified by IPQ, I.P.;</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 ‘Repair’ means all work involving welding or other construction techniques on pressure parts, or on components affecting the safety of the vessel or equipment and that do not change the operating or installation conditions or performance;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(s) ‘Imported vessel or equipment’ means a vessel or equipment that originates from a third country, with the manufacture approved by a notified body within the scope of </w:t>
      </w:r>
      <w:hyperlink r:id="rId27" w:tooltip="Decree-Law No 37/2017">
        <w:r>
          <w:rPr>
            <w:rFonts w:ascii="Times New Roman" w:hAnsi="Times New Roman"/>
            <w:color w:val="006633"/>
            <w:sz w:val="21"/>
            <w:u w:val="single"/>
          </w:rPr>
          <w:t>Decree-Law No 37/2017</w:t>
        </w:r>
      </w:hyperlink>
      <w:r>
        <w:rPr>
          <w:rFonts w:ascii="Times New Roman" w:hAnsi="Times New Roman"/>
          <w:color w:val="333333"/>
          <w:sz w:val="24"/>
        </w:rPr>
        <w:t xml:space="preserve"> of 29 March 2017, or </w:t>
      </w:r>
      <w:hyperlink r:id="rId28"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respectively;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 ‘Non-fixed vessel or equipment’ means a vessel or equipment which due to the nature of its use is not permanently installed and may be moved around inside the installation or between installations;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(u) ‘Used vessel or equipment’ means a vessel or equipment which has already been put into service or, if it is not in service, was manufactured more than six years ago;</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(v) ‘Minimum/maximum allowable temperature (TSmin, TSmax)’ means the minimum and maximum operating temperatures, in degrees Celsius (ºC), indicated by the manufacturer in the declaration of conformity or in the construction approval, or those set by IPQ, I.P.;</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(w) ‘User’ means the legal entity or person who, not being the owner, uses, on the written authorisation of the latter, the vessel or equipment, assuming the legal responsibilities associated with the latter for licensing purposes;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(x) ‘Inspection’ means the compliance check by IPQ, I.P., of the vessel or equipment, installation and operating conditions with the provisions in this Regulation and associated Supplementary Technical Instructions;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(y) ‘Volume (V)’ means the total volume, in litres, of all the compartments of the pressure equipment, indicated by the manufacturer in the declaration of conformity or contained in the certificate of approval of construction, or that specified by IPQ, I.P.</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CHAPTER II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Reassessment of conformity</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4</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Reassessment of conformity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reassessment of conformity is intended to confirm the fitness of a vessel or equipment which is used, whether national or imported, as well as of uncertain origin, taking into account a particular PS, volume and operating conditions.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New vessels or equipment which are altered after being placed on the market are also subject to reassessment of conformity in accordance with this article.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3 - For the purposes of the reassessment of conformity, the performance of an inspection is required in accordance with Article 20, to be carried out by an Inspection Body, taking into account the performance characteristics of the vessel or equipment defined at the time of its manufacture, its history and level of safety defined in </w:t>
      </w:r>
      <w:hyperlink r:id="rId29" w:tooltip="Decree-Law No 37/2017">
        <w:r>
          <w:rPr>
            <w:rFonts w:ascii="Times New Roman" w:hAnsi="Times New Roman"/>
            <w:color w:val="006633"/>
            <w:sz w:val="21"/>
            <w:u w:val="single"/>
          </w:rPr>
          <w:t>Decree-Law No 37/2017</w:t>
        </w:r>
      </w:hyperlink>
      <w:r>
        <w:rPr>
          <w:rFonts w:ascii="Times New Roman" w:hAnsi="Times New Roman"/>
          <w:color w:val="333333"/>
          <w:sz w:val="24"/>
        </w:rPr>
        <w:t xml:space="preserve"> of 29 March 2017, or in </w:t>
      </w:r>
      <w:hyperlink r:id="rId30"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respectively.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After inspection, the owner shall request that IPQ, I.P. reassess the conformity of the vessel or equipment, including in the request the information and documents referred to in Annex I to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In the absence of instructional details enabling the dimensions, configuration and performance of the vessel or equipment to be established, the technical design must be presented, validated by the Inspection Body, appropriate for recalculation and future risk assessments.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6 - The decision concerning the reassessment of conformity of the vessel or equipment shall be notified to the owner within 15 days, giving rise, in the case of a favourable decision, to the issue of a document of approval of conformity, containing the information referred to in Annex II to this Regulation and the reissue of the certificate of authorisation of operation, considering the new conditions,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7 - After completion of the reassessment of conformity process with the issue of the respective approval of conformity of the vessel or equipment, the licensing process may be initiated, in accordance with the following Chapter, where applicable.</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CHAPTER III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Licensing</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SECTION 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Common provisions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5</w:t>
      </w:r>
    </w:p>
    <w:p w:rsidR="00B42FB5" w:rsidRPr="00B42FB5" w:rsidRDefault="00B42FB5" w:rsidP="00F17942">
      <w:pPr>
        <w:keepNext/>
        <w:keepLines/>
        <w:tabs>
          <w:tab w:val="left" w:pos="3390"/>
        </w:tab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Generally applicable rules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licensing application shall be submitted by the owner of the vessel or equipment, or by their legally authorised representative.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For the purpose of licensing, inspections are required to be carried out in accordance with Article 20, to be performed by an Inspection Body, or at the request of the owner or user of the vessel or equipment, without prejudice to the acts of the exclusive competence of IPQ, I.P., as defined in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In the event of the sale or transfer of the vessel or equipment, the owner shall deliver all the equipment documentation to the new owner and inform IPQ, I.P., in accordance with Article 15(1)(a).</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IPQ, I.P. may carry out the inspection of the installation during the licensing procedure to support decision-making and whenever there are reasonable doubts, claims or complaints concerning the operating conditions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The time-limits for communicating the decision to the applicant provided for in this Regulation shall start after the payment of the applicable fee and provided that the procedure was compiled properly, with all the documents specified in the applicable annex to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6 - Whenever there are shortcomings in the installation or operation of the vessel or equipment, IPQ, I.P. may restrict the operating and installation parameters and reduce the PS or the validity of the operating approvals.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7 - The date of the pressure test or equivalent test shall determine the start of the period of validity, operation validation or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8 - IPQ, I. P. may declare the expiry of operation validations or approvals whenever it is found that the conditions of the vessel or equipment or respective installation do not comply with the assumptions on which the validation or approval were based.</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6</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Installation requirements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installation of the vessel or equipment must be designed in such a manner as to safeguard the safety of persons and property, in particular in adjoining populated or public areas and work premises of the owner or third parties.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vessel or equipment must be installed under conditions suited to the nature of the fluid it contains and to the operating conditions, preferably in an area which is protected, large, ventilated and with adequate lighting and easy access, and if there are doors, these must open outwards.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In the area surrounding the vessel or equipment, the space necessary must be reserved to ensure that inspection and maintenance operations may be carried out in adequate conditions.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Pipes, electrical cabling or any other installation components may not hinder free access to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Without prejudice to the provisions in the Supplementary Technical Instructions, the reference distance to the property limits to inhabited areas and to third parties is five metres, which may be increased, taking into account the level of risk associated in particular with the type of fluid, or reduced to two metres, if there are appropriate protective barriers, as provided for in the following article.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6 - The protective barriers must be designed by an engineer or technical engineer legally qualified to develop and subscribe projects, who shall issue a statement of responsibility. </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7 - In non-fixed vessels or equipment, conditions must be ensured for elevation and protection against collisions in service and during transport.</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Article 7</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Safety and control accessories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All vessels and equipment must be fitted with safety and control accessories, in order to ensure that operating parameters established in the project are respected.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Essential safety accessories include safety valves or equivalent equipment, and essential control accessories include pressure gauges or other equivalent pressure indicators.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3 - Without prejudice to compliance, when applicable, with the essential safety requirements provided for in </w:t>
      </w:r>
      <w:hyperlink r:id="rId31"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the security valve must also:</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Open at a pressure not exceeding the PS value;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Be appropriate for the fluid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Be sealed;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Have a flow appropriate to the pressure-generating source;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Be appropriately installed in accordance with the instructions of the manufacturer and have the outlet pipe directed to a safe place.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Pressure gauges must be checked, through legal metrological control in accordance with applicable legislation, or if they are not covered by that legislation, by means of calibration carried out by a laboratory accredited for this purpose.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Pressure gauges shall comply with standard EN 837-1 or standard EN 837-3, as applicable, with the reference accuracy class being 1.6, and the maximum range must be roughly equal to double the PS, but never lower than 1.5 times the PS, and as far as allowed by the equipment, the PS must be marked with a red line on the gauge.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6 - Other safety and control accessories shall comply with the provisions in the respective standard or construction code, as well as with specific legislation,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7 - Where specific conditions so warrant, IPQ, I.P. may not require some of the safety and control accessories or authorise their replacement for others, taking into account the conclusion of the Inspection Body in the inspection report.</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Article 8</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Data plate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data plate, to be issued by IPQ, I. P., shall be permanently affixed, without involving welding or any damage to the body under pressure, on the vessel or equipment or, if this is not possible, on a joint structure or one interconnected with it, without prejudice to another solution subject to approval by IPQ, I.P.</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On the data plate, IPQ, I.P. shall mark the date of the pressure test deemed valid for the purpose of the first validation or operation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3 - It is prohibited to place any other plate on the vessel or equipment, except for a plate concerning the characteristics of the equipment, issued by the manufacturer, or others referred to in specific legislation. </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SECTION II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Licensing </w:t>
      </w:r>
      <w:bookmarkStart w:id="0" w:name="_GoBack"/>
      <w:r>
        <w:rPr>
          <w:rFonts w:ascii="Times New Roman" w:hAnsi="Times New Roman"/>
          <w:color w:val="333333"/>
          <w:sz w:val="24"/>
        </w:rPr>
        <w:t>o</w:t>
      </w:r>
      <w:bookmarkEnd w:id="0"/>
      <w:r>
        <w:rPr>
          <w:rFonts w:ascii="Times New Roman" w:hAnsi="Times New Roman"/>
          <w:color w:val="333333"/>
          <w:sz w:val="24"/>
        </w:rPr>
        <w:t>f simple pressure vessels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9</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Operation validation and revalidation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Simple pressure vessels are subject to prior notification of operation, allowing the start of operation, provided that the simple pressure vessel has been the subject of an inspection to be carried out by an Inspection Body with a favourable result, pursuant to Article 20.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applicant has 60 days after the start of operation of the simple pressure vessel to request the operation validation to IPQ, I.P., with the information and documents referred to in Annex III to this Regulation being included in the notification.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3 - If the decision of IPQ, I. P. is favourable, the declaration of operation validation shall be issued within </w:t>
      </w:r>
      <w:r w:rsidR="004E1FDD">
        <w:rPr>
          <w:rFonts w:ascii="Times New Roman" w:hAnsi="Times New Roman"/>
          <w:color w:val="333333"/>
          <w:sz w:val="24"/>
        </w:rPr>
        <w:t>15</w:t>
      </w:r>
      <w:r>
        <w:rPr>
          <w:rFonts w:ascii="Times New Roman" w:hAnsi="Times New Roman"/>
          <w:color w:val="333333"/>
          <w:sz w:val="24"/>
        </w:rPr>
        <w:t xml:space="preserve"> days, pursuant to Annex IV to this Regulation, along with the data plate for the simple pressure vessel, if it has not been previously provided.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The declaration of operation validation is valid for six years, having regard to the provisions in Article 5(6) and (7).</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5 - For operation revalidation and whenever a change of the place of installation of the simple pressure vessels occurs, an inspection by the Inspection Body with a favourable </w:t>
      </w:r>
      <w:r>
        <w:rPr>
          <w:rFonts w:ascii="Times New Roman" w:hAnsi="Times New Roman"/>
          <w:color w:val="333333"/>
          <w:sz w:val="24"/>
        </w:rPr>
        <w:lastRenderedPageBreak/>
        <w:t>result is required, with the information and documents referred to in Annex III to this Regulation being included in the notification, which, if the decision is favourable, shall lead to the issue by IPQ, I.P. of the declaration of operation revalidation, pursuant to Annex IV to this Regulation, within 15 days.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6 - The conditions of installation for simple pressure vessels are defined in the Supplementary Technical Instructions applicable to vessels for compressed air or inert gases.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SECTION III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Licensing of pressure equipment</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10</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Classification of pressure equipment and main licensing acts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1 - In the classification of pressure equipment which consists of various compartments, the highest PS is taken into account, the sum of the volumes of the compartments and fluids, with the pressure equipment being classified in the highest risk classes in which each compartment is included. </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If one of the pressure equipment compartments contains various fluids, the classification shall be made according to the fluid with the highest risk class, and in case of doubt, IPQ, I.P. may deem each compartment as an independent item of pressure equipment.</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The licensing of pressure equipment covered by this Regulation includes, as main acts: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Approval of the installation,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Operation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Renewal of operation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Requests for installation approval, where applicable, and operation approval may be submitted simultaneously.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The applicant has a time-limit of 60 days after the inspection by the Inspection Body to request that IPQ, I.P. Issue the operation approval or renewal thereof.</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Article 11</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Installation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application for installation approval shall be submitted to IPQ, I.P., including the information and documents referred to in Annex V to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For installation approval, the respective project must be developed by an engineer or technical engineer, legally qualified for the development and subscription of projects, and the verification of its conformity by an Inspection Body should be requested, with a favourable result, pursuant to Article 20.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If the decision of IPQ, I.P. is favourable, a declaration of approval shall be issued within 30 days.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Whenever the place of installation of the pressure equipment changes or there is a change of location within the same installation, a new operation approval must be requested, pursuant to this article.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The pressure equipment described in Annex VI to this Regulation shall be subject to or exempt from installation approval.</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12</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Operation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application for operation approval shall be submitted to IPQ, I.P., including the information and documents referred to in Annex VII to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For operation approval of the pressure equipment, an inspection is required by an Inspection Body on the fitness of the installation and pressure equipment, with a favourable result, pursuant to Article 20.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If the decision of IPQ, I. P. is favourable, a certificate of operation approval shall be issued within 30 days, pursuant to Annex VIII to this Regulation, along with the data plate for the pressure equipment, if it has not been previously supplied.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Whenever the place of installation of the pressure equipment changes, a new operation approval must be requested, pursuant to this article, without prejudice to Article 4.</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5 - Operation approvals are valid for the periods laid down in Annex IX to this Regulation, having regard to the provisions of Article 5(6) and (7).</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13</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Renewal of operation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renewal of operation approval of the pressure equipment must be requested from IPQ, I.P. up to 60 days prior to the end of the period indicated on the previous approval, and Article 12 shall apply, mutatis mutandis.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For of the renewal of operation approval of the pressure equipment, an inspection by an Inspection Body on the fitness of the installation and pressure equipment is required, with a favourable result, pursuant to Article 20.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If the decision of IPQ, I. P. is favourable, a certificate of renewal of operation approval shall be issued within 30 days, pursuant to Annex VIII.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SECTION IV</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Additional licensing acts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14</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Additional acts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Additional licensing acts include the following: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Entries in the records;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Repairs and alterations;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Installation and operation under provisional conditions.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15</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Entries in the records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following situations are subject to entry in the records: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Change of business name of the owner or change of ownership title of the vessel or equipment, accompanied by the respective supporting document;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(b) Change of user of the vessel or equipment, accompanied by the respective supporting document;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Temporary suspension of use of the vessel or equipment, where it is found that it is disconnected from the fluid distribution network and depressurised;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Permanent withdrawal from service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For the purposes of the previous paragraph, the notification to IPQ, I.P. of any of the situations referred to therein must be carried out within 60 days of their occurrence.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For the purposes of paragraph 1(c), the re-entry into service of the vessel or equipment must be notified to IPQ I.P. within 30 days and is subject to operation revalidation or renewal of operation approval, pursuant to Articles 9 and 13, respectively, if more than a year has elapsed since its temporary suspension of use.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Pursuant to paragraph 1(d), the permanent withdrawal from service shall determine the cancellation of the procedure and the return of the data plate to IPQ, I.P., and the possible use of the vessel or equipment shall be subject to a new licensing procedure, preceded by a reassessment of conformity, pursuant to Article 4.</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16</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Repairs and alterations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bodies carrying out repairs and alterations to vessels or equipment shall have the appropriate technical means and qualified personnel for the performance of the interventions provided for in this Regulation, namely welders certified by a certification body of persons, accredited by the Instituto Português de Acreditação, I. P. (IPAC, I. P.) [Portuguese Institute for Accreditation] or by an entity recognised by the latter.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Repairs and alterations are subject to a project approved by the Inspection Body pursuant to Article 20(i).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The project shall be prepared on the basis of applicable harmonised standards, construction codes, or equivalent standards and codes, pursuant to paragraph 1 of Annex X to this Regulation, by a professional trained in mechanical engineering, legally qualified for the development and subscription of projects.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lastRenderedPageBreak/>
        <w:t>4 - If the project is in conformity, the Inspection Body shall notify the owner or user of its approval within 30 days, accompanied by the documents indicated in paragraph 2 of Annex X to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After the approval of the project by the Inspection Body, the repairs and alterations to be carried out shall also be subject to approval of the Inspection Body, pursuant to Article 20(f), which monitors and verifies the activities and compliance with the respective project, conducts and assesses Non-Destructive Testing (NDT) carried out and performs a pressure test, once the repair or alteration has been completed.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6 - In view of the test performed on the elements referred to in the previous paragraph, the Inspection Body shall issue the final report, duly substantiated, on the conformity of the repair or alteration, pursuant to paragraph 3 of Annex X to this Regulation, and shall deliver it to the owner or user within 15 days, with a copy sent to IPQ, I.P., which shall notify the owner or user of any effects on the validity of the licensing.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7 - Alterations which affect the characteristics and performance of the vessel or equipment, such as increase in PS, volume, heating surface or use of a higher-risk fluid, shall require reassessment of the conformity of the vessel or equipment, pursuant to Article 4.</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8 - The change of the energy source of the pressure equipment, namely with the change of state of the fuel, shall determine that the respective alteration process involves the pressure equipment itself and the respective installation.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17</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Minor repairs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following are deemed minor repairs: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Removal of small cracks in the body under pressure, without the replacement of components;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Restoration of the construction thickness to correct states of degradation, provided that: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The filler materials are of the same quality as those used in the construction;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Thermal treatment is not required;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The removal of cracks in pipes and accessories thereof;</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The replacement of pipes and accessories thereof with others of the same material, with the same diameter and thickness, provided that: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The DN of the pipes is equal to or less than 100;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The pipes do not have a reinforced plate on the body under pressure;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Thermal treatment is not required;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The replacement of up to 10 % of the thermal transfer pipes;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The sealing in bored pipes or equivalent.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Minor repairs are exempt from a repair project and do not apply to pressure equipment intended to contain liquefied gases, given the construction characteristics of the equipment and type of fluid used.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Minor repairs are subject to approval by an Inspection Body, pursuant to Article 20(g), which shall monitor and check the activities, conduct Non-Destructive Testing (NDT) and issue the respective final report on the conformity of the repair, pursuant to Annex XI to this Regulation, delivering it to the owner or user within 15 days, with a copy sent to IPQ, I.P.</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Paragraph 1 of the previous article shall apply to minor repairs.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18</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Installation and operation under provisional conditions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For the purpose of maintenance, repair or to increase emerging consumption, the owner or user may request to IPQ, I. P., in accordance with Annex XII to this Regulation, the installation and operation of pressure equipment under provisional conditions for a maximum period of 60 days, upon extraordinary inspection by an Inspection Body, pursuant to Article 20(e), with a favourable result.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If the decision of IPQ, I. P. is favourable, a declaration of installation and operation approval under provisional conditions shall be issued within 10 days.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CHAPTER IV</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Inspection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SECTION 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Inspection activity</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19</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Requirements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exercise of the inspection activity under this Regulation, requires the prior authorisation of IPQ, I.P., conditional upon accreditation of the Inspection Bodies, in accordance with standard NP EN ISO/IEC 17020 by the Instituto Português de Acreditação, I. P. (IPAC, I.P.) [Portuguese Institute for Accreditation] or by an entity recognised by the latter.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IPQ, I. P. may determine the withdrawal or suspension of the authorisation of an Inspection Body, by reasoned decision, in the case of suspension or cancellation of its accreditation, or non-compliance with the legislation or regulations applicable to the exercise of the activity resulting in serious deficiencies in the installation and operation of the vessels and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For the purposes of paragraphs 1 and 2 of this Article, IPAC, I.P. shall immediately notify IPQ, I.P. of the granting, extension, suspension and cancellation of accreditation of Inspection Bodies.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4 - Without prejudice to paragraph 1 of this article, for the activity of reassessment of conformity, the technical staff of the Inspection Body must, additionally, have the knowledge and experience in the modules of the assessment of conformity to enable the assessment of the design and manufacture of the vessel or equipment, under </w:t>
      </w:r>
      <w:hyperlink r:id="rId32" w:tooltip="Decree-Law No 37/2017">
        <w:r>
          <w:rPr>
            <w:rFonts w:ascii="Times New Roman" w:hAnsi="Times New Roman"/>
            <w:color w:val="006633"/>
            <w:sz w:val="21"/>
            <w:u w:val="single"/>
          </w:rPr>
          <w:t>Decree-Law No 37/2017</w:t>
        </w:r>
      </w:hyperlink>
      <w:r>
        <w:rPr>
          <w:rFonts w:ascii="Times New Roman" w:hAnsi="Times New Roman"/>
          <w:color w:val="333333"/>
          <w:sz w:val="24"/>
        </w:rPr>
        <w:t xml:space="preserve"> of 29 March 2017, or </w:t>
      </w:r>
      <w:hyperlink r:id="rId33"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respectively.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The Inspection Body shall carry out the inspection activities as third-party activities, complying with the type A requirements laid down in standard NP EN ISO/IEC 17020.</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6 - Initial, periodic, interim and extraordinary inspection reports shall be issued by the Inspection Body in accordance with Annex XIII to this Regulation and delivered to the applicant within 30 days from the date of inspection, except in the case of an extraordinary inspection, in which case the report must be sent within five days.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7 - Interim inspection reports shall also be submitted electronically to IPQ, I.P. by the Inspection Body within 30 days of the date of inspection.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8 - If non-conformities are detected in the course of inspections, the respective reports shall indicate them, as well as the measures adopted by the owner or user for their resolution.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9 - If the report of an inspection, with the exception of the initial inspection, has a clearly conclusive unfavourable result, that endangers the operational safety of the vessel or equipment, the Inspection Body shall send the respective report electronically to IPQ, I.P. within three days of the date of inspection.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10 - The Inspection Body shall keep on file the inspection reports issued and respective annexes thereof, at least for the time-limit laid down for the performance of periodic inspections.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20</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Inspection activities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Within the scope of this Regulation, Inspection Bodies carry out the following inspection activities: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Inspection for the purpose of reassessment of conformity, which includes the performance of a pressure test, Non-Destructive Testing (NDT) and possible recalculation, in order to assess the fitness of the vessel or equipment and respective accessories for service, in accordance with Article 4;</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Initial inspection, intended to verify the fitness of the vessel or equipment and installation conditions, for the purposes of operation validation or approval or change of installation, in accordance with Articles 9 and 12;</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Interim inspection, intended to verify the installation and operating conditions of the vessel or equipment, as well as of the safety and control accessories, performed in accordance with the frequency defined in Annex IX to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Periodic inspection, intended to verify the fitness of the vessel or equipment and whether the installation conditions are maintained, pursuant to Articles 9 and 13, carried out in accordance with the frequency defined in Annex IX to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Extraordinary inspection, intended to verify the fitness of the vessel or equipment and safety conditions of the installation outside of the scope of regular inspections, as referred to in subparagraphs (b), (c) and (d) of this article, to be carried out at the request of the owner, user or IPQ, I.P.;</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Inspection of repairs or alterations, intended to demonstrate the suitability of the project and verify that the repair or alteration was carried out in accordance with the latter, as well as to assess the fitness of the vessel or equipment and respective accessories in operation, in compliance with Article 16;</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Inspection of minor repairs, intended to demonstrate compliance with the repair requirements, as well as to assess the fitness of the vessel or equipment and respective accessories in operation, in compliance with Article 17;</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Risk-based inspection (RBI) intended to demonstrate compliance on an ongoing basis with the safety and operating conditions for integrated pressure equipment in procedural assemblies, in accordance with the inspection and test plan to be executed by the same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Verification of conformity of the installation project and repair or alteration project, in accordance with Articles 11 and 16, respectively.</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SECTION II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Tests and checks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21</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Fitness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assessment of fitness consists of a set of activities intended to confirm that the vessel or equipment and accessories thereof possess the conditions required to come into or continue in operation.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assessment of fitness of the vessel or equipment includes a pressure test, which may be supplemented by Non-Destructive Testing (NDT), a leak test and testing and checking of safety and control accessories.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The tests indicated in the previous paragraph shall be carried out within the scope of the inspection activity, except for the check of the pressure gauge, as set out in Article 7(4).</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The tests and checks referred to in this Regulation shall be carried out in accordance with the respective construction codes, or applicable European and international standards.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Under this Regulation, the following are regarded as tests and checks: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Pressure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Leak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Testing and checking of safety and control accessories;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Non-Destructive Testing (NDT).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6 - As a result of the characteristics of the vessel or equipment and installation conditions, additional tests or studies may be required, related to stability and seismic risks and associated with lightning strikes.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7 - When the state of repair and age of the vessel or equipment so require, the Inspection Body may carry out the recalculation included in the inspection activity.</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22</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Pressure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pressure test shall be hydraulic and performed at a pressure equal to 1.25 times the PS, with the provisions of the Supplementary Technical Instructions being taken into consideration,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pressure test may be pneumatic when the pressure equipment, whether by its design or service conditions, does not allow the existence of any trace of liquid, and the gas cannot be from Group 1, except when the Inspection Body considers it technically feasible and safe.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Under the preceding paragraph, the test pressure value must be equal to 1.1 times the PS, without prejudice to possible additional tests, as determined by the applicable codes or standards.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The temperature of the fluid inside the vessel or equipment during the pressure test must be between 10 °C and 40 °C, in order to prevent the brittle fracture of the material or the occurrence of accidents due to the high temperature.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With the exception of steam generators and similar, taking into account the design constraints or operating conditions of the vessel or equipment, the Inspection Body may replace the pressure test with an alternative Inspection and Test Plan prepared by the latter, which is technically substantiated and approved, which includes appropriate Non-Destructive Testing (NDT) and a leak test, which must be annexed to the inspection report.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6 - The pressure test carried out less than a year ago under the reassessment of conformity of the vessel or equipment is valid for the initial inspection of the installation, subject to review by the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7 - The pressure test carried out during the manufacture of the vessel or equipment under </w:t>
      </w:r>
      <w:hyperlink r:id="rId34" w:tooltip="Decree-Law No 37/2017">
        <w:r>
          <w:rPr>
            <w:rFonts w:ascii="Times New Roman" w:hAnsi="Times New Roman"/>
            <w:color w:val="006633"/>
            <w:sz w:val="21"/>
            <w:u w:val="single"/>
          </w:rPr>
          <w:t>Decree-Law No 37/2017</w:t>
        </w:r>
      </w:hyperlink>
      <w:r>
        <w:rPr>
          <w:rFonts w:ascii="Times New Roman" w:hAnsi="Times New Roman"/>
          <w:color w:val="333333"/>
          <w:sz w:val="24"/>
        </w:rPr>
        <w:t xml:space="preserve"> of 29 March 2017 or </w:t>
      </w:r>
      <w:hyperlink r:id="rId35"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respectively, is valid for the initial inspection of the installation if it was performed less than two years ago, except in cases of clearly justified safety reasons, subject to review by the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8 - The pressure test within the scope of the repair or alteration of the vessel or equipment is valid for the inspection of the installation, if it was performed less than a year ago, subject to review by the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9 - For the purposes of paragraphs 6, 7 and 8 of this </w:t>
      </w:r>
      <w:r w:rsidR="004E1FDD">
        <w:rPr>
          <w:rFonts w:ascii="Times New Roman" w:hAnsi="Times New Roman"/>
          <w:color w:val="333333"/>
          <w:sz w:val="24"/>
        </w:rPr>
        <w:t>a</w:t>
      </w:r>
      <w:r>
        <w:rPr>
          <w:rFonts w:ascii="Times New Roman" w:hAnsi="Times New Roman"/>
          <w:color w:val="333333"/>
          <w:sz w:val="24"/>
        </w:rPr>
        <w:t>rticle, the submission of a statement of responsibility is required on the appropriate transport and handling of the vessel or equipment until its installation.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10 - Pressure tests or equivalent tests performed within the scope of periodic inspections must be marked by the Inspection Body on the data plate.</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23</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Leak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leak test is designed to check for the existence of leaks in the connections, valves and bodies accessing the inside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test referred to in the previous paragraph must be performed at the highest operating pressure plus 10 %, not exceeding the PS value, and the fluid contained inside the vessel or equipment may be used.</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24</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Tests and checks of the safety and control accessories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tests and checks of the safety and control accessories must be carried out taking into account their importance, reliability and efficiency, not just for the vessel or equipment, but also for the process in which the latter are included.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tests and checks of the safety and control accessories are aimed at preventing the serviceability limit states for which the vessel or equipment was designed from being exceeded.</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25</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Non-Destructive Testing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Non-Destructive Testing is applied in the characterisation of materials and detection of defects, highlighting the techniques indicated below:</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Ultrasound;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Magnetic particles;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Liquid penetrants;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Electrical fields;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Radiography;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Hardness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Acoustic emission.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For licensing purposes, only Non-Destructive Testing (NDT) conducted by bodies accredited by IPAC, I.P. or recognised by the latter shall be valid for the techniques mentioned in the previous paragraph, without prejudice to other techniques which may arise resulting from technological innovation.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CHAPTER V</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Accidents and safety</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26</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Accidents and other occurrences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owner or user may not change the condition of the installation and respective vessel or equipment following an accident, and shall report the situation to IPQ, I.P. immediately, without prejudice to the duty to inform other competent bodies or authorities, as set out in the applicable legislation.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Upon becoming aware of the occurrence of an accident, IPQ, I.P. shall initiate an enquiry procedure and consult to the parties involved, and may request all the documentation which it considers appropriate and carry out an inspection of the installation.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If there is evidence that the accident was due to a criminal offence, the occurrence must be reported to the Public Prosecutor’s Office, without prejudice to the competences assigned to other bodies.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The owner or user of the vessel or equipment must file the documentation concerning all occurrences which have taken place, so that it may be consulted by IPQ, I.P. or by other competent authorities.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27</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Safety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owner or user of the vessel or equipment shall ensure that any legal provisions beyond this Regulation shall be taken into consideration in the installation and operation.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Whenever IPQ, I.P. detects a situation entailing serious danger to public health, the safety of persons and property, the safety of the installations or the environment, it must alert the competent supervisory authorities, so that the appropriate measures can be taken.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The bodies referred to in the previous paragraph shall inform IPQ, I.P. of all the actions taken.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CHAPTER VI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Monitoring and administrative offences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28</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Monitoring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Without prejudice to the competences assigned by law to other bodies, the monitoring of compliance with this Regulation is the responsibility of the Economic and Food Safety Authority (Autoridade de Segurança Alimentar e Económica - ASAE).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Whenever so requested by IPQ, I. P., or by the supervisory body, the owner or user shall provide the documentation concerning the vessel or equipment and respective licensing, and facilitate access to the respective installation.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29</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Administrative offences and fines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following infringements constitute administrative offences: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Operation of the used vessel or equipment without the performance of reassessment of conformity, in breach of Article 4(4);</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Removal of or tampering with the safety valve or duly authorised equivalent device, in breach of Article 7(1) and (3);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Tampering with or misuse of the data plate, in breach of Article 8(1) and (3);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Operation of the simple pressure vessel without an operation validation or revalidation, in breach of Article 9(2) and (5);</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Operation of the pressure equipment without a valid certificate of operation approval, in breach of Article 12(3);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Operation of the pressure equipment without a valid certificate of renewal of operation approval, in breach of Article 13(1) and (3);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Breach of Article 15(2), (3) and (4);</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Operation of the vessel or equipment after repair and/or alteration which has not been approved by an Inspection Body or in breach of Article 16(5);</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Operation of the vessel or equipment after a minor repair not approved by an Inspection Body, in breach of Article 17(3);</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Alteration of the installation and vessel or equipment after an accident and prior to the intervention of IPQ, I.P., and failure to file the documentation concerning all occurrences, in breach of Article 26(1) and (4);</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(k) Failure to perform the interim inspections in breach of the provisions in paragraph 1 of Annex IX to this Regulation, or if the established deadlines are exceeded by more than three months.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administrative offences provided for in subparagraphs (c) and (g) of the preceding paragraph are punishable by the following fines: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From EUR 250 to EUR 1 000, when committed by natural persons;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From EUR 1 500 to EUR 2 500, when committed by legal persons.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The administrative offences provided for in subparagraphs (a), (b), (d), (e), (f), (h), (i), (j) and (k) of paragraph 1 of this article are punishable by the following fines: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From EUR 500 to EUR 3 740.98, when committed by natural persons;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From EUR 5 000 to EUR 10 000, when committed by legal persons.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4 - Negligence is punishable and the minimum and maximum amounts of the fines referred to in the previous paragraphs shall be reduced to half.</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5 - Intent is punishable by the fine applicable to the accomplished offence, which is specially mitigated.</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30</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Initiation of proceedings and decisions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ASAE is responsible for initiating administrative offence proceedings, to which notices issued by other bodies shall be forwarded.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Director-General of ASAE shall be responsible for imposing fines and additional penalties.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31</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Additional penalties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following additional penalties may be applied simultaneously with the fine, according to the gravity of the infringement and guilt of the offender: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Ineligibility to obtain public subsidies or benefits;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Closure of the installations.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additional penalties provided for in the preceding paragraph shall have a maximum duration of two years from the time the final ruling is passed.</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32</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Proceeds from fines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proceeds from the fines imposed due to the breach of this Regulation shall be distributed as follows: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60 % to the Government;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20% to ASAE;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10 % to the authority that drew up the notice;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10 % to IPQ, I. P.</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33</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Subsidiary law</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The legal framework for administrative offences, approved by </w:t>
      </w:r>
      <w:hyperlink r:id="rId36" w:tooltip="Decree-Law No 433/82">
        <w:r>
          <w:rPr>
            <w:rFonts w:ascii="Times New Roman" w:hAnsi="Times New Roman"/>
            <w:color w:val="006633"/>
            <w:sz w:val="21"/>
            <w:u w:val="single"/>
          </w:rPr>
          <w:t>Decree-Law No 433/82</w:t>
        </w:r>
      </w:hyperlink>
      <w:r>
        <w:rPr>
          <w:rFonts w:ascii="Times New Roman" w:hAnsi="Times New Roman"/>
          <w:color w:val="333333"/>
          <w:sz w:val="24"/>
        </w:rPr>
        <w:t xml:space="preserve"> of 27 October 1982, in its current wording, shall apply subsidiarily to the administrative offences provided for in this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CHAPTER VII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Fees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34</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Fees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By order of the Members of the Government responsible for Finance and the Economy, the fees shall be fixed for: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Reassessment of conformity;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Performance of the inspections in Article 5(4);</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Issue of the data plate, except for the initial data plate;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Operation validation of simple pressure vessels;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Operation revalidation of simple pressure vessels;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Installation approval of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Operation approval of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Renewal of operation approval of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Entry in the records of the change of business name, change of ownership and user;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Installation validation and provisional operation of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services indicated in the preceding paragraph shall begin after the payment of the respective fees, with the exception of (b) of said paragraph.</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CHAPTER VIII</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Final and transitional provisions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35</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Monitoring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IPQ, I.P. is the competent national authority for monitoring the implementation of this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36</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Dematerialisation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processing of the procedures provided for in this Regulation shall be carried out in a dematerialised manner, through the ePortugal Portal (Portal ePortugal), which, in an integrated manner, shall enable: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online submission of all requests associated with the different licensing activities;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online consultation and management by the interested parties of the status of their respective procedures, in particular licensing, property and validity of declarations and certificates;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online sending and receipt of decisions and declarations and certificates issued;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provision of information to different competent authorities for the monitoring and control of the implementation of this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specific screening, through inputting data into a simulator, in particular concerning the type of vessel or equipment, fluid, PS, volume, temperature, etc.;</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t>(</w:t>
      </w:r>
      <w:r>
        <w:rPr>
          <w:rFonts w:ascii="Times New Roman" w:hAnsi="Times New Roman"/>
          <w:color w:val="333333"/>
          <w:sz w:val="24"/>
        </w:rPr>
        <w:t>f) payment of fees concerning procedures through the Public Administration Payment Platform, in accordance with Article 30(4) of </w:t>
      </w:r>
      <w:hyperlink r:id="rId37" w:tooltip="Decree-Law No 135/99">
        <w:r>
          <w:rPr>
            <w:rFonts w:ascii="Times New Roman" w:hAnsi="Times New Roman"/>
            <w:color w:val="006633"/>
            <w:sz w:val="21"/>
            <w:u w:val="single"/>
          </w:rPr>
          <w:t>Decree-Law No 135/99</w:t>
        </w:r>
      </w:hyperlink>
      <w:r>
        <w:rPr>
          <w:rFonts w:ascii="Times New Roman" w:hAnsi="Times New Roman"/>
          <w:color w:val="333333"/>
          <w:sz w:val="24"/>
        </w:rPr>
        <w:t xml:space="preserve"> of 22 April 1999, in its current wording.</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37</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Supplementary technical instructions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technical rules concerning installation and operation, to be applied to equipment in the same family are set out in Supplementary Technical Instructions, approved by order of the President of the Governing Board of IPQ, I.P., published in the 2nd Series of the Official Gazette.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Where there are no Supplementary Technical Instructions applicable to a particular equipment family, the provisions of this Regulation shall generally apply, except for pressure equipment used in the storage of natural gas in a gaseous state and gaseous hydrogen or gaseous oxygen, to which the Supplementary Technical Instructions for Liquefied Petroleum Gas (LPG) and the Supplementary Technical Instructions for vessels for compressed air or inert gases (RAC), respectively, shall apply, mutatis mutandis.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Given the wide variety of pressure equipment, fluids and features, IPQ, I.P. may, with a view to improving the safety level, associate specific pressure equipment with an existing Supplementary Technical Instruction, by order of the President of the Governing Board.</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Article 38</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Autonomous Regions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It is for the entities of the respective regional administrations with the powers and responsibilities in the areas concerned to carry out the acts and procedures necessary to implement this Regulation in the Autonomous Regions of the Azores and Madeira.</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proceeds of fines imposed by the Autonomous Regions shall accrue as revenue for the same.</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4(4)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Reassessment of conformity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application for the reassessment of conformity shall contain the following information and documents: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Name or business name, tax identification number, telephone number and email address of the owner or user;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Address of the owner or user and of the location of the equipment, including the postcode, parish, municipality, district and GPS coordinates;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Main economic activity code (CAE) of the owner;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Identification number (data plate) of the vessel or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Proof of ownership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Approval document of the construction or declaration of conformity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Clear photographs of the type plate and data plate of the vessel or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Descriptive document indicating the characteristics and type of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Valid certificate of the metrological control of the pressure gauge;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Inspection report from the Inspection Body on the fitness of the vessel or equipment for operation, including Non-Destructive Testing (NDT) results and possible recalculation;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(k) Detailed design of the vessel or equipment, where relevant.</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II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4(6)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Declaration of approval of conformity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document of approval of conformity to be issued by IPQ, I.P. shall contain the following information: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Identification number (data plate) of the vessel or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Identification of the owner (business name and main economic activity code (CAE));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Identification of the user (name and main economic activity code (CAE),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Type of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Characteristics of the vessel or equipment (business name of the manufacturer, country, serial number, model, number of chambers, PS, volume, fluid, maximum and minimum allowable temperatures, vapo</w:t>
      </w:r>
      <w:r w:rsidR="004E1FDD">
        <w:rPr>
          <w:rFonts w:ascii="Times New Roman" w:hAnsi="Times New Roman"/>
          <w:color w:val="333333"/>
          <w:sz w:val="24"/>
        </w:rPr>
        <w:t>urisation</w:t>
      </w:r>
      <w:r>
        <w:rPr>
          <w:rFonts w:ascii="Times New Roman" w:hAnsi="Times New Roman"/>
          <w:color w:val="333333"/>
          <w:sz w:val="24"/>
        </w:rPr>
        <w:t>, heating surface, output and fuel,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Date of execution of the pressure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Number of the inspection report, date of execution and identification of the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Date of the inspection by IPQ, I. P.,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Any constraints relating to the vessel or equipment or installation;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Date and signature.</w:t>
      </w:r>
    </w:p>
    <w:p w:rsidR="00B42FB5" w:rsidRPr="00B42FB5" w:rsidRDefault="00B42FB5" w:rsidP="00B56BBA">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III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9(2) and (5)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Prior notification of operation of simple pressure vessels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prior notification of operation of simple pressure vessels shall contain the following information and documents: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Name or business name, tax identification number, telephone number and email address of the owner or user;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User name and address of the place of installation, including the postcode, parish, municipality, district and GPS coordinates;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Main economic activity code (CAE) of the owner;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Identification number (data plate) of the simple pressure vessel,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Characteristics of the simple pressure vessel: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Business name of the manufacturer, indicating the country;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Model;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Serial number and year of manufacture;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PS, volume, fluid and maximum and minimum allowable temperatures;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Declaration of conformity or certificate of approval of the construction or reassessment of conformity document, if not submitted previously;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Photograph of the type plate of the simple pressure vessel;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Inspection report from the Inspection Body with a favourable result.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For the purposes of operation revalidation and whenever there is a change of the place of installation of the simple pressure vessel, the applicant shall be exempt from submitting the documents provided for in subparagraphs (f) and (g) of this annex.</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IV</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9(3) and (5)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Operation validation document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operation validation document for the simple pressure vessel to be issued by IPQ, I.P. shall contain the following information: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Identification number of the vessel;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Identification of the owner (business name and main economic activity code (CAE));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Identification of the user (name and main economic activity code (CAE),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Identification of the place of installation,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Type of vessel;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Characteristics of the vessel (business name of the manufacturer, country, serial number, model, PS, volume, fluid and maximum and minimum allowable temperatures);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Date of execution of the pressure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Number of the inspection report, date of execution and identification of the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Date of the inspection by IPQ, I. P.,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Any constraints relating to the vessel or equipment or installation;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(k) Validity period.</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V</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11(1)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Installation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application for installation approval of the pressure equipment shall contain the following information and documents: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Name or business name, tax identification number, telephone number and email address of the owner or user;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User name and address of the place of installation, including the postcode, parish, municipality, district and GPS coordinates;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Main economic activity code (CAE) of the owner;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Identification number of the pressure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Characteristics of the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Business name of the manufacturer, indicating the country;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Model;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Serial number and year of manufacture;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Number of chambers, if applicable, and respective PS, volume, fluid, maximum and minimum allowable temperatures, vapo</w:t>
      </w:r>
      <w:r w:rsidR="004E1FDD">
        <w:rPr>
          <w:rFonts w:ascii="Times New Roman" w:hAnsi="Times New Roman"/>
          <w:color w:val="333333"/>
          <w:sz w:val="24"/>
        </w:rPr>
        <w:t>urisation</w:t>
      </w:r>
      <w:r>
        <w:rPr>
          <w:rFonts w:ascii="Times New Roman" w:hAnsi="Times New Roman"/>
          <w:color w:val="333333"/>
          <w:sz w:val="24"/>
        </w:rPr>
        <w:t>, heating surface, output and fuel,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Declaration of conformity or certificate of approval of construction or document of reassessment of conformity, if not submitted previously;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Photographs of the intended place for installation and type plate of the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Installation project, consisting of:</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Descriptive report and explanatory statement characterising the place of installation of the pressure equipment, type of construction of the building or fenced area and safety distances in accordance with the applicable Regulation and Supplementary Technical Instructions;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Location plan at the appropriate scale (1:500 or 1:1 000), encompassing a circle with a 30-metre radius (centred on the equipment), so as to highlight the property boundaries and distance to third parties;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Layout plan, cross sections (reference scale 1:100), showing the place or building where the pressure equipment will be installed, indicating the safety distances, accesses, ceiling height, ventilation openings and lighting;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General design of the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Statement of responsibility signed by the designer;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Verification of the conformity of the project issued by the Inspection Body with a favourable result.</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VI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11(5)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Pressure equipment subject to installation approval is listed below:</w:t>
      </w:r>
    </w:p>
    <w:p w:rsidR="00B42FB5" w:rsidRPr="00B42FB5" w:rsidRDefault="004E1FDD" w:rsidP="00F17942">
      <w:pPr>
        <w:spacing w:after="225" w:line="390" w:lineRule="atLeast"/>
        <w:jc w:val="both"/>
        <w:rPr>
          <w:rFonts w:ascii="Times New Roman" w:eastAsia="Times New Roman" w:hAnsi="Times New Roman" w:cs="Times New Roman"/>
          <w:color w:val="333333"/>
          <w:sz w:val="24"/>
          <w:szCs w:val="24"/>
        </w:rPr>
      </w:pPr>
      <w:hyperlink r:id="rId38" w:tooltip="Document in PDF format">
        <w:r w:rsidR="00D55954">
          <w:rPr>
            <w:rFonts w:ascii="Times New Roman" w:hAnsi="Times New Roman"/>
            <w:color w:val="006633"/>
            <w:sz w:val="21"/>
            <w:u w:val="single"/>
          </w:rPr>
          <w:t>(see original document)</w:t>
        </w:r>
      </w:hyperlink>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Pressure equipment is exempt from installation approval in the following cases: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Non-fixed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LPG tanks with a capacity exceeding 7 500 L and lower or equal to 200 000 L, if the installation project has been approved by the Municipal Council or by the Directorate-General for Energy and Geology;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Pipes.</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VII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12(1)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Operation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application for the request for operation approval of the pressure equipment shall contain the following information and documents: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Business name, tax identification number, telephone number and email address of the owner or user;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User name and address of the place of installation, including the postcode, parish, municipality, district and GPS coordinates;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Main economic activity code (CAE) of the owner;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Identification number of the pressure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Characteristics of the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Business name of the manufacturer, indicating the country;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Model;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Serial number and year of manufacture;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Number of chambers, if applicable, and respective PS, volume, fluid, maximum and minimum allowable temperatures, vapo</w:t>
      </w:r>
      <w:r w:rsidR="004E1FDD">
        <w:rPr>
          <w:rFonts w:ascii="Times New Roman" w:hAnsi="Times New Roman"/>
          <w:color w:val="333333"/>
          <w:sz w:val="24"/>
        </w:rPr>
        <w:t>urisation</w:t>
      </w:r>
      <w:r>
        <w:rPr>
          <w:rFonts w:ascii="Times New Roman" w:hAnsi="Times New Roman"/>
          <w:color w:val="333333"/>
          <w:sz w:val="24"/>
        </w:rPr>
        <w:t>, heating surface, output and fuel,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Declaration of conformity or certificate of approval of the construction or reassessment of conformity document, if not submitted previously;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Photograph of the type plate of the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Inspection report from the Inspection Body with a favourable result;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Declaration of installation or installation permit for pressure equipment belonging to a body different to the owner of the installations,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Isometric or equivalent, in the case of pipes.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In the case of non-fixed pressure equipment, the application must be accompanied by the above documents, adapted as necessary.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3 - For the purposes of the application for renewal of operation approval of the pressure equipment, the applicant shall be exempted from submitting the documents provided for in subparagraphs (f) and (g) of paragraph 1 of this </w:t>
      </w:r>
      <w:r w:rsidR="004E1FDD">
        <w:rPr>
          <w:rFonts w:ascii="Times New Roman" w:hAnsi="Times New Roman"/>
          <w:color w:val="333333"/>
          <w:sz w:val="24"/>
        </w:rPr>
        <w:t>a</w:t>
      </w:r>
      <w:r>
        <w:rPr>
          <w:rFonts w:ascii="Times New Roman" w:hAnsi="Times New Roman"/>
          <w:color w:val="333333"/>
          <w:sz w:val="24"/>
        </w:rPr>
        <w:t>nnex.</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VIII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Articles 12(3) and 13(3)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Certificate of operation approval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certificate of operation approval of the pressure equipment to be issued by IPQ, I.P. shall contain the following information: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Identification number of the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Identification of the owner (name or business name);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Identification of the user (name or business name);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Identification of the place of installation,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Type of vessel;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Characteristics of the equipment (business name of the manufacturer, country, serial number, model, number of chambers, PS, volume, fluid, maximum and minimum allowable temperatures, vapo</w:t>
      </w:r>
      <w:r w:rsidR="004E1FDD">
        <w:rPr>
          <w:rFonts w:ascii="Times New Roman" w:hAnsi="Times New Roman"/>
          <w:color w:val="333333"/>
          <w:sz w:val="24"/>
        </w:rPr>
        <w:t>urisation</w:t>
      </w:r>
      <w:r>
        <w:rPr>
          <w:rFonts w:ascii="Times New Roman" w:hAnsi="Times New Roman"/>
          <w:color w:val="333333"/>
          <w:sz w:val="24"/>
        </w:rPr>
        <w:t>, heating surface, output and fuel,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Date of execution of the pressure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Number of the inspection report, date of execution and identification of the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Date of the inspection by IPQ, I. P.,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Any constraints relating to the equipment or installation;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(k) Validity period.</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IX</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12(5) and Article 20(c) and (d) of the Regulation)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validity of the declarations and certificates of operation approval and frequency of interim inspections are the following:</w:t>
      </w:r>
    </w:p>
    <w:p w:rsidR="00B42FB5" w:rsidRPr="00B42FB5" w:rsidRDefault="004E1FDD" w:rsidP="00F17942">
      <w:pPr>
        <w:spacing w:after="225" w:line="390" w:lineRule="atLeast"/>
        <w:jc w:val="both"/>
        <w:rPr>
          <w:rFonts w:ascii="Times New Roman" w:eastAsia="Times New Roman" w:hAnsi="Times New Roman" w:cs="Times New Roman"/>
          <w:color w:val="333333"/>
          <w:sz w:val="24"/>
          <w:szCs w:val="24"/>
        </w:rPr>
      </w:pPr>
      <w:hyperlink r:id="rId39" w:tooltip="Document in PDF format">
        <w:r w:rsidR="00D55954">
          <w:rPr>
            <w:rFonts w:ascii="Times New Roman" w:hAnsi="Times New Roman"/>
            <w:color w:val="006633"/>
            <w:sz w:val="21"/>
            <w:u w:val="single"/>
          </w:rPr>
          <w:t>(see original document)</w:t>
        </w:r>
      </w:hyperlink>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 xml:space="preserve">2 - For the purposes of paragraph 1 of this </w:t>
      </w:r>
      <w:r w:rsidR="004E1FDD">
        <w:rPr>
          <w:rFonts w:ascii="Times New Roman" w:hAnsi="Times New Roman"/>
          <w:color w:val="333333"/>
          <w:sz w:val="24"/>
        </w:rPr>
        <w:t>a</w:t>
      </w:r>
      <w:r>
        <w:rPr>
          <w:rFonts w:ascii="Times New Roman" w:hAnsi="Times New Roman"/>
          <w:color w:val="333333"/>
          <w:sz w:val="24"/>
        </w:rPr>
        <w:t>nnex, the procedural assemblies are classified as: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t>(</w:t>
      </w:r>
      <w:r>
        <w:rPr>
          <w:rFonts w:ascii="Times New Roman" w:hAnsi="Times New Roman"/>
          <w:color w:val="333333"/>
          <w:sz w:val="24"/>
        </w:rPr>
        <w:t>a) Hazard Class 1 - includes the following fluids in Group 1, as defined in Article 14(1)(a) of </w:t>
      </w:r>
      <w:hyperlink r:id="rId40"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whenever these contain corrosive impurities: fluoride, boron fluoride, hydrogen fluoride, boron trichloride, hydrogen chloride, hydrogen bromide, nitrogen dioxide, carbonyl chloride (or phosgene), hydrogen sul</w:t>
      </w:r>
      <w:r w:rsidR="004E1FDD">
        <w:rPr>
          <w:rFonts w:ascii="Times New Roman" w:hAnsi="Times New Roman"/>
          <w:color w:val="333333"/>
          <w:sz w:val="24"/>
        </w:rPr>
        <w:t>fide</w:t>
      </w:r>
      <w:r>
        <w:rPr>
          <w:rFonts w:ascii="Times New Roman" w:hAnsi="Times New Roman"/>
          <w:color w:val="333333"/>
          <w:sz w:val="24"/>
        </w:rPr>
        <w:t>, chloride and others with a similar impact.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t>(</w:t>
      </w:r>
      <w:r>
        <w:rPr>
          <w:rFonts w:ascii="Times New Roman" w:hAnsi="Times New Roman"/>
          <w:color w:val="333333"/>
          <w:sz w:val="24"/>
        </w:rPr>
        <w:t xml:space="preserve">b) Hazard Class 2 - includes the fluids in Group 1, as defined in Article 14(1)(a) of </w:t>
      </w:r>
      <w:hyperlink r:id="rId41"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 except those mentioned in Hazard Class 1;</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t>(</w:t>
      </w:r>
      <w:r>
        <w:rPr>
          <w:rFonts w:ascii="Times New Roman" w:hAnsi="Times New Roman"/>
          <w:color w:val="333333"/>
          <w:sz w:val="24"/>
        </w:rPr>
        <w:t xml:space="preserve">c) Hazard Class 3 - includes the fluids in Group 2, as defined in Article 14(1)(a) of </w:t>
      </w:r>
      <w:hyperlink r:id="rId42" w:tooltip="Decree-Law No 111-D/2017">
        <w:r>
          <w:rPr>
            <w:rFonts w:ascii="Times New Roman" w:hAnsi="Times New Roman"/>
            <w:color w:val="006633"/>
            <w:sz w:val="21"/>
            <w:u w:val="single"/>
          </w:rPr>
          <w:t>Decree-Law No 111-D/2017</w:t>
        </w:r>
      </w:hyperlink>
      <w:r>
        <w:rPr>
          <w:rFonts w:ascii="Times New Roman" w:hAnsi="Times New Roman"/>
          <w:color w:val="333333"/>
          <w:sz w:val="24"/>
        </w:rPr>
        <w:t xml:space="preserve"> of 31 August 2017.</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X</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16(3), (4) and (6)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Repairs and alterations</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repair or alteration project shall consist of:</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Descriptive report of the intervention to be carried out, indicating codes or standards to be adopted and characteristics of the initial and final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Calculation note,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Inspection plan and tests to be conducted during the intervention;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General and detailed drawings;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Welding procedures;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Statement of responsibility, signed by the designer.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verification of conformity document of the repair or alteration project with a favourable result, to be issued by the Inspection Body, shall contain the following information and documents: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Identification of the user and owner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Identification number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Characteristics of the vessel or equipment (manufacturer, model, serial number and year of manufacture, number of chambers, if applicable, and respective PS, volume, fluid and maximum and minimum allowable temperatures, vapo</w:t>
      </w:r>
      <w:r w:rsidR="004E1FDD">
        <w:rPr>
          <w:rFonts w:ascii="Times New Roman" w:hAnsi="Times New Roman"/>
          <w:color w:val="333333"/>
          <w:sz w:val="24"/>
        </w:rPr>
        <w:t>urisation</w:t>
      </w:r>
      <w:r>
        <w:rPr>
          <w:rFonts w:ascii="Times New Roman" w:hAnsi="Times New Roman"/>
          <w:color w:val="333333"/>
          <w:sz w:val="24"/>
        </w:rPr>
        <w:t>, heating surface, output and fuel,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Identification of the place of installation;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Reference of the standards or construction code adopted;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Original project, duly validated and authenticated by the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The conformity report of the repair or alteration shall include the identification number of the vessel or equipment, identification of the user, owner and repair company and reference of the controls and tests performed, accompanied at least by the following elements: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Document of approval of the repair or alteration project, in accordance with the previous paragraph;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Statement of responsibility of the company that performed the repair or alteration;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Proof of compliance with the inspection and test plan;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Qualification certificates of the welders issued by a certification body of persons accredited by IPAC, I.P., or a body recognised by the latter;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Certificates of the materials used;</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Substantiated conclusion on the conformity of the repair or alteration.</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XI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17(3)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Minor repairs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minor repair process shall consist of a report from the Inspection Body with a favourable result, describing the checks and tests performed, accompanied by the following elements: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Descriptive report with the simplified drawing validated by the Inspection Body;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Statement of responsibility of the company that performed the repair;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Qualification certificates of the welders issued by a certification body of persons accredited by IPAC, I.P., or a body recognised by the latter;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Certificates of the materials used.</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XII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18(1)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Installation and operation under provisional conditions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The application for the request for the installation validation and operation of the pressure equipment under provisional conditions shall be prepared with the following information and documents: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Name or business name, tax identification number, telephone number and email address of the owner or user;</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User name and address of the place of installation, including the postcode, parish, municipality, district and GPS coordinates;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Identification number (data plate) of the pressure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Characteristics of the pressure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Business name of the manufacturer, indicating the country;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Model;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Serial number and year of manufacture;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Number of chambers, if applicable, and respective PS, volume, fluid, maximum and minimum allowable temperatures, vapo</w:t>
      </w:r>
      <w:r w:rsidR="004E1FDD">
        <w:rPr>
          <w:rFonts w:ascii="Times New Roman" w:hAnsi="Times New Roman"/>
          <w:color w:val="333333"/>
          <w:sz w:val="24"/>
        </w:rPr>
        <w:t>urisation</w:t>
      </w:r>
      <w:r>
        <w:rPr>
          <w:rFonts w:ascii="Times New Roman" w:hAnsi="Times New Roman"/>
          <w:color w:val="333333"/>
          <w:sz w:val="24"/>
        </w:rPr>
        <w:t>, heating surface, output and fuel,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Extraordinary inspection report of the Inspection Body, with a favourable result, encompassing the installation, pressure equipment and the safety and control bodies;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Inspection report of the last reassessment of conformity,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Descriptive report and explanatory statement characterising the place of installation of the pressure equipment, type of construction of the building or fenced area and safety distances in accordance with the applicable Regulation and Supplementary Technical Instructions;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Simplified drawing of the installation.</w:t>
      </w:r>
    </w:p>
    <w:p w:rsidR="00B42FB5" w:rsidRPr="00B42FB5" w:rsidRDefault="00B42FB5" w:rsidP="00F17942">
      <w:pPr>
        <w:keepNext/>
        <w:keepLines/>
        <w:pageBreakBefore/>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ANNEX XIII</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(referred to in Article 19(6) of the Regulation)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Inspection report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1 - The reference content of the initial inspection report, periodic inspection report and extraordinary inspection report to be issued by the Inspection Body, without prejudice to incorporating additional information, is the following: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Type of inspection;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Identification number of the vessel or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Type of vessel or equipment and Supplementary Technical Instructions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Characteristics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Business name of the manufacturer, indicating the country;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Model;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Serial number and year of manufacture;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Number of chambers, PS, volume, fluid, maximum and minimum allowable temperatures, vapo</w:t>
      </w:r>
      <w:r w:rsidR="004E1FDD">
        <w:rPr>
          <w:rFonts w:ascii="Times New Roman" w:hAnsi="Times New Roman"/>
          <w:color w:val="333333"/>
          <w:sz w:val="24"/>
        </w:rPr>
        <w:t>urisation</w:t>
      </w:r>
      <w:r>
        <w:rPr>
          <w:rFonts w:ascii="Times New Roman" w:hAnsi="Times New Roman"/>
          <w:color w:val="333333"/>
          <w:sz w:val="24"/>
        </w:rPr>
        <w:t>, heating surface, output and fuel,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Results of the safety valve test or equivalent equipment, and other additional accessories;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Verification of the metrological control or calibration, as applicable, performed on the pressure gauge(s) and its/their suitability for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General condition of the vessel or equipment, supports and any protective coating;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Results of the pressure test or equivalent alternative tests,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Alternative Inspection and Test Plan,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Results of the leak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(k) Results of additional Non-Destructive Testing (NDT) and recalculation, if relevant;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(l) Verification of the burning system,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(m) Classification of the place of installation;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(n) Characterisation of the building envelope, entrances, ventilation, of other vessels or equipment or additional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(o) Safety distances and compliance therewith;</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(p) Spent or stored fuel;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(q) Statement of responsibility on the appropriate transport and handling of the vessel or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(r) Other information taking into account the applicable Supplementary Technical Instructions;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(s) Conclusions: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Non-conformities detected,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Measures adopted by the owner or user to resolve non-conformities,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Final opinion on the conformity of the installation and fitness of the vessel or equipment for operation.</w:t>
      </w:r>
    </w:p>
    <w:p w:rsidR="00B42FB5" w:rsidRPr="00B42FB5" w:rsidRDefault="00B42FB5" w:rsidP="00F17942">
      <w:pPr>
        <w:keepNext/>
        <w:keepLines/>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2 - The reference content of the interim inspection report to be issued by the Inspection Body, without prejudice to incorporating additional information, is the following: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(a) Type of inspection;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(b) Identification number of the vessel or equipment,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(c) Type of vessel or equipment and Supplementary Technical Instructions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(d) Characteristics of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Business name of the manufacturer, indicating the country;</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Model;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Serial number and year of manufacture;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(iv) Number of chambers, PS, volume, fluid, maximum and minimum allowable temperatures, vapo</w:t>
      </w:r>
      <w:r w:rsidR="004E1FDD">
        <w:rPr>
          <w:rFonts w:ascii="Times New Roman" w:hAnsi="Times New Roman"/>
          <w:color w:val="333333"/>
          <w:sz w:val="24"/>
        </w:rPr>
        <w:t>urisation</w:t>
      </w:r>
      <w:r>
        <w:rPr>
          <w:rFonts w:ascii="Times New Roman" w:hAnsi="Times New Roman"/>
          <w:color w:val="333333"/>
          <w:sz w:val="24"/>
        </w:rPr>
        <w:t>, heating surface, output and fuel,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(e) Results of the safety valve test and other additional accessories;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(f) Verification of the metrological control carried out on the pressure gauge(s) and its/their suitability to the vessel or equipment;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(g) General condition of the vessel or equipment, supports and any protective coating;</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(h) Results of the leak test;</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Non-Destructive Testing (NDT) results, if relevant and where provided for in the Supplementary Technical Instructions;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(j) Verification of the burning system, if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(k) Classification of the place of installation;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(l) Spent or stored fuel;</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(m) Other information taking into account the applicable Supplementary Technical Instructions;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(n) Conclusions:</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 Non-conformities detected,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 Measures adopted by the owner or user to resolve non-conformities, where applicable;</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(iii) Final opinion on the conformity of the installation and fitness of the vessel or equipment for operation.</w:t>
      </w:r>
    </w:p>
    <w:p w:rsidR="00B42FB5" w:rsidRPr="00B42FB5" w:rsidRDefault="00B42FB5" w:rsidP="00F17942">
      <w:pPr>
        <w:spacing w:after="225" w:line="390" w:lineRule="atLeast"/>
        <w:jc w:val="both"/>
        <w:rPr>
          <w:rFonts w:ascii="Times New Roman" w:eastAsia="Times New Roman" w:hAnsi="Times New Roman" w:cs="Times New Roman"/>
          <w:color w:val="333333"/>
          <w:sz w:val="24"/>
          <w:szCs w:val="24"/>
        </w:rPr>
      </w:pPr>
      <w:r>
        <w:rPr>
          <w:rFonts w:ascii="Times New Roman" w:hAnsi="Times New Roman"/>
          <w:color w:val="333333"/>
          <w:sz w:val="24"/>
        </w:rPr>
        <w:t>3 - The metrological control certificates for the pressure gauge(s) of the vessel or equipment must be annexed to the inspection report.</w:t>
      </w:r>
    </w:p>
    <w:sectPr w:rsidR="00B42FB5" w:rsidRPr="00B42F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BCC" w:rsidRDefault="00651BCC" w:rsidP="00F17942">
      <w:pPr>
        <w:spacing w:after="0" w:line="240" w:lineRule="auto"/>
      </w:pPr>
      <w:r>
        <w:separator/>
      </w:r>
    </w:p>
  </w:endnote>
  <w:endnote w:type="continuationSeparator" w:id="0">
    <w:p w:rsidR="00651BCC" w:rsidRDefault="00651BCC" w:rsidP="00F1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BCC" w:rsidRDefault="00651BCC" w:rsidP="00F17942">
      <w:pPr>
        <w:spacing w:after="0" w:line="240" w:lineRule="auto"/>
      </w:pPr>
      <w:r>
        <w:separator/>
      </w:r>
    </w:p>
  </w:footnote>
  <w:footnote w:type="continuationSeparator" w:id="0">
    <w:p w:rsidR="00651BCC" w:rsidRDefault="00651BCC" w:rsidP="00F17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B6DE0"/>
    <w:multiLevelType w:val="multilevel"/>
    <w:tmpl w:val="0A9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75355"/>
    <w:multiLevelType w:val="multilevel"/>
    <w:tmpl w:val="5702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E2005"/>
    <w:multiLevelType w:val="multilevel"/>
    <w:tmpl w:val="43C4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F1615"/>
    <w:multiLevelType w:val="multilevel"/>
    <w:tmpl w:val="8F24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B5"/>
    <w:rsid w:val="000C7DFF"/>
    <w:rsid w:val="004E1FDD"/>
    <w:rsid w:val="005A5AE9"/>
    <w:rsid w:val="00651BCC"/>
    <w:rsid w:val="00B42FB5"/>
    <w:rsid w:val="00B56BBA"/>
    <w:rsid w:val="00D55954"/>
    <w:rsid w:val="00D66042"/>
    <w:rsid w:val="00F17942"/>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DEE73D0-590D-4EBD-8E96-A6552C95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2F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FB5"/>
    <w:rPr>
      <w:rFonts w:ascii="Times New Roman" w:eastAsia="Times New Roman" w:hAnsi="Times New Roman" w:cs="Times New Roman"/>
      <w:b/>
      <w:bCs/>
      <w:kern w:val="36"/>
      <w:sz w:val="48"/>
      <w:szCs w:val="48"/>
      <w:lang w:eastAsia="en-GB"/>
    </w:rPr>
  </w:style>
  <w:style w:type="numbering" w:customStyle="1" w:styleId="Semlista1">
    <w:name w:val="Sem lista1"/>
    <w:next w:val="NoList"/>
    <w:uiPriority w:val="99"/>
    <w:semiHidden/>
    <w:unhideWhenUsed/>
    <w:rsid w:val="00B42FB5"/>
  </w:style>
  <w:style w:type="paragraph" w:customStyle="1" w:styleId="msonormal0">
    <w:name w:val="msonormal"/>
    <w:basedOn w:val="Normal"/>
    <w:rsid w:val="00B42F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2FB5"/>
    <w:rPr>
      <w:b/>
      <w:bCs/>
    </w:rPr>
  </w:style>
  <w:style w:type="character" w:styleId="Hyperlink">
    <w:name w:val="Hyperlink"/>
    <w:basedOn w:val="DefaultParagraphFont"/>
    <w:uiPriority w:val="99"/>
    <w:semiHidden/>
    <w:unhideWhenUsed/>
    <w:rsid w:val="00B42FB5"/>
    <w:rPr>
      <w:color w:val="0000FF"/>
      <w:u w:val="single"/>
    </w:rPr>
  </w:style>
  <w:style w:type="character" w:styleId="FollowedHyperlink">
    <w:name w:val="FollowedHyperlink"/>
    <w:basedOn w:val="DefaultParagraphFont"/>
    <w:uiPriority w:val="99"/>
    <w:semiHidden/>
    <w:unhideWhenUsed/>
    <w:rsid w:val="00B42FB5"/>
    <w:rPr>
      <w:color w:val="800080"/>
      <w:u w:val="single"/>
    </w:rPr>
  </w:style>
  <w:style w:type="paragraph" w:styleId="NormalWeb">
    <w:name w:val="Normal (Web)"/>
    <w:basedOn w:val="Normal"/>
    <w:uiPriority w:val="99"/>
    <w:semiHidden/>
    <w:unhideWhenUsed/>
    <w:rsid w:val="00B42F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79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7942"/>
  </w:style>
  <w:style w:type="paragraph" w:styleId="Footer">
    <w:name w:val="footer"/>
    <w:basedOn w:val="Normal"/>
    <w:link w:val="FooterChar"/>
    <w:uiPriority w:val="99"/>
    <w:unhideWhenUsed/>
    <w:rsid w:val="00F179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7942"/>
  </w:style>
  <w:style w:type="paragraph" w:styleId="PlainText">
    <w:name w:val="Plain Text"/>
    <w:basedOn w:val="Normal"/>
    <w:link w:val="PlainTextChar"/>
    <w:uiPriority w:val="99"/>
    <w:unhideWhenUsed/>
    <w:rsid w:val="00D55954"/>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D55954"/>
    <w:rPr>
      <w:rFonts w:ascii="Consolas" w:eastAsia="Times New Roman"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32095">
      <w:bodyDiv w:val="1"/>
      <w:marLeft w:val="0"/>
      <w:marRight w:val="0"/>
      <w:marTop w:val="0"/>
      <w:marBottom w:val="0"/>
      <w:divBdr>
        <w:top w:val="none" w:sz="0" w:space="0" w:color="auto"/>
        <w:left w:val="none" w:sz="0" w:space="0" w:color="auto"/>
        <w:bottom w:val="none" w:sz="0" w:space="0" w:color="auto"/>
        <w:right w:val="none" w:sz="0" w:space="0" w:color="auto"/>
      </w:divBdr>
      <w:divsChild>
        <w:div w:id="2014408432">
          <w:marLeft w:val="0"/>
          <w:marRight w:val="0"/>
          <w:marTop w:val="0"/>
          <w:marBottom w:val="0"/>
          <w:divBdr>
            <w:top w:val="single" w:sz="18" w:space="4" w:color="F2F2F2"/>
            <w:left w:val="none" w:sz="0" w:space="0" w:color="auto"/>
            <w:bottom w:val="none" w:sz="0" w:space="0" w:color="auto"/>
            <w:right w:val="none" w:sz="0" w:space="0" w:color="auto"/>
          </w:divBdr>
          <w:divsChild>
            <w:div w:id="159853536">
              <w:marLeft w:val="0"/>
              <w:marRight w:val="0"/>
              <w:marTop w:val="0"/>
              <w:marBottom w:val="0"/>
              <w:divBdr>
                <w:top w:val="none" w:sz="0" w:space="0" w:color="auto"/>
                <w:left w:val="none" w:sz="0" w:space="0" w:color="auto"/>
                <w:bottom w:val="none" w:sz="0" w:space="0" w:color="auto"/>
                <w:right w:val="none" w:sz="0" w:space="0" w:color="auto"/>
              </w:divBdr>
            </w:div>
            <w:div w:id="1446079701">
              <w:marLeft w:val="0"/>
              <w:marRight w:val="0"/>
              <w:marTop w:val="0"/>
              <w:marBottom w:val="0"/>
              <w:divBdr>
                <w:top w:val="none" w:sz="0" w:space="0" w:color="auto"/>
                <w:left w:val="none" w:sz="0" w:space="0" w:color="auto"/>
                <w:bottom w:val="none" w:sz="0" w:space="0" w:color="auto"/>
                <w:right w:val="none" w:sz="0" w:space="0" w:color="auto"/>
              </w:divBdr>
            </w:div>
            <w:div w:id="841816787">
              <w:marLeft w:val="0"/>
              <w:marRight w:val="0"/>
              <w:marTop w:val="0"/>
              <w:marBottom w:val="0"/>
              <w:divBdr>
                <w:top w:val="none" w:sz="0" w:space="0" w:color="auto"/>
                <w:left w:val="none" w:sz="0" w:space="0" w:color="auto"/>
                <w:bottom w:val="none" w:sz="0" w:space="0" w:color="auto"/>
                <w:right w:val="none" w:sz="0" w:space="0" w:color="auto"/>
              </w:divBdr>
            </w:div>
            <w:div w:id="839855136">
              <w:marLeft w:val="0"/>
              <w:marRight w:val="0"/>
              <w:marTop w:val="0"/>
              <w:marBottom w:val="0"/>
              <w:divBdr>
                <w:top w:val="none" w:sz="0" w:space="0" w:color="auto"/>
                <w:left w:val="none" w:sz="0" w:space="0" w:color="auto"/>
                <w:bottom w:val="none" w:sz="0" w:space="0" w:color="auto"/>
                <w:right w:val="none" w:sz="0" w:space="0" w:color="auto"/>
              </w:divBdr>
            </w:div>
            <w:div w:id="319041944">
              <w:marLeft w:val="0"/>
              <w:marRight w:val="0"/>
              <w:marTop w:val="0"/>
              <w:marBottom w:val="0"/>
              <w:divBdr>
                <w:top w:val="none" w:sz="0" w:space="0" w:color="auto"/>
                <w:left w:val="none" w:sz="0" w:space="0" w:color="auto"/>
                <w:bottom w:val="none" w:sz="0" w:space="0" w:color="auto"/>
                <w:right w:val="none" w:sz="0" w:space="0" w:color="auto"/>
              </w:divBdr>
            </w:div>
            <w:div w:id="11115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e.pt/web/guest/pesquisa/-/search/108086623/details/normal?l=1" TargetMode="External"/><Relationship Id="rId18" Type="http://schemas.openxmlformats.org/officeDocument/2006/relationships/hyperlink" Target="https://dre.pt/web/guest/pesquisa/-/search/334116/details/normal?l=1" TargetMode="External"/><Relationship Id="rId26" Type="http://schemas.openxmlformats.org/officeDocument/2006/relationships/hyperlink" Target="https://dre.pt/application/external/eurolex?08R1272" TargetMode="External"/><Relationship Id="rId39" Type="http://schemas.openxmlformats.org/officeDocument/2006/relationships/hyperlink" Target="https://dre.pt/application/conteudo/124324703" TargetMode="External"/><Relationship Id="rId3" Type="http://schemas.openxmlformats.org/officeDocument/2006/relationships/customXml" Target="../customXml/item3.xml"/><Relationship Id="rId21" Type="http://schemas.openxmlformats.org/officeDocument/2006/relationships/hyperlink" Target="https://dre.pt/web/guest/pesquisa/-/search/108086623/details/normal?l=1" TargetMode="External"/><Relationship Id="rId34" Type="http://schemas.openxmlformats.org/officeDocument/2006/relationships/hyperlink" Target="https://dre.pt/web/guest/pesquisa/-/search/106663844/details/normal?l=1" TargetMode="External"/><Relationship Id="rId42" Type="http://schemas.openxmlformats.org/officeDocument/2006/relationships/hyperlink" Target="https://dre.pt/web/guest/pesquisa/-/search/108086623/details/normal?l=1" TargetMode="External"/><Relationship Id="rId7" Type="http://schemas.openxmlformats.org/officeDocument/2006/relationships/settings" Target="settings.xml"/><Relationship Id="rId12" Type="http://schemas.openxmlformats.org/officeDocument/2006/relationships/hyperlink" Target="https://dre.pt/application/external/eurolex?14L0029" TargetMode="External"/><Relationship Id="rId17" Type="http://schemas.openxmlformats.org/officeDocument/2006/relationships/hyperlink" Target="https://dre.pt/application/external/eurolex?15L1535" TargetMode="External"/><Relationship Id="rId25" Type="http://schemas.openxmlformats.org/officeDocument/2006/relationships/hyperlink" Target="https://dre.pt/web/guest/pesquisa/-/search/108086623/details/normal?l=1" TargetMode="External"/><Relationship Id="rId33" Type="http://schemas.openxmlformats.org/officeDocument/2006/relationships/hyperlink" Target="https://dre.pt/web/guest/pesquisa/-/search/108086623/details/normal?l=1" TargetMode="External"/><Relationship Id="rId38" Type="http://schemas.openxmlformats.org/officeDocument/2006/relationships/hyperlink" Target="https://dre.pt/application/conteudo/124324703" TargetMode="External"/><Relationship Id="rId2" Type="http://schemas.openxmlformats.org/officeDocument/2006/relationships/customXml" Target="../customXml/item2.xml"/><Relationship Id="rId16" Type="http://schemas.openxmlformats.org/officeDocument/2006/relationships/hyperlink" Target="https://dre.pt/web/guest/pesquisa/-/search/108086623/details/normal?l=1" TargetMode="External"/><Relationship Id="rId20" Type="http://schemas.openxmlformats.org/officeDocument/2006/relationships/hyperlink" Target="https://dre.pt/web/guest/pesquisa/-/search/106663844/details/normal?l=1" TargetMode="External"/><Relationship Id="rId29" Type="http://schemas.openxmlformats.org/officeDocument/2006/relationships/hyperlink" Target="https://dre.pt/web/guest/pesquisa/-/search/106663844/details/normal?l=1" TargetMode="External"/><Relationship Id="rId41" Type="http://schemas.openxmlformats.org/officeDocument/2006/relationships/hyperlink" Target="https://dre.pt/web/guest/pesquisa/-/search/108086623/details/normal?l=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e.pt/web/guest/pesquisa/-/search/106663844/details/normal?l=1" TargetMode="External"/><Relationship Id="rId24" Type="http://schemas.openxmlformats.org/officeDocument/2006/relationships/hyperlink" Target="https://dre.pt/web/guest/pesquisa/-/search/106663844/details/normal?l=1" TargetMode="External"/><Relationship Id="rId32" Type="http://schemas.openxmlformats.org/officeDocument/2006/relationships/hyperlink" Target="https://dre.pt/web/guest/pesquisa/-/search/106663844/details/normal?l=1" TargetMode="External"/><Relationship Id="rId37" Type="http://schemas.openxmlformats.org/officeDocument/2006/relationships/hyperlink" Target="https://dre.pt/web/guest/pesquisa/-/search/534640/details/normal?l=1" TargetMode="External"/><Relationship Id="rId40" Type="http://schemas.openxmlformats.org/officeDocument/2006/relationships/hyperlink" Target="https://dre.pt/web/guest/pesquisa/-/search/108086623/details/normal?l=1" TargetMode="External"/><Relationship Id="rId5" Type="http://schemas.openxmlformats.org/officeDocument/2006/relationships/numbering" Target="numbering.xml"/><Relationship Id="rId15" Type="http://schemas.openxmlformats.org/officeDocument/2006/relationships/hyperlink" Target="https://dre.pt/web/guest/pesquisa/-/search/334116/details/normal?l=1" TargetMode="External"/><Relationship Id="rId23" Type="http://schemas.openxmlformats.org/officeDocument/2006/relationships/hyperlink" Target="https://dre.pt/web/guest/pesquisa/-/search/108086623/details/normal?l=1" TargetMode="External"/><Relationship Id="rId28" Type="http://schemas.openxmlformats.org/officeDocument/2006/relationships/hyperlink" Target="https://dre.pt/web/guest/pesquisa/-/search/108086623/details/normal?l=1" TargetMode="External"/><Relationship Id="rId36" Type="http://schemas.openxmlformats.org/officeDocument/2006/relationships/hyperlink" Target="https://dre.pt/web/guest/pesquisa/-/search/376273/details/normal?l=1" TargetMode="External"/><Relationship Id="rId10" Type="http://schemas.openxmlformats.org/officeDocument/2006/relationships/endnotes" Target="endnotes.xml"/><Relationship Id="rId19" Type="http://schemas.openxmlformats.org/officeDocument/2006/relationships/hyperlink" Target="https://dre.pt/web/guest/pesquisa/-/search/334116/details/normal?l=1" TargetMode="External"/><Relationship Id="rId31" Type="http://schemas.openxmlformats.org/officeDocument/2006/relationships/hyperlink" Target="https://dre.pt/web/guest/pesquisa/-/search/108086623/details/normal?l=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e.pt/application/external/eurolex?14L0068" TargetMode="External"/><Relationship Id="rId22" Type="http://schemas.openxmlformats.org/officeDocument/2006/relationships/hyperlink" Target="https://dre.pt/web/guest/pesquisa/-/search/106663844/details/normal?l=1" TargetMode="External"/><Relationship Id="rId27" Type="http://schemas.openxmlformats.org/officeDocument/2006/relationships/hyperlink" Target="https://dre.pt/web/guest/pesquisa/-/search/106663844/details/normal?l=1" TargetMode="External"/><Relationship Id="rId30" Type="http://schemas.openxmlformats.org/officeDocument/2006/relationships/hyperlink" Target="https://dre.pt/web/guest/pesquisa/-/search/108086623/details/normal?l=1" TargetMode="External"/><Relationship Id="rId35" Type="http://schemas.openxmlformats.org/officeDocument/2006/relationships/hyperlink" Target="https://dre.pt/web/guest/pesquisa/-/search/108086623/details/normal?l=1"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6b16a7-de2f-47cc-9eaa-991bdb9199e1">IPQDOC-510-64142</_dlc_DocId>
    <_dlc_DocIdUrl xmlns="716b16a7-de2f-47cc-9eaa-991bdb9199e1">
      <Url>http://intranet.ipq.local:9999/DAESPQ/_layouts/DocIdRedir.aspx?ID=IPQDOC-510-64142</Url>
      <Description>IPQDOC-510-64142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BD0D1E242BD84DAD06714739C3A1A0" ma:contentTypeVersion="4" ma:contentTypeDescription="Create a new document." ma:contentTypeScope="" ma:versionID="055346d4cc01b5ef665334b30b81b799">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FBCA8-3E1F-4248-AFB1-477877819AA5}">
  <ds:schemaRefs>
    <ds:schemaRef ds:uri="http://schemas.microsoft.com/sharepoint/events"/>
  </ds:schemaRefs>
</ds:datastoreItem>
</file>

<file path=customXml/itemProps2.xml><?xml version="1.0" encoding="utf-8"?>
<ds:datastoreItem xmlns:ds="http://schemas.openxmlformats.org/officeDocument/2006/customXml" ds:itemID="{ABF58C5B-2D7E-43B4-99F4-BE38AE3F97E4}">
  <ds:schemaRefs>
    <ds:schemaRef ds:uri="http://schemas.microsoft.com/sharepoint/v3/contenttype/forms"/>
  </ds:schemaRefs>
</ds:datastoreItem>
</file>

<file path=customXml/itemProps3.xml><?xml version="1.0" encoding="utf-8"?>
<ds:datastoreItem xmlns:ds="http://schemas.openxmlformats.org/officeDocument/2006/customXml" ds:itemID="{D123AB68-AD2A-415F-9C23-634C4D46A9EF}">
  <ds:schemaRefs>
    <ds:schemaRef ds:uri="http://schemas.microsoft.com/office/2006/metadata/properties"/>
    <ds:schemaRef ds:uri="http://schemas.microsoft.com/office/infopath/2007/PartnerControls"/>
    <ds:schemaRef ds:uri="716b16a7-de2f-47cc-9eaa-991bdb9199e1"/>
  </ds:schemaRefs>
</ds:datastoreItem>
</file>

<file path=customXml/itemProps4.xml><?xml version="1.0" encoding="utf-8"?>
<ds:datastoreItem xmlns:ds="http://schemas.openxmlformats.org/officeDocument/2006/customXml" ds:itemID="{AB8B6997-F2B4-4609-A927-4F95BD442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52</Pages>
  <Words>11914</Words>
  <Characters>67913</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Lídia Jacob</dc:creator>
  <cp:keywords/>
  <dc:description/>
  <cp:lastModifiedBy>John McCarthy</cp:lastModifiedBy>
  <cp:revision>3</cp:revision>
  <dcterms:created xsi:type="dcterms:W3CDTF">2019-09-02T08:33:00Z</dcterms:created>
  <dcterms:modified xsi:type="dcterms:W3CDTF">2019-11-19T16:32:00Z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cb65833c-bb6d-4ec3-9308-0ee31ca36e07</vt:lpwstr>
  </property>
  <property fmtid="{D5CDD505-2E9C-101B-9397-08002B2CF9AE}" pid="3" name="ContentTypeId">
    <vt:lpwstr>0x01010029BD0D1E242BD84DAD06714739C3A1A0</vt:lpwstr>
  </property>
</Properties>
</file>