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E1" w:rsidRPr="00E41999" w:rsidRDefault="001D1DE1" w:rsidP="001D1DE1">
      <w:pPr>
        <w:jc w:val="center"/>
        <w:rPr>
          <w:rFonts w:ascii="Courier New" w:hAnsi="Courier New" w:cs="Courier New"/>
          <w:sz w:val="20"/>
        </w:rPr>
      </w:pPr>
      <w:r>
        <w:rPr>
          <w:rFonts w:ascii="Courier New" w:hAnsi="Courier New"/>
          <w:sz w:val="20"/>
        </w:rPr>
        <w:t>1. ------IND- 2018 0211 LV</w:t>
      </w:r>
      <w:bookmarkStart w:id="0" w:name="_GoBack"/>
      <w:bookmarkEnd w:id="0"/>
      <w:r>
        <w:rPr>
          <w:rFonts w:ascii="Courier New" w:hAnsi="Courier New"/>
          <w:sz w:val="20"/>
        </w:rPr>
        <w:t>- EL- ------ 20180524 --- --- PROJET</w:t>
      </w:r>
    </w:p>
    <w:p w:rsidR="001D1DE1" w:rsidRPr="000027DE" w:rsidRDefault="001D1DE1" w:rsidP="001D1DE1">
      <w:pPr>
        <w:pStyle w:val="Heading1"/>
        <w:keepNext w:val="0"/>
        <w:rPr>
          <w:rFonts w:ascii="Times New Roman" w:hAnsi="Times New Roman"/>
          <w:b w:val="0"/>
          <w:i/>
          <w:sz w:val="28"/>
          <w:szCs w:val="28"/>
        </w:rPr>
      </w:pPr>
      <w:r>
        <w:rPr>
          <w:rFonts w:ascii="Times New Roman" w:hAnsi="Times New Roman"/>
          <w:b w:val="0"/>
          <w:i/>
          <w:sz w:val="28"/>
        </w:rPr>
        <w:t>ΣΧΕΔΙΟ</w:t>
      </w:r>
    </w:p>
    <w:p w:rsidR="001D1DE1" w:rsidRPr="000027DE" w:rsidRDefault="001D1DE1" w:rsidP="001D1DE1">
      <w:pPr>
        <w:rPr>
          <w:rFonts w:ascii="Times New Roman" w:hAnsi="Times New Roman"/>
          <w:sz w:val="28"/>
          <w:szCs w:val="28"/>
        </w:rPr>
      </w:pPr>
    </w:p>
    <w:p w:rsidR="001D1DE1" w:rsidRPr="000027DE" w:rsidRDefault="001D1DE1" w:rsidP="001D1DE1">
      <w:pPr>
        <w:pStyle w:val="BodyText"/>
        <w:jc w:val="center"/>
        <w:rPr>
          <w:b/>
          <w:sz w:val="28"/>
          <w:szCs w:val="28"/>
        </w:rPr>
      </w:pPr>
      <w:r>
        <w:rPr>
          <w:b/>
          <w:sz w:val="28"/>
        </w:rPr>
        <w:t>ΥΠΟΥΡΓΙΚΟ ΣΥΜΒΟΥΛΙΟ ΤΗΣ ΔΗΜΟΚΡΑΤΙΑΣ ΤΗΣ ΛΕΤΟΝΙΑΣ</w:t>
      </w:r>
    </w:p>
    <w:p w:rsidR="001D1DE1" w:rsidRPr="000027DE" w:rsidRDefault="001D1DE1" w:rsidP="001D1DE1">
      <w:pPr>
        <w:pStyle w:val="BodyText"/>
        <w:rPr>
          <w:b/>
          <w:sz w:val="28"/>
          <w:szCs w:val="28"/>
        </w:rPr>
      </w:pPr>
    </w:p>
    <w:p w:rsidR="001D1DE1" w:rsidRDefault="001D1DE1" w:rsidP="001D1DE1">
      <w:pPr>
        <w:pStyle w:val="BodyText"/>
        <w:tabs>
          <w:tab w:val="clear" w:pos="6804"/>
          <w:tab w:val="right" w:pos="8931"/>
        </w:tabs>
        <w:rPr>
          <w:sz w:val="28"/>
          <w:szCs w:val="28"/>
        </w:rPr>
      </w:pPr>
      <w:r>
        <w:rPr>
          <w:sz w:val="28"/>
        </w:rPr>
        <w:t>[ημέρα] [μήνας] 2018</w:t>
      </w:r>
      <w:r>
        <w:rPr>
          <w:sz w:val="28"/>
        </w:rPr>
        <w:tab/>
        <w:t xml:space="preserve"> Κανονισμός αριθ.</w:t>
      </w:r>
    </w:p>
    <w:p w:rsidR="001D1DE1" w:rsidRPr="000027DE" w:rsidRDefault="001D1DE1" w:rsidP="001D1DE1">
      <w:pPr>
        <w:pStyle w:val="BodyText"/>
        <w:tabs>
          <w:tab w:val="clear" w:pos="6804"/>
          <w:tab w:val="right" w:pos="8931"/>
        </w:tabs>
        <w:rPr>
          <w:sz w:val="28"/>
          <w:szCs w:val="28"/>
        </w:rPr>
      </w:pPr>
      <w:r>
        <w:rPr>
          <w:sz w:val="28"/>
        </w:rPr>
        <w:t>Ρίγα</w:t>
      </w:r>
      <w:r>
        <w:rPr>
          <w:sz w:val="28"/>
        </w:rPr>
        <w:tab/>
        <w:t>(Πρακτικά αριθ. § [προς συμπλήρωση])</w:t>
      </w:r>
    </w:p>
    <w:p w:rsidR="001D1DE1" w:rsidRPr="000027DE" w:rsidRDefault="001D1DE1" w:rsidP="001D1DE1">
      <w:pPr>
        <w:spacing w:after="0" w:line="240" w:lineRule="auto"/>
        <w:rPr>
          <w:rFonts w:ascii="Times New Roman" w:hAnsi="Times New Roman"/>
          <w:b/>
          <w:sz w:val="28"/>
          <w:szCs w:val="28"/>
        </w:rPr>
      </w:pPr>
    </w:p>
    <w:p w:rsidR="001D1DE1" w:rsidRPr="000027DE" w:rsidRDefault="001D1DE1" w:rsidP="001D1DE1">
      <w:pPr>
        <w:spacing w:after="0" w:line="240" w:lineRule="auto"/>
        <w:rPr>
          <w:rFonts w:ascii="Times New Roman" w:hAnsi="Times New Roman"/>
          <w:b/>
          <w:sz w:val="28"/>
          <w:szCs w:val="28"/>
        </w:rPr>
      </w:pPr>
    </w:p>
    <w:p w:rsidR="001D1DE1" w:rsidRPr="000027DE" w:rsidRDefault="001D1DE1" w:rsidP="001D1DE1">
      <w:pPr>
        <w:spacing w:after="0" w:line="240" w:lineRule="auto"/>
        <w:jc w:val="center"/>
        <w:rPr>
          <w:rFonts w:ascii="Times New Roman" w:eastAsia="Times New Roman" w:hAnsi="Times New Roman"/>
          <w:b/>
          <w:sz w:val="28"/>
          <w:szCs w:val="28"/>
        </w:rPr>
      </w:pPr>
      <w:r>
        <w:rPr>
          <w:rFonts w:ascii="Times New Roman" w:hAnsi="Times New Roman"/>
          <w:b/>
          <w:sz w:val="28"/>
        </w:rPr>
        <w:t>Διαδικασία «αποχαρακτηρισμού ως αποβλήτων» υλικών καουτσούκ που προέρχονται από ελαστικά στο τέλος του κύκλου ζωής τους</w:t>
      </w:r>
    </w:p>
    <w:p w:rsidR="001D1DE1" w:rsidRPr="000027DE" w:rsidRDefault="001D1DE1" w:rsidP="001D1DE1">
      <w:pPr>
        <w:spacing w:after="0" w:line="240" w:lineRule="auto"/>
        <w:jc w:val="right"/>
        <w:rPr>
          <w:rFonts w:ascii="Times New Roman" w:eastAsia="Times New Roman" w:hAnsi="Times New Roman"/>
          <w:sz w:val="28"/>
          <w:szCs w:val="28"/>
        </w:rPr>
      </w:pPr>
    </w:p>
    <w:p w:rsidR="001D1DE1" w:rsidRPr="000027DE" w:rsidRDefault="001D1DE1" w:rsidP="001D1DE1">
      <w:pPr>
        <w:keepNext/>
        <w:keepLines/>
        <w:spacing w:before="120" w:after="0" w:line="240" w:lineRule="auto"/>
        <w:jc w:val="right"/>
        <w:rPr>
          <w:rFonts w:ascii="Times New Roman" w:eastAsia="Times New Roman" w:hAnsi="Times New Roman"/>
          <w:sz w:val="28"/>
          <w:szCs w:val="28"/>
        </w:rPr>
      </w:pPr>
      <w:r>
        <w:rPr>
          <w:rFonts w:ascii="Times New Roman" w:hAnsi="Times New Roman"/>
          <w:sz w:val="28"/>
        </w:rPr>
        <w:t xml:space="preserve">Εκδόθηκε σύμφωνα με το </w:t>
      </w:r>
      <w:r>
        <w:br/>
      </w:r>
      <w:r>
        <w:rPr>
          <w:rFonts w:ascii="Times New Roman" w:hAnsi="Times New Roman"/>
          <w:sz w:val="28"/>
        </w:rPr>
        <w:t>Άρθρο 6 (1)</w:t>
      </w:r>
      <w:r>
        <w:rPr>
          <w:rFonts w:ascii="Times New Roman" w:hAnsi="Times New Roman"/>
          <w:sz w:val="28"/>
          <w:vertAlign w:val="superscript"/>
        </w:rPr>
        <w:t>1</w:t>
      </w:r>
      <w:r>
        <w:br/>
      </w:r>
      <w:r>
        <w:rPr>
          <w:rFonts w:ascii="Times New Roman" w:hAnsi="Times New Roman"/>
          <w:sz w:val="28"/>
        </w:rPr>
        <w:t>του νόμου περί διαχείρισης αποβλήτων</w:t>
      </w:r>
    </w:p>
    <w:p w:rsidR="001D1DE1" w:rsidRPr="000027DE" w:rsidRDefault="001D1DE1" w:rsidP="001D1DE1">
      <w:pPr>
        <w:pStyle w:val="ListParagraph"/>
        <w:numPr>
          <w:ilvl w:val="0"/>
          <w:numId w:val="1"/>
        </w:numPr>
        <w:spacing w:before="120"/>
        <w:ind w:left="714" w:hanging="357"/>
        <w:contextualSpacing w:val="0"/>
        <w:jc w:val="both"/>
        <w:rPr>
          <w:rFonts w:ascii="Times New Roman" w:hAnsi="Times New Roman"/>
          <w:sz w:val="28"/>
          <w:szCs w:val="28"/>
        </w:rPr>
      </w:pPr>
      <w:r>
        <w:rPr>
          <w:rFonts w:ascii="Times New Roman" w:hAnsi="Times New Roman"/>
          <w:sz w:val="28"/>
        </w:rPr>
        <w:t>Ο κανονισμός ορίζει τη διαδικασία για τον «αποχαρακτηρισμό ως αποβλήτων» υλικών καουτσούκ που προέρχονται από ελαστικά στο τέλος του κύκλου ζωής τους.</w:t>
      </w:r>
    </w:p>
    <w:p w:rsidR="001D1DE1" w:rsidRPr="000027DE" w:rsidRDefault="001D1DE1" w:rsidP="001D1DE1">
      <w:pPr>
        <w:pStyle w:val="NumPar1"/>
        <w:numPr>
          <w:ilvl w:val="0"/>
          <w:numId w:val="1"/>
        </w:numPr>
        <w:rPr>
          <w:sz w:val="28"/>
          <w:szCs w:val="28"/>
        </w:rPr>
      </w:pPr>
      <w:r>
        <w:rPr>
          <w:sz w:val="28"/>
        </w:rPr>
        <w:t>Κατά την έννοια του παρόντος κανονισμού, δευτερογενείς πρώτες ύλες θεωρούνται υλικά καουτσούκ που προέρχονται από ελαστικά στο τέλος του κύκλου ζωής τους μέσω θραύσης, θρυμματισμού, τεμαχισμού ή συσσωμάτωσης εάν, μετά την επεξεργασία των ελαστικών, αυτά τα ελαστικά προορίζονται για πώληση στην αγορά με σκοπό την περαιτέρω χρήση με ή χωρίς συνδετικές ουσίες και πληρούν όλα τα κριτήρια που αναφέρονται στο παράρτημα 1 του παρόντος κανονισμού.</w:t>
      </w:r>
    </w:p>
    <w:p w:rsidR="001D1DE1" w:rsidRPr="000027DE" w:rsidRDefault="001D1DE1" w:rsidP="001D1DE1">
      <w:pPr>
        <w:pStyle w:val="ListParagraph"/>
        <w:keepNext/>
        <w:keepLines/>
        <w:numPr>
          <w:ilvl w:val="0"/>
          <w:numId w:val="1"/>
        </w:numPr>
        <w:jc w:val="both"/>
        <w:rPr>
          <w:rFonts w:ascii="Times New Roman" w:hAnsi="Times New Roman"/>
          <w:sz w:val="28"/>
          <w:szCs w:val="28"/>
        </w:rPr>
      </w:pPr>
      <w:r>
        <w:rPr>
          <w:rFonts w:ascii="Times New Roman" w:hAnsi="Times New Roman"/>
          <w:sz w:val="28"/>
        </w:rPr>
        <w:t>Οι παρακάτω δευτερογενείς πρώτες ύλες μπορούν να ληφθούν από ελαστικά στο τέλος του κύκλου ζωής τους:</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 xml:space="preserve">Καουτσούκ σε σκόνη: υλικό καουτσούκ που προέρχεται από τη θραύση ελαστικών στο τέλος του κύκλου ζωής τους σε σωματίδια έως 0,8 mm· </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 xml:space="preserve">Συσσωματώματα καουτσούκ: υλικό καουτσούκ που προέρχεται από τη συσσωμάτωση ελαστικών στο τέλος του κύκλου ζωής τους σε σωματίδια μεγέθους 0,9–20 mm· </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 xml:space="preserve">Εδαφοκάλυμμα καουτσούκ: υλικό καουτσούκ που προέρχεται από τον θρυμματισμό, τη θραύση ή τον τεμαχισμό ελαστικών στο τέλος του κύκλου ζωής τους σε σωματίδια μεγέθους 10–50 mm. Επιτρέπεται η πρόσμιξη υφασμάτων· </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 xml:space="preserve">Θρυμματισμένο καουτσούκ: υλικό καουτσούκ που προέρχεται από τον θρυμματισμό, τη θραύση ή τον τεμαχισμό ελαστικών στο τέλος του κύκλου ζωής τους σε σωματίδια μεγέθους από 50 έως 300 mm. Επιτρέπεται η πρόσμιξη υφασμάτων· </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 xml:space="preserve">Αποκόμματα καουτσούκ: υλικό καουτσούκ που προέρχεται από τον θρυμματισμό, τη θραύση ή τον τεμαχισμό ελαστικών στο τέλος του </w:t>
      </w:r>
      <w:r>
        <w:rPr>
          <w:rFonts w:ascii="Times New Roman" w:hAnsi="Times New Roman"/>
          <w:sz w:val="28"/>
        </w:rPr>
        <w:lastRenderedPageBreak/>
        <w:t>κύκλου ζωής τους και τη μετατροπή τους σε άμορφα σωματίδια μεγέθους κυρίως 300 έως 500 mm. Επιτρέπεται η πρόσμιξη μεταλλικών καλωδίων και υφασμάτων.</w:t>
      </w:r>
    </w:p>
    <w:p w:rsidR="001D1DE1" w:rsidRPr="000027DE" w:rsidRDefault="001D1DE1" w:rsidP="001D1DE1">
      <w:pPr>
        <w:pStyle w:val="NumPar1"/>
        <w:keepNext/>
        <w:keepLines/>
        <w:numPr>
          <w:ilvl w:val="0"/>
          <w:numId w:val="1"/>
        </w:numPr>
        <w:rPr>
          <w:sz w:val="28"/>
          <w:szCs w:val="28"/>
        </w:rPr>
      </w:pPr>
      <w:r>
        <w:rPr>
          <w:sz w:val="28"/>
        </w:rPr>
        <w:t>Εάν τα υλικά καουτσούκ χρησιμοποιούνται για τους παρακάτω σκοπούς δεν θεωρούνται δευτερογενείς πρώτες ύλες αλλά απόβλητα:</w:t>
      </w:r>
    </w:p>
    <w:p w:rsidR="001D1DE1" w:rsidRPr="000027DE" w:rsidRDefault="001D1DE1" w:rsidP="001D1DE1">
      <w:pPr>
        <w:pStyle w:val="NumPar1"/>
        <w:numPr>
          <w:ilvl w:val="1"/>
          <w:numId w:val="1"/>
        </w:numPr>
        <w:rPr>
          <w:sz w:val="28"/>
          <w:szCs w:val="28"/>
        </w:rPr>
      </w:pPr>
      <w:r>
        <w:rPr>
          <w:sz w:val="28"/>
        </w:rPr>
        <w:t>καύση, με ή χωρίς ανάκτηση ενέργειας·</w:t>
      </w:r>
    </w:p>
    <w:p w:rsidR="001D1DE1" w:rsidRPr="000027DE" w:rsidRDefault="001D1DE1" w:rsidP="001D1DE1">
      <w:pPr>
        <w:pStyle w:val="NumPar1"/>
        <w:numPr>
          <w:ilvl w:val="1"/>
          <w:numId w:val="1"/>
        </w:numPr>
        <w:rPr>
          <w:sz w:val="28"/>
          <w:szCs w:val="28"/>
        </w:rPr>
      </w:pPr>
      <w:r>
        <w:rPr>
          <w:sz w:val="28"/>
        </w:rPr>
        <w:t>πυρόλυση, πλασμόλυση, αεριοποίηση και άλλες συναφείς τεχνολογικές διαδικασίες στο πλαίσιο των οποίων τροποποιούνται οι φυσικές ή χημικές ιδιότητες των υλικών καουτσούκ·</w:t>
      </w:r>
    </w:p>
    <w:p w:rsidR="001D1DE1" w:rsidRPr="000027DE" w:rsidRDefault="001D1DE1" w:rsidP="001D1DE1">
      <w:pPr>
        <w:pStyle w:val="NumPar1"/>
        <w:numPr>
          <w:ilvl w:val="1"/>
          <w:numId w:val="1"/>
        </w:numPr>
        <w:rPr>
          <w:sz w:val="28"/>
          <w:szCs w:val="28"/>
        </w:rPr>
      </w:pPr>
      <w:r>
        <w:rPr>
          <w:sz w:val="28"/>
        </w:rPr>
        <w:t>απόθεση σε χώρους υγειονομικής ταφής ή αποθήκευση άνω του 1 έτους.</w:t>
      </w:r>
    </w:p>
    <w:p w:rsidR="001D1DE1" w:rsidRPr="000027DE" w:rsidRDefault="001D1DE1" w:rsidP="001D1DE1">
      <w:pPr>
        <w:pStyle w:val="NumPar1"/>
        <w:keepNext/>
        <w:keepLines/>
        <w:numPr>
          <w:ilvl w:val="0"/>
          <w:numId w:val="1"/>
        </w:numPr>
        <w:rPr>
          <w:sz w:val="28"/>
          <w:szCs w:val="28"/>
        </w:rPr>
      </w:pPr>
      <w:r>
        <w:rPr>
          <w:sz w:val="28"/>
        </w:rPr>
        <w:t>Η επιχείρηση επεξεργασίας των ελαστικών στο τέλος του κύκλου ζωής τους θα πρέπει να διασφαλίζει τα εξής:</w:t>
      </w:r>
    </w:p>
    <w:p w:rsidR="001D1DE1" w:rsidRPr="00A87A80" w:rsidRDefault="001D1DE1" w:rsidP="001D1DE1">
      <w:pPr>
        <w:pStyle w:val="NumPar1"/>
        <w:numPr>
          <w:ilvl w:val="1"/>
          <w:numId w:val="1"/>
        </w:numPr>
        <w:rPr>
          <w:rFonts w:eastAsia="宋体"/>
          <w:snapToGrid/>
          <w:sz w:val="28"/>
          <w:szCs w:val="28"/>
        </w:rPr>
      </w:pPr>
      <w:r>
        <w:rPr>
          <w:snapToGrid/>
          <w:sz w:val="28"/>
        </w:rPr>
        <w:t>για κάθε παρτίδα δευτερογενών πρώτων υλών συμπληρώνεται δήλωση συμμόρφωσης των δευτερογενών πρώτων υλών με τα κριτήρια αποχαρακτηρισμού ως αποβλήτων που ορίζονται στο παράρτημα 1 του παρόντος κανονισμού σύμφωνα με το παράρτημα 2 (εφεξής «δήλωση συμμόρφωσης»)·</w:t>
      </w:r>
    </w:p>
    <w:p w:rsidR="001D1DE1" w:rsidRPr="000027DE" w:rsidRDefault="001D1DE1" w:rsidP="001D1DE1">
      <w:pPr>
        <w:pStyle w:val="ListParagraph"/>
        <w:numPr>
          <w:ilvl w:val="1"/>
          <w:numId w:val="1"/>
        </w:numPr>
        <w:jc w:val="both"/>
        <w:rPr>
          <w:rFonts w:ascii="Times New Roman" w:hAnsi="Times New Roman"/>
          <w:sz w:val="28"/>
          <w:szCs w:val="28"/>
        </w:rPr>
      </w:pPr>
      <w:r>
        <w:rPr>
          <w:rFonts w:ascii="Times New Roman" w:hAnsi="Times New Roman"/>
          <w:sz w:val="28"/>
        </w:rPr>
        <w:t>η καταγραφή των ανακυκλώσιμων ελαστικών στο τέλος του κύκλου ζωής τους πραγματοποιείται σύμφωνα με τους ισχύοντες κανόνες και κανονισμούς στα επίσημα έντυπα περιβαλλοντικών στατιστικών στοιχείων·</w:t>
      </w:r>
    </w:p>
    <w:p w:rsidR="001D1DE1" w:rsidRPr="000027DE" w:rsidRDefault="001D1DE1" w:rsidP="001D1DE1">
      <w:pPr>
        <w:pStyle w:val="NumPar1"/>
        <w:numPr>
          <w:ilvl w:val="1"/>
          <w:numId w:val="1"/>
        </w:numPr>
        <w:rPr>
          <w:sz w:val="28"/>
          <w:szCs w:val="28"/>
        </w:rPr>
      </w:pPr>
      <w:r>
        <w:rPr>
          <w:sz w:val="28"/>
        </w:rPr>
        <w:t>κατά τη μεταφορά κάθε παρτίδα δευτερογενών πρώτων υλών συνοδεύεται από το έντυπο της δήλωσης συμμόρφωσης, γεγονός το οποίο επιτρέπει στην περιβαλλοντική υπηρεσία της Λετονίας να απαιτήσει από την επιχείρηση επεξεργασίας ελαστικών στο τέλος του κύκλου ζωής τους να συντάξει το πρωτότυπο της δήλωσης συμμόρφωσης.</w:t>
      </w:r>
    </w:p>
    <w:p w:rsidR="001D1DE1" w:rsidRPr="000027DE" w:rsidRDefault="001D1DE1" w:rsidP="001D1DE1">
      <w:pPr>
        <w:pStyle w:val="NumPar1"/>
        <w:numPr>
          <w:ilvl w:val="0"/>
          <w:numId w:val="1"/>
        </w:numPr>
        <w:rPr>
          <w:sz w:val="28"/>
          <w:szCs w:val="28"/>
        </w:rPr>
      </w:pPr>
      <w:r>
        <w:rPr>
          <w:sz w:val="28"/>
        </w:rPr>
        <w:t>Η επιχείρηση επεξεργασίας ελαστικών στο τέλος του κύκλου ζωής τους θα πρέπει να φυλάσσει τη δήλωση συμμόρφωσης για 5 έτη από την ημερομηνία έκδοσής της και να την προσκομίζει κατόπιν αιτήματος των αρμόδιων αρχών για θέματα διαχείρισης αποβλήτων εντός 10 εργάσιμων ημερών.</w:t>
      </w:r>
    </w:p>
    <w:p w:rsidR="001D1DE1" w:rsidRPr="000027DE" w:rsidRDefault="001D1DE1" w:rsidP="001D1DE1">
      <w:pPr>
        <w:pStyle w:val="NumPar1"/>
        <w:numPr>
          <w:ilvl w:val="0"/>
          <w:numId w:val="1"/>
        </w:numPr>
        <w:rPr>
          <w:sz w:val="28"/>
          <w:szCs w:val="28"/>
        </w:rPr>
      </w:pPr>
      <w:r>
        <w:rPr>
          <w:sz w:val="28"/>
        </w:rPr>
        <w:t>Η δήλωση συμμόρφωσης θα πρέπει να καταρτίζεται ηλεκτρονικά σύμφωνα με τους κανόνες και τους κανονισμούς για τα ηλεκτρονικά έγγραφα.</w:t>
      </w:r>
    </w:p>
    <w:p w:rsidR="001D1DE1" w:rsidRPr="000027DE" w:rsidRDefault="001D1DE1" w:rsidP="001D1DE1">
      <w:pPr>
        <w:pStyle w:val="NumPar1"/>
        <w:numPr>
          <w:ilvl w:val="0"/>
          <w:numId w:val="1"/>
        </w:numPr>
        <w:rPr>
          <w:sz w:val="28"/>
          <w:szCs w:val="28"/>
        </w:rPr>
      </w:pPr>
      <w:r>
        <w:rPr>
          <w:sz w:val="28"/>
        </w:rPr>
        <w:t>Η επιχείρηση επεξεργασίας ελαστικών στο τέλος του κύκλου ζωής τους θα πρέπει να προσαρτά σε κάθε παρτίδα δευτερογενών πρώτων υλών τις τεχνικές προδιαγραφές του προϊόντος.</w:t>
      </w:r>
    </w:p>
    <w:p w:rsidR="001D1DE1" w:rsidRPr="000027DE" w:rsidRDefault="001D1DE1" w:rsidP="001D1DE1">
      <w:pPr>
        <w:pStyle w:val="NumPar1"/>
        <w:numPr>
          <w:ilvl w:val="0"/>
          <w:numId w:val="1"/>
        </w:numPr>
        <w:rPr>
          <w:sz w:val="28"/>
          <w:szCs w:val="28"/>
        </w:rPr>
      </w:pPr>
      <w:r>
        <w:rPr>
          <w:sz w:val="28"/>
        </w:rPr>
        <w:lastRenderedPageBreak/>
        <w:t>Το άτομο που είναι αρμόδιο για την εισαγωγή των δευτερογενών πρώτων υλών στη Λετονία θα πρέπει να διασφαλίζει ότι η επιχείρηση επεξεργασίας ελαστικών στο τέλος του κύκλου ζωής τους προσαρτά σε κάθε παρτίδα δευτερογενών πρώτων υλών δήλωση που περιλαμβάνει πληροφορίες για τις φυσικές και χημικές ιδιότητες της αποστολής και λεπτομέρειες για την επιχείρηση επεξεργασίας ελαστικών στο τέλος του κύκλου ζωής τους.</w:t>
      </w:r>
    </w:p>
    <w:p w:rsidR="001D1DE1" w:rsidRPr="000027DE" w:rsidRDefault="001D1DE1" w:rsidP="001D1DE1">
      <w:pPr>
        <w:pStyle w:val="NumPar1"/>
        <w:numPr>
          <w:ilvl w:val="0"/>
          <w:numId w:val="1"/>
        </w:numPr>
        <w:rPr>
          <w:sz w:val="28"/>
          <w:szCs w:val="28"/>
        </w:rPr>
      </w:pPr>
      <w:r>
        <w:rPr>
          <w:sz w:val="28"/>
        </w:rPr>
        <w:t>Το άτομο που είναι αρμόδιο για την εισαγωγή των δευτερογενών πρώτων υλών στη Λετονία θα πρέπει να φυλάσσει τη δήλωση που αναφέρεται στην παράγραφο 9 του παρόντος κανονισμού για 5 έτη από την ημερομηνία κατάρτισής της και να την προσκομίζει κατόπιν αιτήματος των αρμόδιων αρχών για θέματα διαχείρισης αποβλήτων εντός 10 εργάσιμων ημερών.</w:t>
      </w:r>
    </w:p>
    <w:p w:rsidR="001D1DE1" w:rsidRPr="000027DE" w:rsidRDefault="001D1DE1" w:rsidP="001D1DE1">
      <w:pPr>
        <w:pStyle w:val="NumPar1"/>
        <w:numPr>
          <w:ilvl w:val="0"/>
          <w:numId w:val="1"/>
        </w:numPr>
        <w:rPr>
          <w:sz w:val="28"/>
          <w:szCs w:val="28"/>
        </w:rPr>
      </w:pPr>
      <w:r>
        <w:rPr>
          <w:sz w:val="28"/>
        </w:rPr>
        <w:t>Η επιχείρηση επεξεργασίας ελαστικών στο τέλος του κύκλου ζωής τους θα πρέπει να διασφαλίζει την ιχνηλασιμότητα της επεξεργασίας απορριμμάτων ελαστικών. Η επιχείρηση επεξεργασίας ελαστικών στο τέλος του κύκλου ζωής τους θα πρέπει να τηρεί τις απαιτήσεις του αγοραστή δευτερογενών πρώτων υλών όσον αφορά την ποιότητα και τις φυσικές και χημικές ιδιότητες των δευτερογενών πρώτων υλών.</w:t>
      </w:r>
    </w:p>
    <w:p w:rsidR="001D1DE1" w:rsidRPr="000027DE" w:rsidRDefault="001D1DE1" w:rsidP="001D1DE1">
      <w:pPr>
        <w:pStyle w:val="NumPar1"/>
        <w:keepNext/>
        <w:keepLines/>
        <w:numPr>
          <w:ilvl w:val="0"/>
          <w:numId w:val="1"/>
        </w:numPr>
        <w:rPr>
          <w:sz w:val="28"/>
          <w:szCs w:val="28"/>
        </w:rPr>
      </w:pPr>
      <w:r>
        <w:rPr>
          <w:sz w:val="28"/>
        </w:rPr>
        <w:t>Το σύστημα διαχείρισης ποιότητας θα πρέπει να περιλαμβάνει λεπτομερή περιγραφή της επεξεργασίας ελαστικών στο τέλος του κύκλου ζωής τους όπως αναφέρεται παρακάτω:</w:t>
      </w:r>
    </w:p>
    <w:p w:rsidR="001D1DE1" w:rsidRPr="000027DE" w:rsidRDefault="001D1DE1" w:rsidP="001D1DE1">
      <w:pPr>
        <w:pStyle w:val="NumPar1"/>
        <w:numPr>
          <w:ilvl w:val="1"/>
          <w:numId w:val="1"/>
        </w:numPr>
        <w:rPr>
          <w:sz w:val="28"/>
          <w:szCs w:val="28"/>
        </w:rPr>
      </w:pPr>
      <w:r>
        <w:rPr>
          <w:sz w:val="28"/>
        </w:rPr>
        <w:t>περιγραφή της παρακολούθησης της επεξεργασίας ελαστικών στο τέλος του κύκλου ζωής τους σύμφωνα με το παράρτημα 1 του παρόντος κανονισμού·</w:t>
      </w:r>
    </w:p>
    <w:p w:rsidR="001D1DE1" w:rsidRPr="000027DE" w:rsidRDefault="001D1DE1" w:rsidP="001D1DE1">
      <w:pPr>
        <w:pStyle w:val="NumPar1"/>
        <w:numPr>
          <w:ilvl w:val="1"/>
          <w:numId w:val="1"/>
        </w:numPr>
        <w:rPr>
          <w:sz w:val="28"/>
          <w:szCs w:val="28"/>
        </w:rPr>
      </w:pPr>
      <w:r>
        <w:rPr>
          <w:sz w:val="28"/>
        </w:rPr>
        <w:t>χρησιμοποιούμενες μέθοδοι δειγματοληψίας, φυσικές και χημικές δοκιμές δειγμάτων, επισήμανση των δευτερογενών πρώτων υλών, περιγραφή των διαδικασιών συσκευασίας και αποθήκευσης·</w:t>
      </w:r>
    </w:p>
    <w:p w:rsidR="001D1DE1" w:rsidRPr="000027DE" w:rsidRDefault="001D1DE1" w:rsidP="001D1DE1">
      <w:pPr>
        <w:pStyle w:val="NumPar1"/>
        <w:numPr>
          <w:ilvl w:val="1"/>
          <w:numId w:val="1"/>
        </w:numPr>
        <w:rPr>
          <w:sz w:val="28"/>
          <w:szCs w:val="28"/>
        </w:rPr>
      </w:pPr>
      <w:r>
        <w:rPr>
          <w:sz w:val="28"/>
        </w:rPr>
        <w:t xml:space="preserve">κριτήρια συμμόρφωσης και απόρριψης για τα ελαστικά στο τέλος του κύκλου ζωής τους, είδη μέτρων ελέγχου με σκοπό την αξιολόγηση της συμμόρφωσης των ελαστικών στο τέλος του κύκλου ζωής τους και των τρόπων με τους οποίους τεκμηριώνονται τα αποτελέσματα των μέτρων ελέγχου· </w:t>
      </w:r>
    </w:p>
    <w:p w:rsidR="001D1DE1" w:rsidRPr="000027DE" w:rsidRDefault="001D1DE1" w:rsidP="001D1DE1">
      <w:pPr>
        <w:pStyle w:val="NumPar1"/>
        <w:numPr>
          <w:ilvl w:val="1"/>
          <w:numId w:val="1"/>
        </w:numPr>
        <w:rPr>
          <w:sz w:val="28"/>
          <w:szCs w:val="28"/>
        </w:rPr>
      </w:pPr>
      <w:r>
        <w:rPr>
          <w:sz w:val="28"/>
        </w:rPr>
        <w:t>περιγραφή ολόκληρου του κύκλου επεξεργασίας ελαστικών στο τέλος του κύκλου ζωής τους, συμπεριλαμβανομένης της συνακόλουθης διαχείρισης και αποθήκευσης των αποβλήτων που προκύπτουν·</w:t>
      </w:r>
    </w:p>
    <w:p w:rsidR="001D1DE1" w:rsidRPr="000027DE" w:rsidRDefault="001D1DE1" w:rsidP="001D1DE1">
      <w:pPr>
        <w:pStyle w:val="NumPar1"/>
        <w:numPr>
          <w:ilvl w:val="1"/>
          <w:numId w:val="1"/>
        </w:numPr>
        <w:rPr>
          <w:sz w:val="28"/>
          <w:szCs w:val="28"/>
        </w:rPr>
      </w:pPr>
      <w:r>
        <w:rPr>
          <w:sz w:val="28"/>
        </w:rPr>
        <w:t>κριτήρια συμμόρφωσης της ποιότητας δευτερογενών πρώτων υλών και κριτήρια αυτοελέγχου σύμφωνα με το παράρτημα 1 του παρόντος κανονισμού·</w:t>
      </w:r>
    </w:p>
    <w:p w:rsidR="001D1DE1" w:rsidRPr="000027DE" w:rsidRDefault="001D1DE1" w:rsidP="001D1DE1">
      <w:pPr>
        <w:pStyle w:val="NumPar1"/>
        <w:numPr>
          <w:ilvl w:val="1"/>
          <w:numId w:val="1"/>
        </w:numPr>
        <w:rPr>
          <w:sz w:val="28"/>
          <w:szCs w:val="28"/>
        </w:rPr>
      </w:pPr>
      <w:r>
        <w:rPr>
          <w:sz w:val="28"/>
        </w:rPr>
        <w:t>κατάλογος των εργαζομένων της επιχείρησης επεξεργασίας απορριμμάτων ελαστικών που είναι υπεύθυνοι για το στάδιο επεξεργασίας των ελαστικών στο τέλος του κύκλου ζωής τους·</w:t>
      </w:r>
    </w:p>
    <w:p w:rsidR="001D1DE1" w:rsidRPr="000027DE" w:rsidRDefault="001D1DE1" w:rsidP="001D1DE1">
      <w:pPr>
        <w:pStyle w:val="NumPar1"/>
        <w:numPr>
          <w:ilvl w:val="1"/>
          <w:numId w:val="1"/>
        </w:numPr>
        <w:rPr>
          <w:sz w:val="28"/>
          <w:szCs w:val="28"/>
        </w:rPr>
      </w:pPr>
      <w:r>
        <w:rPr>
          <w:sz w:val="28"/>
        </w:rPr>
        <w:lastRenderedPageBreak/>
        <w:t>δυνητικός όγκος της επεξεργασίας ελαστικών στο τέλος του κύκλου ζωής τους.</w:t>
      </w:r>
    </w:p>
    <w:p w:rsidR="001D1DE1" w:rsidRPr="000027DE" w:rsidRDefault="001D1DE1" w:rsidP="001D1DE1">
      <w:pPr>
        <w:pStyle w:val="NumPar1"/>
        <w:numPr>
          <w:ilvl w:val="0"/>
          <w:numId w:val="1"/>
        </w:numPr>
        <w:snapToGrid w:val="0"/>
        <w:rPr>
          <w:sz w:val="28"/>
          <w:szCs w:val="28"/>
        </w:rPr>
      </w:pPr>
      <w:r>
        <w:rPr>
          <w:sz w:val="28"/>
        </w:rPr>
        <w:t>Η επιχείρηση επεξεργασίας ελαστικών στο τέλος του κύκλου ζωής τους θα πρέπει να τηρεί τις πληροφορίες σχετικά με την επεξεργασία ελαστικών στο τέλος του κύκλου ζωής τους που ορίζονται στην παράγραφο 12 του παρόντος κανονισμού για 5 έτη μετά την αποδοχή της σχετικής παρτίδας των δευτερογενών πρώτων υλών.</w:t>
      </w:r>
    </w:p>
    <w:p w:rsidR="001D1DE1" w:rsidRPr="000027DE" w:rsidRDefault="001D1DE1" w:rsidP="001D1DE1">
      <w:pPr>
        <w:pStyle w:val="NumPar1"/>
        <w:numPr>
          <w:ilvl w:val="0"/>
          <w:numId w:val="1"/>
        </w:numPr>
        <w:snapToGrid w:val="0"/>
        <w:rPr>
          <w:sz w:val="28"/>
          <w:szCs w:val="28"/>
        </w:rPr>
      </w:pPr>
      <w:r>
        <w:rPr>
          <w:sz w:val="28"/>
        </w:rPr>
        <w:t>Η επιχείρηση επεξεργασίας ελαστικών στο τέλος του κύκλου ζωής τους θα πρέπει να διενεργεί αναθεώρηση του συστήματος διαχείρισης ποιότητας ετησίως αλλά και κάθε φορά που πραγματοποιούνται σημαντικές αλλαγές στις τεχνολογικές διαδικασίες των δευτερογενών πρώτων υλών ή όταν τροποποιούνται οι φυσικές ή χημικές ιδιότητες των δευτερογενών πρώτων υλών.</w:t>
      </w:r>
    </w:p>
    <w:p w:rsidR="001D1DE1" w:rsidRPr="000027DE" w:rsidRDefault="001D1DE1" w:rsidP="001D1DE1">
      <w:pPr>
        <w:pStyle w:val="NumPar1"/>
        <w:numPr>
          <w:ilvl w:val="0"/>
          <w:numId w:val="1"/>
        </w:numPr>
        <w:rPr>
          <w:sz w:val="28"/>
          <w:szCs w:val="28"/>
        </w:rPr>
      </w:pPr>
      <w:r>
        <w:rPr>
          <w:sz w:val="28"/>
        </w:rPr>
        <w:t>Κατόπιν αιτήματος των αρμόδιων αρχών για θέματα διαχείρισης αποβλήτων, η</w:t>
      </w:r>
      <w:r w:rsidR="009532F4">
        <w:rPr>
          <w:sz w:val="28"/>
        </w:rPr>
        <w:t xml:space="preserve"> </w:t>
      </w:r>
      <w:r>
        <w:rPr>
          <w:sz w:val="28"/>
        </w:rPr>
        <w:t>επιχείρηση επεξεργασίας ελαστικών στο τέλος του κύκλου ζωής τους ή το άτομο που είναι αρμόδιο για την εισαγωγή των δευτερογενών πρώτων υλών στη Λετονία θα πρέπει να παρέχει πρόσβαση σε όλους τους χώρους, τις εγκαταστάσεις και τα έγγραφα που σχετίζονται με την επεξεργασία και αποθήκευση των ελαστικών στο τέλος του κύκλου ζωής τους με σκοπό την αξιολόγηση της συμμόρφωσής τους με τις απαιτήσεις του παρόντος κανονισμού.</w:t>
      </w:r>
    </w:p>
    <w:p w:rsidR="001D1DE1" w:rsidRPr="000027DE" w:rsidRDefault="001D1DE1" w:rsidP="001D1DE1">
      <w:pPr>
        <w:pStyle w:val="NumPar1"/>
        <w:numPr>
          <w:ilvl w:val="0"/>
          <w:numId w:val="1"/>
        </w:numPr>
        <w:rPr>
          <w:sz w:val="28"/>
          <w:szCs w:val="28"/>
        </w:rPr>
      </w:pPr>
      <w:r>
        <w:rPr>
          <w:sz w:val="28"/>
        </w:rPr>
        <w:t>Η επιχείρηση επεξεργασίας ελαστικών στο τέλος του κύκλου ζωής τους θα πρέπει να ενημερώνει τον αγοραστή δευτερογενών πρώτων υλών ότι τα ελαστικά στο τέλος του κύκλου ζωής τους υποβάλλονται σε επεξεργασία σύμφωνα με το σύστημα διαχείρισης ποιότητας.</w:t>
      </w:r>
    </w:p>
    <w:p w:rsidR="001D1DE1" w:rsidRPr="000027DE" w:rsidRDefault="001D1DE1" w:rsidP="001D1DE1">
      <w:pPr>
        <w:pStyle w:val="NumPar1"/>
        <w:numPr>
          <w:ilvl w:val="0"/>
          <w:numId w:val="1"/>
        </w:numPr>
        <w:snapToGrid w:val="0"/>
        <w:rPr>
          <w:sz w:val="28"/>
          <w:szCs w:val="28"/>
        </w:rPr>
      </w:pPr>
      <w:r>
        <w:rPr>
          <w:sz w:val="28"/>
        </w:rPr>
        <w:t>Εάν, κατά την εισαγωγή υλικών καουτσούκ που προέρχονται από ελαστικά στο τέλος του κύκλου ζωής τους από άλλες χώρες, οι αρμόδιες αρχές της χώρας αποστολής και της χώρας προορισμού δεν συμφωνούν ως προς την ταξινόμηση του υλικού καουτσούκ, θα ισχύει το άρθρο 28 παράγραφος 1 του κανονισμού (ΕΚ) αριθ. 1013/2006 του Ευρωπαϊκού Κοινοβουλίου και του Συμβουλίου της 14ης Ιουνίου 2006 για τις μεταφορές αποβλήτων.</w:t>
      </w:r>
    </w:p>
    <w:p w:rsidR="001D1DE1" w:rsidRPr="00AF72FA" w:rsidRDefault="001D1DE1" w:rsidP="001D1DE1">
      <w:pPr>
        <w:keepNext/>
        <w:keepLines/>
        <w:pageBreakBefore/>
        <w:spacing w:after="0" w:line="240" w:lineRule="auto"/>
        <w:jc w:val="right"/>
        <w:rPr>
          <w:rFonts w:ascii="Times New Roman" w:hAnsi="Times New Roman"/>
          <w:sz w:val="28"/>
          <w:szCs w:val="28"/>
        </w:rPr>
      </w:pPr>
      <w:r>
        <w:rPr>
          <w:rFonts w:ascii="Times New Roman" w:hAnsi="Times New Roman"/>
          <w:sz w:val="28"/>
        </w:rPr>
        <w:lastRenderedPageBreak/>
        <w:t>Παράρτημα 1</w:t>
      </w:r>
      <w:r>
        <w:br/>
      </w:r>
      <w:r>
        <w:rPr>
          <w:rFonts w:ascii="Times New Roman" w:hAnsi="Times New Roman"/>
          <w:sz w:val="28"/>
        </w:rPr>
        <w:t xml:space="preserve">του κυβερνητικού </w:t>
      </w:r>
      <w:r>
        <w:br/>
      </w:r>
      <w:r>
        <w:rPr>
          <w:rFonts w:ascii="Times New Roman" w:hAnsi="Times New Roman"/>
          <w:sz w:val="28"/>
        </w:rPr>
        <w:t>κανονισμού αριθ. .....</w:t>
      </w:r>
      <w:r>
        <w:br/>
      </w:r>
      <w:r>
        <w:rPr>
          <w:rFonts w:ascii="Times New Roman" w:hAnsi="Times New Roman"/>
          <w:sz w:val="28"/>
        </w:rPr>
        <w:t>της [ημέρα] [μήνας] 2018</w:t>
      </w:r>
    </w:p>
    <w:p w:rsidR="001D1DE1" w:rsidRPr="00B45A62" w:rsidRDefault="001D1DE1" w:rsidP="001D1DE1">
      <w:pPr>
        <w:keepNext/>
        <w:keepLines/>
        <w:jc w:val="center"/>
        <w:rPr>
          <w:rFonts w:ascii="Times New Roman" w:hAnsi="Times New Roman"/>
          <w:b/>
          <w:sz w:val="28"/>
          <w:szCs w:val="28"/>
        </w:rPr>
      </w:pPr>
    </w:p>
    <w:p w:rsidR="001D1DE1" w:rsidRPr="00B45A62" w:rsidRDefault="001D1DE1" w:rsidP="001D1DE1">
      <w:pPr>
        <w:keepNext/>
        <w:keepLines/>
        <w:jc w:val="center"/>
        <w:rPr>
          <w:rFonts w:ascii="Times New Roman" w:hAnsi="Times New Roman"/>
          <w:b/>
          <w:sz w:val="28"/>
          <w:szCs w:val="28"/>
        </w:rPr>
      </w:pPr>
      <w:r>
        <w:rPr>
          <w:rFonts w:ascii="Times New Roman" w:hAnsi="Times New Roman"/>
          <w:b/>
          <w:sz w:val="28"/>
        </w:rPr>
        <w:t>Κριτήρια «αποχαρακτηρισμού ως αποβλήτων» υλικών καουτσούκ που προέρχονται από ελαστικά στο τέλος του κύκλου ζωής τους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973"/>
      </w:tblGrid>
      <w:tr w:rsidR="001D1DE1" w:rsidRPr="00C02523" w:rsidTr="001D1DE1">
        <w:tc>
          <w:tcPr>
            <w:tcW w:w="2806" w:type="pct"/>
            <w:tcBorders>
              <w:top w:val="single" w:sz="4" w:space="0" w:color="auto"/>
              <w:left w:val="single" w:sz="4" w:space="0" w:color="auto"/>
              <w:bottom w:val="single" w:sz="4" w:space="0" w:color="auto"/>
              <w:right w:val="single" w:sz="4" w:space="0" w:color="auto"/>
            </w:tcBorders>
            <w:shd w:val="clear" w:color="auto" w:fill="auto"/>
          </w:tcPr>
          <w:p w:rsidR="001D1DE1" w:rsidRPr="002632C2" w:rsidRDefault="001D1DE1" w:rsidP="001D1DE1">
            <w:pPr>
              <w:pStyle w:val="ListParagraph"/>
              <w:keepNext/>
              <w:keepLines/>
              <w:spacing w:before="60" w:after="60"/>
              <w:ind w:left="360" w:hanging="360"/>
              <w:jc w:val="center"/>
              <w:rPr>
                <w:rFonts w:ascii="Times New Roman" w:hAnsi="Times New Roman"/>
                <w:sz w:val="28"/>
                <w:szCs w:val="28"/>
              </w:rPr>
            </w:pPr>
            <w:r>
              <w:rPr>
                <w:rFonts w:ascii="Times New Roman" w:hAnsi="Times New Roman"/>
                <w:sz w:val="28"/>
              </w:rPr>
              <w:t>Κριτήρια αποχαρακτηρισμού ως αποβλήτων</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1D1DE1" w:rsidRPr="00C02523" w:rsidRDefault="001D1DE1" w:rsidP="001D1DE1">
            <w:pPr>
              <w:keepNext/>
              <w:keepLines/>
              <w:spacing w:before="60" w:after="60" w:line="240" w:lineRule="auto"/>
              <w:jc w:val="center"/>
              <w:rPr>
                <w:rFonts w:ascii="Times New Roman" w:hAnsi="Times New Roman"/>
                <w:sz w:val="28"/>
                <w:szCs w:val="28"/>
              </w:rPr>
            </w:pPr>
            <w:r>
              <w:rPr>
                <w:rFonts w:ascii="Times New Roman" w:hAnsi="Times New Roman"/>
                <w:sz w:val="28"/>
              </w:rPr>
              <w:t>Κριτήρια αυτοελέγχου</w:t>
            </w:r>
          </w:p>
        </w:tc>
      </w:tr>
      <w:tr w:rsidR="001D1DE1" w:rsidRPr="00C02523" w:rsidTr="001D1DE1">
        <w:tc>
          <w:tcPr>
            <w:tcW w:w="2806" w:type="pct"/>
            <w:tcBorders>
              <w:top w:val="single" w:sz="4" w:space="0" w:color="auto"/>
              <w:left w:val="single" w:sz="4" w:space="0" w:color="auto"/>
              <w:bottom w:val="single" w:sz="4" w:space="0" w:color="auto"/>
              <w:right w:val="single" w:sz="4" w:space="0" w:color="auto"/>
            </w:tcBorders>
            <w:shd w:val="clear" w:color="auto" w:fill="auto"/>
          </w:tcPr>
          <w:p w:rsidR="001D1DE1" w:rsidRPr="002632C2" w:rsidRDefault="001D1DE1" w:rsidP="001D1DE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Απαιτήσεις ποιότητας για υλικά καουτσούκ που προέρχονται από ελαστικά στο τέλος του κύκλου ζωής τους μέσω μηχανικής επεξεργασίας:</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δεν διαθέτουν επικίνδυνες ιδιότητες που αναφέρονται στον κανονισμό (ΕΕ) αριθ. 1357/2014 της Επιτροπής της 18ης Δεκεμβρίου 2014 για την αντικατάσταση του παραρτήματος ΙΙΙ της οδηγίας 2008/98/ΕΚ του Ευρωπαϊκού Κοινοβουλίου και του Συμβουλίου για τα απόβλητα και την κατάργηση ορισμένων οδηγιών, και δεν υπερβαίνουν τα όρια συγκέντρωσης που ορίζονται στο παράρτημα IV του κανονισμού (ΕΚ) αριθ. 850/2004 του Ευρωπαϊκού Κοινοβουλίου και του Συμβουλίου της 29ης Απριλίου 2004 για τους έµµονους οργανικούς ρύπους και την τροποποίηση της οδηγίας 79/117/ΕΟΚ·</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τηρούν τους περιορισμούς του άρθρου 50 του παραρτήματος XVII του κανονισμού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w:t>
            </w:r>
            <w:r>
              <w:rPr>
                <w:rFonts w:ascii="Times New Roman" w:hAnsi="Times New Roman"/>
                <w:sz w:val="28"/>
              </w:rPr>
              <w:lastRenderedPageBreak/>
              <w:t>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δεν περιέχουν σημαντικές ποσότητες ελαίων και λιπαντικών·</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πραγματοποιείται διαχωρισμός και ποσοτικός προσδιορισμός ανάλογα με το είδος/μέγεθος.</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lastRenderedPageBreak/>
              <w:t>Η ποιότητα των υλικών καουτσούκ αξιολογείται με:</w:t>
            </w:r>
          </w:p>
          <w:p w:rsidR="001D1DE1" w:rsidRPr="002632C2" w:rsidRDefault="001D1DE1" w:rsidP="001D1DE1">
            <w:pPr>
              <w:pStyle w:val="ListParagraph"/>
              <w:numPr>
                <w:ilvl w:val="0"/>
                <w:numId w:val="9"/>
              </w:numPr>
              <w:spacing w:before="60" w:after="60" w:line="240" w:lineRule="auto"/>
              <w:ind w:left="458"/>
              <w:jc w:val="both"/>
              <w:rPr>
                <w:rFonts w:ascii="Times New Roman" w:eastAsia="Cambria" w:hAnsi="Times New Roman"/>
                <w:sz w:val="28"/>
                <w:szCs w:val="28"/>
              </w:rPr>
            </w:pPr>
            <w:r>
              <w:rPr>
                <w:rFonts w:ascii="Times New Roman" w:hAnsi="Times New Roman"/>
                <w:sz w:val="28"/>
              </w:rPr>
              <w:t>οπτικό έλεγχο,</w:t>
            </w:r>
          </w:p>
          <w:p w:rsidR="001D1DE1" w:rsidRPr="002632C2" w:rsidRDefault="001D1DE1" w:rsidP="001D1DE1">
            <w:pPr>
              <w:pStyle w:val="ListParagraph"/>
              <w:numPr>
                <w:ilvl w:val="0"/>
                <w:numId w:val="9"/>
              </w:numPr>
              <w:spacing w:before="60" w:after="60" w:line="240" w:lineRule="auto"/>
              <w:ind w:left="458"/>
              <w:jc w:val="both"/>
              <w:rPr>
                <w:rFonts w:ascii="Times New Roman" w:eastAsia="Cambria" w:hAnsi="Times New Roman"/>
                <w:sz w:val="28"/>
                <w:szCs w:val="28"/>
              </w:rPr>
            </w:pPr>
            <w:r>
              <w:rPr>
                <w:rFonts w:ascii="Times New Roman" w:hAnsi="Times New Roman"/>
                <w:sz w:val="28"/>
              </w:rPr>
              <w:t xml:space="preserve">φυσικές και χημικές ιδιότητες: μέσω εκθέσεων εργαστηριακών δοκιμών, συμπεριλαμβανομένων αυτών που καλύπτονται από τις τεχνικές προδιαγραφές των αγοραστών δευτερογενών πρώτων υλών. Κατόπιν αιτήματος του αγοραστή δευτερογενών πρώτων υλών, μπορούν να διενεργηθούν άλλες δοκιμές σύμφωνα με τις επιπρόσθετες προδιαγραφές του αγοραστή δευτερογενών πρώτων υλών. </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Για κάθε είδος δευτερογενών πρώτων υλών που προέρχονται από ελαστικά στο τέλος του κύκλου ζωής τους θα πρέπει να διενεργείται δοκιμή αντιπροσωπευτικών δειγμάτων.</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 xml:space="preserve">Τα αντιπροσωπευτικά δείγματα θα πρέπει να λαμβάνονται σύμφωνα με τη διαδικασία δειγματοληψίας που υπάγεται και περιγράφεται λεπτομερώς στο σύστημα διαχείρισης ποιότητας </w:t>
            </w:r>
            <w:r>
              <w:rPr>
                <w:rFonts w:ascii="Times New Roman" w:hAnsi="Times New Roman"/>
                <w:sz w:val="28"/>
              </w:rPr>
              <w:lastRenderedPageBreak/>
              <w:t>(χρησιμοποιούμενες μέθοδοι δειγματοληψίας, συχνότητα δειγματοληψίας, μέγεθος, είδος και αριθμός δειγμάτων, στατιστική ανάλυση κ.λπ.).</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Οι φυσικές και χημικές ιδιότητες θα πρέπει να υποβάλλονται σε δοκιμή σε εργαστήριο.</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Τα κριτήρια συμμόρφωσης των δευτερογενών πρώτων υλών που ορίζονται στην παράγραφο 1 του παραρτήματος θα πρέπει να θεσπίζονται και να περιγράφονται στο πλαίσιο του συστήματος διαχείρισης ποιότητας που εφαρμόζεται.</w:t>
            </w:r>
          </w:p>
        </w:tc>
      </w:tr>
      <w:tr w:rsidR="001D1DE1" w:rsidRPr="00C02523" w:rsidTr="001D1DE1">
        <w:tc>
          <w:tcPr>
            <w:tcW w:w="2806" w:type="pct"/>
            <w:tcBorders>
              <w:top w:val="single" w:sz="4" w:space="0" w:color="auto"/>
              <w:left w:val="single" w:sz="4" w:space="0" w:color="auto"/>
              <w:bottom w:val="single" w:sz="4" w:space="0" w:color="auto"/>
              <w:right w:val="single" w:sz="4" w:space="0" w:color="auto"/>
            </w:tcBorders>
            <w:shd w:val="clear" w:color="auto" w:fill="auto"/>
          </w:tcPr>
          <w:p w:rsidR="001D1DE1" w:rsidRPr="002632C2" w:rsidRDefault="001D1DE1" w:rsidP="001D1DE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lastRenderedPageBreak/>
              <w:t>Απαιτήσεις για απόβλητα τα οποία πρέπει να ανακυκλώνονται προκειμένου να μετατρέπονται σε δευτερογενείς πρώτες ύλες:</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μπορούν να χρησιμοποιούνται μόνο ελαστικά στο τέλος του κύκλου ζωής τους που ταξινομούνται ως επικίνδυνα απόβλητα και διαθέτουν τις ιδιότητες τους σύμφωνα με τους κανόνες και τους κανονισμούς· </w:t>
            </w:r>
          </w:p>
          <w:p w:rsidR="001D1DE1" w:rsidRPr="002632C2" w:rsidRDefault="001D1DE1" w:rsidP="001D1DE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δεν μπορούν να χρησιμοποιούνται ελαστικά στο τέλος του κύκλου ζωής τους που έχουν μολυνθεί με επικίνδυνες ουσίες ή επικίνδυνα απόβλητα.</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Η ποιότητα των υλικών καουτσούκ θα πρέπει να αξιολογείται με οπτική επιθεώρηση.</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Οι ποσότητες των ληφθέντων και επεξεργασθέντων ελαστικών στο τέλος του κύκλου ζωής θα πρέπει να καταγράφονται σύμφωνα με τους ισχύοντες κανόνες και κανονισμούς στα επίσημα έντυπα περιβαλλοντικών στατιστικών στοιχείων.</w:t>
            </w:r>
          </w:p>
        </w:tc>
      </w:tr>
      <w:tr w:rsidR="001D1DE1" w:rsidRPr="00C02523" w:rsidTr="001D1DE1">
        <w:tc>
          <w:tcPr>
            <w:tcW w:w="2806" w:type="pct"/>
            <w:tcBorders>
              <w:top w:val="single" w:sz="4" w:space="0" w:color="auto"/>
              <w:left w:val="single" w:sz="4" w:space="0" w:color="auto"/>
              <w:bottom w:val="single" w:sz="4" w:space="0" w:color="auto"/>
              <w:right w:val="single" w:sz="4" w:space="0" w:color="auto"/>
            </w:tcBorders>
            <w:shd w:val="clear" w:color="auto" w:fill="auto"/>
          </w:tcPr>
          <w:p w:rsidR="001D1DE1" w:rsidRPr="002632C2" w:rsidRDefault="001D1DE1" w:rsidP="001D1DE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Τα ελαστικά στο τέλος του κύκλου ζωής τους θα πρέπει να υποβάλλονται στην παρακάτω επεξεργασία:</w:t>
            </w:r>
          </w:p>
          <w:p w:rsidR="001D1DE1" w:rsidRPr="002632C2" w:rsidRDefault="001D1DE1" w:rsidP="001D1DE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3.1. θα πρέπει να απομακρύνονται ξένα αντικείμενα όπως πέτρες, μεταλλικά μέρη και κατακερματισμένα υλικά·</w:t>
            </w:r>
          </w:p>
          <w:p w:rsidR="001D1DE1" w:rsidRPr="002632C2" w:rsidRDefault="001D1DE1" w:rsidP="001D1DE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3.2. οι χρησιμοποιούμενες μέθοδοι και διαδικασίες δεν θα πρέπει να επιβαρύνουν το περιβάλλον·</w:t>
            </w:r>
          </w:p>
          <w:p w:rsidR="001D1DE1" w:rsidRPr="002632C2" w:rsidRDefault="001D1DE1" w:rsidP="001D1DE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lastRenderedPageBreak/>
              <w:t>3.3. θα πρέπει να τηρούνται οι κανόνες και κανονισμοί σχετικά με τη διαχείριση και των χειρισμό αποβλήτων.</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lastRenderedPageBreak/>
              <w:t>Τα ελαστικά θα πρέπει να καθαρίζονται με μηχανικά ή χειροκίνητα μέσα.</w:t>
            </w:r>
          </w:p>
        </w:tc>
      </w:tr>
    </w:tbl>
    <w:p w:rsidR="001D1DE1" w:rsidRPr="00AF72FA" w:rsidRDefault="001D1DE1" w:rsidP="001D1DE1">
      <w:pPr>
        <w:keepNext/>
        <w:keepLines/>
        <w:pageBreakBefore/>
        <w:spacing w:after="0" w:line="240" w:lineRule="auto"/>
        <w:jc w:val="right"/>
        <w:rPr>
          <w:rFonts w:ascii="Times New Roman" w:hAnsi="Times New Roman"/>
          <w:sz w:val="28"/>
          <w:szCs w:val="28"/>
        </w:rPr>
      </w:pPr>
      <w:r>
        <w:rPr>
          <w:rFonts w:ascii="Times New Roman" w:hAnsi="Times New Roman"/>
          <w:sz w:val="28"/>
        </w:rPr>
        <w:lastRenderedPageBreak/>
        <w:t>Παράρτημα 2</w:t>
      </w:r>
      <w:r>
        <w:br/>
      </w:r>
      <w:r>
        <w:rPr>
          <w:rFonts w:ascii="Times New Roman" w:hAnsi="Times New Roman"/>
          <w:sz w:val="28"/>
        </w:rPr>
        <w:t xml:space="preserve">του κυβερνητικού </w:t>
      </w:r>
      <w:r>
        <w:br/>
      </w:r>
      <w:r>
        <w:rPr>
          <w:rFonts w:ascii="Times New Roman" w:hAnsi="Times New Roman"/>
          <w:sz w:val="28"/>
        </w:rPr>
        <w:t>κανονισμού αριθ. ....</w:t>
      </w:r>
      <w:r>
        <w:br/>
      </w:r>
      <w:r>
        <w:rPr>
          <w:rFonts w:ascii="Times New Roman" w:hAnsi="Times New Roman"/>
          <w:sz w:val="28"/>
        </w:rPr>
        <w:t>της [ημέρα] [μήνας] 2018</w:t>
      </w:r>
    </w:p>
    <w:p w:rsidR="001D1DE1" w:rsidRDefault="001D1DE1" w:rsidP="001D1DE1">
      <w:pPr>
        <w:keepNext/>
        <w:keepLines/>
        <w:spacing w:after="120" w:line="240" w:lineRule="auto"/>
        <w:jc w:val="center"/>
        <w:rPr>
          <w:rFonts w:ascii="Times New Roman" w:hAnsi="Times New Roman"/>
          <w:sz w:val="28"/>
          <w:szCs w:val="28"/>
        </w:rPr>
      </w:pPr>
    </w:p>
    <w:p w:rsidR="001D1DE1" w:rsidRDefault="001D1DE1" w:rsidP="001D1DE1">
      <w:pPr>
        <w:keepNext/>
        <w:keepLines/>
        <w:spacing w:after="120" w:line="240" w:lineRule="auto"/>
        <w:jc w:val="center"/>
        <w:rPr>
          <w:rFonts w:ascii="Times New Roman" w:hAnsi="Times New Roman"/>
          <w:b/>
          <w:sz w:val="28"/>
          <w:szCs w:val="28"/>
        </w:rPr>
      </w:pPr>
      <w:r>
        <w:rPr>
          <w:rFonts w:ascii="Times New Roman" w:hAnsi="Times New Roman"/>
          <w:b/>
          <w:sz w:val="28"/>
        </w:rPr>
        <w:t>Δήλωση σύμφωνα με την οποία οι δευτερογενείς πρώτες ύλες πληρούν τα κριτήρια αποχαρακτηρισμού ως αποβλήτων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162"/>
      </w:tblGrid>
      <w:tr w:rsidR="001D1DE1" w:rsidRPr="00C02523" w:rsidTr="001D1DE1">
        <w:trPr>
          <w:cantSplit/>
        </w:trPr>
        <w:tc>
          <w:tcPr>
            <w:tcW w:w="493" w:type="pct"/>
            <w:vMerge w:val="restar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1.</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Στοιχεία της επιχείρησης επεξεργασίας ελαστικών στο τέλος του κύκλου ζωής τους:</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Επωνυμία νομικού προσώπου:</w:t>
            </w:r>
          </w:p>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Αριθ. καταχώρισης:</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Διεύθυνση γραφείων:</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Καταστατική έδρα:</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Στοιχεία επικοινωνίας:</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Τηλέφωνο:</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Διεύθυνση ηλεκτρονικού ταχυδρομείου:</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2.</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Οι τεχνικές απαιτήσεις που ορίζονται στις τεχνικές προδιαγραφές του αγοραστή δευτερογενών πρώτων υλών, όπως σύνθεση, μέγεθος, προσμίξεις, φυσικές και χημικές ιδιότητες κ.λπ. (προσδιορίστε τις τεχνικές απαιτήσεις):</w:t>
            </w:r>
          </w:p>
          <w:p w:rsidR="001D1DE1" w:rsidRPr="00C02523" w:rsidRDefault="001D1DE1" w:rsidP="001D1DE1">
            <w:pPr>
              <w:spacing w:before="60" w:after="60" w:line="240" w:lineRule="auto"/>
              <w:jc w:val="both"/>
              <w:rPr>
                <w:rFonts w:ascii="Times New Roman" w:hAnsi="Times New Roman"/>
                <w:sz w:val="28"/>
                <w:szCs w:val="28"/>
              </w:rPr>
            </w:pPr>
          </w:p>
          <w:p w:rsidR="001D1DE1" w:rsidRPr="00C02523" w:rsidRDefault="001D1DE1" w:rsidP="001D1DE1">
            <w:pPr>
              <w:spacing w:before="60" w:after="60" w:line="240" w:lineRule="auto"/>
              <w:jc w:val="both"/>
              <w:rPr>
                <w:rFonts w:ascii="Times New Roman" w:hAnsi="Times New Roman"/>
                <w:i/>
                <w:sz w:val="28"/>
                <w:szCs w:val="28"/>
              </w:rPr>
            </w:pPr>
            <w:r>
              <w:rPr>
                <w:rFonts w:ascii="Times New Roman" w:hAnsi="Times New Roman"/>
                <w:sz w:val="28"/>
              </w:rPr>
              <w:t>Οι δευτερογενείς πρώτες ύλες που προέρχονται από ελαστικά στο τέλος του κύκλου ζωής τους πληρούν τις απαιτήσεις που ορίζονται στις τεχνικές προδιαγραφές.</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3.</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Μέγεθος αποστολής σε kg:</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4.</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Οι δευτερογενείς πρώτες ύλες που προέρχονται από ελαστικά στο τέλος του κύκλου ζωής τους πληρούν τα κριτήρια αποχαρακτηρισμού ως αποβλήτων.*</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5.</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Η επιχείρηση επεξεργασίας των ελαστικών στο τέλος του κύκλου ζωής τους λειτουργεί σύμφωνα με το σύστημα διαχείρισης ποιότητας.</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6.</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Οι δευτερογενείς πρώτες ύλες που περιλαμβάνονται στην αποστολή προορίζονται για άμεση χρήση μόνο (προσδιορίστε την προοριζόμενη χρήση): __________________</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 xml:space="preserve">7. </w:t>
            </w:r>
          </w:p>
        </w:tc>
        <w:tc>
          <w:tcPr>
            <w:tcW w:w="4507" w:type="pct"/>
            <w:shd w:val="clear" w:color="auto" w:fill="auto"/>
            <w:vAlign w:val="center"/>
          </w:tcPr>
          <w:p w:rsidR="001D1DE1" w:rsidRPr="00C02523" w:rsidRDefault="001D1DE1" w:rsidP="001D1DE1">
            <w:pPr>
              <w:spacing w:after="60" w:line="240" w:lineRule="auto"/>
              <w:jc w:val="both"/>
              <w:rPr>
                <w:rFonts w:ascii="Times New Roman" w:hAnsi="Times New Roman"/>
                <w:sz w:val="28"/>
                <w:szCs w:val="28"/>
              </w:rPr>
            </w:pPr>
            <w:r>
              <w:rPr>
                <w:rFonts w:ascii="Times New Roman" w:hAnsi="Times New Roman"/>
                <w:sz w:val="28"/>
              </w:rPr>
              <w:t>Δήλωση της επιχείρησης επεξεργασίας ελαστικών στο τέλος του κύκλου ζωής τους:</w:t>
            </w:r>
          </w:p>
          <w:p w:rsidR="001D1DE1" w:rsidRPr="00C02523" w:rsidRDefault="001D1DE1" w:rsidP="001D1DE1">
            <w:pPr>
              <w:spacing w:after="60" w:line="240" w:lineRule="auto"/>
              <w:jc w:val="both"/>
              <w:rPr>
                <w:rFonts w:ascii="Times New Roman" w:hAnsi="Times New Roman"/>
                <w:sz w:val="28"/>
                <w:szCs w:val="28"/>
              </w:rPr>
            </w:pPr>
          </w:p>
          <w:p w:rsidR="001D1DE1" w:rsidRPr="00C02523" w:rsidRDefault="001D1DE1" w:rsidP="001D1DE1">
            <w:pPr>
              <w:spacing w:before="60" w:after="0" w:line="240" w:lineRule="auto"/>
              <w:jc w:val="both"/>
              <w:rPr>
                <w:rFonts w:ascii="Times New Roman" w:hAnsi="Times New Roman"/>
                <w:sz w:val="28"/>
                <w:szCs w:val="28"/>
              </w:rPr>
            </w:pPr>
            <w:r>
              <w:rPr>
                <w:rFonts w:ascii="Times New Roman" w:hAnsi="Times New Roman"/>
                <w:sz w:val="28"/>
              </w:rPr>
              <w:t>Επιβεβαιώνω ότι οι πληροφορίες που αναφέρονται στη δήλωση είναι πλήρεις και αληθείς.</w:t>
            </w:r>
          </w:p>
        </w:tc>
      </w:tr>
      <w:tr w:rsidR="001D1DE1" w:rsidRPr="00C02523" w:rsidTr="001D1DE1">
        <w:trPr>
          <w:cantSplit/>
        </w:trPr>
        <w:tc>
          <w:tcPr>
            <w:tcW w:w="493" w:type="pc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lastRenderedPageBreak/>
              <w:t>8.</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Άλλες πληροφορίες:</w:t>
            </w:r>
          </w:p>
          <w:p w:rsidR="001D1DE1" w:rsidRPr="00C02523" w:rsidRDefault="001D1DE1" w:rsidP="001D1DE1">
            <w:pPr>
              <w:spacing w:before="60" w:after="60" w:line="240" w:lineRule="auto"/>
              <w:jc w:val="both"/>
              <w:rPr>
                <w:rFonts w:ascii="Times New Roman" w:hAnsi="Times New Roman"/>
                <w:sz w:val="28"/>
                <w:szCs w:val="28"/>
              </w:rPr>
            </w:pPr>
          </w:p>
        </w:tc>
      </w:tr>
      <w:tr w:rsidR="001D1DE1" w:rsidRPr="00C02523" w:rsidTr="001D1DE1">
        <w:trPr>
          <w:cantSplit/>
        </w:trPr>
        <w:tc>
          <w:tcPr>
            <w:tcW w:w="493" w:type="pct"/>
            <w:vMerge w:val="restart"/>
            <w:shd w:val="clear" w:color="auto" w:fill="auto"/>
          </w:tcPr>
          <w:p w:rsidR="001D1DE1" w:rsidRPr="00C02523" w:rsidRDefault="001D1DE1" w:rsidP="001D1DE1">
            <w:pPr>
              <w:spacing w:before="60" w:after="60" w:line="240" w:lineRule="auto"/>
              <w:rPr>
                <w:rFonts w:ascii="Times New Roman" w:hAnsi="Times New Roman"/>
                <w:sz w:val="28"/>
                <w:szCs w:val="28"/>
              </w:rPr>
            </w:pPr>
            <w:r>
              <w:rPr>
                <w:rFonts w:ascii="Times New Roman" w:hAnsi="Times New Roman"/>
                <w:sz w:val="28"/>
              </w:rPr>
              <w:t>9.</w:t>
            </w: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Εκπρόσωπος του οικονομικού φορέα</w:t>
            </w:r>
          </w:p>
          <w:p w:rsidR="001D1DE1" w:rsidRPr="00B67F94" w:rsidRDefault="001D1DE1" w:rsidP="001D1DE1">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Ονοματεπώνυμο:__________________________</w:t>
            </w:r>
          </w:p>
          <w:p w:rsidR="001D1DE1" w:rsidRPr="00B67F94" w:rsidRDefault="001D1DE1" w:rsidP="001D1DE1">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Θέση, υπογραφή:_________________________</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Ημερομηνία:</w:t>
            </w:r>
          </w:p>
        </w:tc>
      </w:tr>
      <w:tr w:rsidR="001D1DE1" w:rsidRPr="00C02523" w:rsidTr="001D1DE1">
        <w:trPr>
          <w:cantSplit/>
        </w:trPr>
        <w:tc>
          <w:tcPr>
            <w:tcW w:w="493" w:type="pct"/>
            <w:vMerge/>
            <w:shd w:val="clear" w:color="auto" w:fill="auto"/>
          </w:tcPr>
          <w:p w:rsidR="001D1DE1" w:rsidRPr="00C02523" w:rsidRDefault="001D1DE1" w:rsidP="001D1DE1">
            <w:pPr>
              <w:spacing w:before="60" w:after="60" w:line="240" w:lineRule="auto"/>
              <w:rPr>
                <w:rFonts w:ascii="Times New Roman" w:hAnsi="Times New Roman"/>
                <w:sz w:val="28"/>
                <w:szCs w:val="28"/>
              </w:rPr>
            </w:pPr>
          </w:p>
        </w:tc>
        <w:tc>
          <w:tcPr>
            <w:tcW w:w="4507" w:type="pct"/>
            <w:shd w:val="clear" w:color="auto" w:fill="auto"/>
            <w:vAlign w:val="center"/>
          </w:tcPr>
          <w:p w:rsidR="001D1DE1" w:rsidRPr="00C02523" w:rsidRDefault="001D1DE1" w:rsidP="001D1DE1">
            <w:pPr>
              <w:spacing w:before="60" w:after="60" w:line="240" w:lineRule="auto"/>
              <w:jc w:val="both"/>
              <w:rPr>
                <w:rFonts w:ascii="Times New Roman" w:hAnsi="Times New Roman"/>
                <w:sz w:val="28"/>
                <w:szCs w:val="28"/>
              </w:rPr>
            </w:pPr>
            <w:r>
              <w:rPr>
                <w:rFonts w:ascii="Times New Roman" w:hAnsi="Times New Roman"/>
                <w:sz w:val="28"/>
              </w:rPr>
              <w:t>Υπογραφή:</w:t>
            </w:r>
          </w:p>
        </w:tc>
      </w:tr>
    </w:tbl>
    <w:p w:rsidR="001D1DE1" w:rsidRPr="006A4968" w:rsidRDefault="001D1DE1" w:rsidP="001D1DE1">
      <w:pPr>
        <w:jc w:val="both"/>
        <w:rPr>
          <w:rFonts w:ascii="Times New Roman" w:hAnsi="Times New Roman"/>
          <w:i/>
          <w:sz w:val="28"/>
          <w:szCs w:val="28"/>
        </w:rPr>
      </w:pPr>
      <w:r>
        <w:rPr>
          <w:rFonts w:ascii="Times New Roman" w:hAnsi="Times New Roman"/>
          <w:i/>
          <w:sz w:val="24"/>
        </w:rPr>
        <w:t>* Τα κριτήρια ορίζονται στο παράρτημα 1 του κυβερνητικού κανονισμού αριθ. ____ της [ημέρα] [μήνας] 2018 σχετικά με τη διαδικασία για τον «αποχαρακτηρισμό ως αποβλήτων» υλικών καουτσούκ που προέρχονται από ελαστικά στο τέλος του κύκλου ζωής τους και αποτελούν μέρος του συστήματος διαχείρισης ποιότητας της επιχείρησης επεξεργασίας για τα ελαστικά στο τέλος του κύκλου ζωής τους.</w:t>
      </w:r>
    </w:p>
    <w:sectPr w:rsidR="001D1DE1" w:rsidRPr="006A4968" w:rsidSect="001D1DE1">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02" w:rsidRDefault="00BF7C02">
      <w:pPr>
        <w:spacing w:after="0" w:line="240" w:lineRule="auto"/>
      </w:pPr>
      <w:r>
        <w:separator/>
      </w:r>
    </w:p>
  </w:endnote>
  <w:endnote w:type="continuationSeparator" w:id="0">
    <w:p w:rsidR="00BF7C02" w:rsidRDefault="00BF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02" w:rsidRDefault="00BF7C02">
      <w:pPr>
        <w:spacing w:after="0" w:line="240" w:lineRule="auto"/>
      </w:pPr>
      <w:r>
        <w:separator/>
      </w:r>
    </w:p>
  </w:footnote>
  <w:footnote w:type="continuationSeparator" w:id="0">
    <w:p w:rsidR="00BF7C02" w:rsidRDefault="00BF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E1" w:rsidRPr="00BB2301" w:rsidRDefault="001D1DE1">
    <w:pPr>
      <w:pStyle w:val="Header"/>
      <w:jc w:val="center"/>
      <w:rPr>
        <w:rFonts w:ascii="Times New Roman" w:hAnsi="Times New Roman"/>
        <w:sz w:val="24"/>
        <w:szCs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9532F4">
      <w:rPr>
        <w:rFonts w:ascii="Times New Roman" w:hAnsi="Times New Roman"/>
        <w:noProof/>
        <w:sz w:val="24"/>
      </w:rPr>
      <w:t>9</w:t>
    </w:r>
    <w:r>
      <w:rPr>
        <w:rFonts w:ascii="Times New Roman" w:hAnsi="Times New Roman"/>
        <w:sz w:val="24"/>
      </w:rPr>
      <w:fldChar w:fldCharType="end"/>
    </w:r>
  </w:p>
  <w:p w:rsidR="001D1DE1" w:rsidRDefault="001D1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158E2C26">
      <w:start w:val="1"/>
      <w:numFmt w:val="bullet"/>
      <w:lvlText w:val=""/>
      <w:lvlJc w:val="left"/>
      <w:pPr>
        <w:ind w:left="720" w:hanging="360"/>
      </w:pPr>
      <w:rPr>
        <w:rFonts w:ascii="Symbol" w:hAnsi="Symbol" w:hint="default"/>
      </w:rPr>
    </w:lvl>
    <w:lvl w:ilvl="1" w:tplc="243433CC" w:tentative="1">
      <w:start w:val="1"/>
      <w:numFmt w:val="bullet"/>
      <w:lvlText w:val="o"/>
      <w:lvlJc w:val="left"/>
      <w:pPr>
        <w:ind w:left="1440" w:hanging="360"/>
      </w:pPr>
      <w:rPr>
        <w:rFonts w:ascii="Courier New" w:hAnsi="Courier New" w:cs="Courier New" w:hint="default"/>
      </w:rPr>
    </w:lvl>
    <w:lvl w:ilvl="2" w:tplc="60BC684C" w:tentative="1">
      <w:start w:val="1"/>
      <w:numFmt w:val="bullet"/>
      <w:lvlText w:val=""/>
      <w:lvlJc w:val="left"/>
      <w:pPr>
        <w:ind w:left="2160" w:hanging="360"/>
      </w:pPr>
      <w:rPr>
        <w:rFonts w:ascii="Wingdings" w:hAnsi="Wingdings" w:hint="default"/>
      </w:rPr>
    </w:lvl>
    <w:lvl w:ilvl="3" w:tplc="C97C248A" w:tentative="1">
      <w:start w:val="1"/>
      <w:numFmt w:val="bullet"/>
      <w:lvlText w:val=""/>
      <w:lvlJc w:val="left"/>
      <w:pPr>
        <w:ind w:left="2880" w:hanging="360"/>
      </w:pPr>
      <w:rPr>
        <w:rFonts w:ascii="Symbol" w:hAnsi="Symbol" w:hint="default"/>
      </w:rPr>
    </w:lvl>
    <w:lvl w:ilvl="4" w:tplc="4A367802" w:tentative="1">
      <w:start w:val="1"/>
      <w:numFmt w:val="bullet"/>
      <w:lvlText w:val="o"/>
      <w:lvlJc w:val="left"/>
      <w:pPr>
        <w:ind w:left="3600" w:hanging="360"/>
      </w:pPr>
      <w:rPr>
        <w:rFonts w:ascii="Courier New" w:hAnsi="Courier New" w:cs="Courier New" w:hint="default"/>
      </w:rPr>
    </w:lvl>
    <w:lvl w:ilvl="5" w:tplc="4A38CC00" w:tentative="1">
      <w:start w:val="1"/>
      <w:numFmt w:val="bullet"/>
      <w:lvlText w:val=""/>
      <w:lvlJc w:val="left"/>
      <w:pPr>
        <w:ind w:left="4320" w:hanging="360"/>
      </w:pPr>
      <w:rPr>
        <w:rFonts w:ascii="Wingdings" w:hAnsi="Wingdings" w:hint="default"/>
      </w:rPr>
    </w:lvl>
    <w:lvl w:ilvl="6" w:tplc="AD0C58A2" w:tentative="1">
      <w:start w:val="1"/>
      <w:numFmt w:val="bullet"/>
      <w:lvlText w:val=""/>
      <w:lvlJc w:val="left"/>
      <w:pPr>
        <w:ind w:left="5040" w:hanging="360"/>
      </w:pPr>
      <w:rPr>
        <w:rFonts w:ascii="Symbol" w:hAnsi="Symbol" w:hint="default"/>
      </w:rPr>
    </w:lvl>
    <w:lvl w:ilvl="7" w:tplc="9A321992" w:tentative="1">
      <w:start w:val="1"/>
      <w:numFmt w:val="bullet"/>
      <w:lvlText w:val="o"/>
      <w:lvlJc w:val="left"/>
      <w:pPr>
        <w:ind w:left="5760" w:hanging="360"/>
      </w:pPr>
      <w:rPr>
        <w:rFonts w:ascii="Courier New" w:hAnsi="Courier New" w:cs="Courier New" w:hint="default"/>
      </w:rPr>
    </w:lvl>
    <w:lvl w:ilvl="8" w:tplc="74F6A1B4"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5B44A2E4">
      <w:start w:val="1"/>
      <w:numFmt w:val="decimal"/>
      <w:lvlText w:val="%1."/>
      <w:lvlJc w:val="left"/>
      <w:pPr>
        <w:ind w:left="720" w:hanging="360"/>
      </w:pPr>
    </w:lvl>
    <w:lvl w:ilvl="1" w:tplc="96A850C8" w:tentative="1">
      <w:start w:val="1"/>
      <w:numFmt w:val="lowerLetter"/>
      <w:lvlText w:val="%2."/>
      <w:lvlJc w:val="left"/>
      <w:pPr>
        <w:ind w:left="1440" w:hanging="360"/>
      </w:pPr>
    </w:lvl>
    <w:lvl w:ilvl="2" w:tplc="86E21BAC" w:tentative="1">
      <w:start w:val="1"/>
      <w:numFmt w:val="lowerRoman"/>
      <w:lvlText w:val="%3."/>
      <w:lvlJc w:val="right"/>
      <w:pPr>
        <w:ind w:left="2160" w:hanging="180"/>
      </w:pPr>
    </w:lvl>
    <w:lvl w:ilvl="3" w:tplc="022A5AF0" w:tentative="1">
      <w:start w:val="1"/>
      <w:numFmt w:val="decimal"/>
      <w:lvlText w:val="%4."/>
      <w:lvlJc w:val="left"/>
      <w:pPr>
        <w:ind w:left="2880" w:hanging="360"/>
      </w:pPr>
    </w:lvl>
    <w:lvl w:ilvl="4" w:tplc="46CA1E26" w:tentative="1">
      <w:start w:val="1"/>
      <w:numFmt w:val="lowerLetter"/>
      <w:lvlText w:val="%5."/>
      <w:lvlJc w:val="left"/>
      <w:pPr>
        <w:ind w:left="3600" w:hanging="360"/>
      </w:pPr>
    </w:lvl>
    <w:lvl w:ilvl="5" w:tplc="F3443602" w:tentative="1">
      <w:start w:val="1"/>
      <w:numFmt w:val="lowerRoman"/>
      <w:lvlText w:val="%6."/>
      <w:lvlJc w:val="right"/>
      <w:pPr>
        <w:ind w:left="4320" w:hanging="180"/>
      </w:pPr>
    </w:lvl>
    <w:lvl w:ilvl="6" w:tplc="52D4F8C4" w:tentative="1">
      <w:start w:val="1"/>
      <w:numFmt w:val="decimal"/>
      <w:lvlText w:val="%7."/>
      <w:lvlJc w:val="left"/>
      <w:pPr>
        <w:ind w:left="5040" w:hanging="360"/>
      </w:pPr>
    </w:lvl>
    <w:lvl w:ilvl="7" w:tplc="2696A176" w:tentative="1">
      <w:start w:val="1"/>
      <w:numFmt w:val="lowerLetter"/>
      <w:lvlText w:val="%8."/>
      <w:lvlJc w:val="left"/>
      <w:pPr>
        <w:ind w:left="5760" w:hanging="360"/>
      </w:pPr>
    </w:lvl>
    <w:lvl w:ilvl="8" w:tplc="99C6C300"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875AF0D2">
      <w:start w:val="1"/>
      <w:numFmt w:val="lowerLetter"/>
      <w:lvlText w:val="(%1)"/>
      <w:lvlJc w:val="left"/>
      <w:pPr>
        <w:ind w:left="720" w:hanging="360"/>
      </w:pPr>
      <w:rPr>
        <w:rFonts w:hint="default"/>
      </w:rPr>
    </w:lvl>
    <w:lvl w:ilvl="1" w:tplc="4BB48F5A" w:tentative="1">
      <w:start w:val="1"/>
      <w:numFmt w:val="lowerLetter"/>
      <w:lvlText w:val="%2."/>
      <w:lvlJc w:val="left"/>
      <w:pPr>
        <w:ind w:left="1440" w:hanging="360"/>
      </w:pPr>
    </w:lvl>
    <w:lvl w:ilvl="2" w:tplc="FBE0744C" w:tentative="1">
      <w:start w:val="1"/>
      <w:numFmt w:val="lowerRoman"/>
      <w:lvlText w:val="%3."/>
      <w:lvlJc w:val="right"/>
      <w:pPr>
        <w:ind w:left="2160" w:hanging="180"/>
      </w:pPr>
    </w:lvl>
    <w:lvl w:ilvl="3" w:tplc="0212AFBC" w:tentative="1">
      <w:start w:val="1"/>
      <w:numFmt w:val="decimal"/>
      <w:lvlText w:val="%4."/>
      <w:lvlJc w:val="left"/>
      <w:pPr>
        <w:ind w:left="2880" w:hanging="360"/>
      </w:pPr>
    </w:lvl>
    <w:lvl w:ilvl="4" w:tplc="70DAB33E" w:tentative="1">
      <w:start w:val="1"/>
      <w:numFmt w:val="lowerLetter"/>
      <w:lvlText w:val="%5."/>
      <w:lvlJc w:val="left"/>
      <w:pPr>
        <w:ind w:left="3600" w:hanging="360"/>
      </w:pPr>
    </w:lvl>
    <w:lvl w:ilvl="5" w:tplc="E4E82010" w:tentative="1">
      <w:start w:val="1"/>
      <w:numFmt w:val="lowerRoman"/>
      <w:lvlText w:val="%6."/>
      <w:lvlJc w:val="right"/>
      <w:pPr>
        <w:ind w:left="4320" w:hanging="180"/>
      </w:pPr>
    </w:lvl>
    <w:lvl w:ilvl="6" w:tplc="89E0F25E" w:tentative="1">
      <w:start w:val="1"/>
      <w:numFmt w:val="decimal"/>
      <w:lvlText w:val="%7."/>
      <w:lvlJc w:val="left"/>
      <w:pPr>
        <w:ind w:left="5040" w:hanging="360"/>
      </w:pPr>
    </w:lvl>
    <w:lvl w:ilvl="7" w:tplc="C534D284" w:tentative="1">
      <w:start w:val="1"/>
      <w:numFmt w:val="lowerLetter"/>
      <w:lvlText w:val="%8."/>
      <w:lvlJc w:val="left"/>
      <w:pPr>
        <w:ind w:left="5760" w:hanging="360"/>
      </w:pPr>
    </w:lvl>
    <w:lvl w:ilvl="8" w:tplc="8D0C66D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DB56308C">
      <w:start w:val="1"/>
      <w:numFmt w:val="decimal"/>
      <w:lvlText w:val="%1."/>
      <w:lvlJc w:val="left"/>
      <w:pPr>
        <w:ind w:left="360" w:hanging="360"/>
      </w:pPr>
    </w:lvl>
    <w:lvl w:ilvl="1" w:tplc="B40CADE8" w:tentative="1">
      <w:start w:val="1"/>
      <w:numFmt w:val="lowerLetter"/>
      <w:lvlText w:val="%2."/>
      <w:lvlJc w:val="left"/>
      <w:pPr>
        <w:ind w:left="1080" w:hanging="360"/>
      </w:pPr>
    </w:lvl>
    <w:lvl w:ilvl="2" w:tplc="51E4EDBE" w:tentative="1">
      <w:start w:val="1"/>
      <w:numFmt w:val="lowerRoman"/>
      <w:lvlText w:val="%3."/>
      <w:lvlJc w:val="right"/>
      <w:pPr>
        <w:ind w:left="1800" w:hanging="180"/>
      </w:pPr>
    </w:lvl>
    <w:lvl w:ilvl="3" w:tplc="566E2C2E" w:tentative="1">
      <w:start w:val="1"/>
      <w:numFmt w:val="decimal"/>
      <w:lvlText w:val="%4."/>
      <w:lvlJc w:val="left"/>
      <w:pPr>
        <w:ind w:left="2520" w:hanging="360"/>
      </w:pPr>
    </w:lvl>
    <w:lvl w:ilvl="4" w:tplc="63FE6AD6" w:tentative="1">
      <w:start w:val="1"/>
      <w:numFmt w:val="lowerLetter"/>
      <w:lvlText w:val="%5."/>
      <w:lvlJc w:val="left"/>
      <w:pPr>
        <w:ind w:left="3240" w:hanging="360"/>
      </w:pPr>
    </w:lvl>
    <w:lvl w:ilvl="5" w:tplc="31FAAFE4" w:tentative="1">
      <w:start w:val="1"/>
      <w:numFmt w:val="lowerRoman"/>
      <w:lvlText w:val="%6."/>
      <w:lvlJc w:val="right"/>
      <w:pPr>
        <w:ind w:left="3960" w:hanging="180"/>
      </w:pPr>
    </w:lvl>
    <w:lvl w:ilvl="6" w:tplc="5274B39E" w:tentative="1">
      <w:start w:val="1"/>
      <w:numFmt w:val="decimal"/>
      <w:lvlText w:val="%7."/>
      <w:lvlJc w:val="left"/>
      <w:pPr>
        <w:ind w:left="4680" w:hanging="360"/>
      </w:pPr>
    </w:lvl>
    <w:lvl w:ilvl="7" w:tplc="514AF9E8" w:tentative="1">
      <w:start w:val="1"/>
      <w:numFmt w:val="lowerLetter"/>
      <w:lvlText w:val="%8."/>
      <w:lvlJc w:val="left"/>
      <w:pPr>
        <w:ind w:left="5400" w:hanging="360"/>
      </w:pPr>
    </w:lvl>
    <w:lvl w:ilvl="8" w:tplc="D9344086"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82D25C28">
      <w:start w:val="1"/>
      <w:numFmt w:val="upperRoman"/>
      <w:lvlText w:val="%1."/>
      <w:lvlJc w:val="left"/>
      <w:pPr>
        <w:ind w:left="1080" w:hanging="720"/>
      </w:pPr>
      <w:rPr>
        <w:rFonts w:hint="default"/>
      </w:rPr>
    </w:lvl>
    <w:lvl w:ilvl="1" w:tplc="0638E76E" w:tentative="1">
      <w:start w:val="1"/>
      <w:numFmt w:val="lowerLetter"/>
      <w:lvlText w:val="%2."/>
      <w:lvlJc w:val="left"/>
      <w:pPr>
        <w:ind w:left="1440" w:hanging="360"/>
      </w:pPr>
    </w:lvl>
    <w:lvl w:ilvl="2" w:tplc="270C6DA0" w:tentative="1">
      <w:start w:val="1"/>
      <w:numFmt w:val="lowerRoman"/>
      <w:lvlText w:val="%3."/>
      <w:lvlJc w:val="right"/>
      <w:pPr>
        <w:ind w:left="2160" w:hanging="180"/>
      </w:pPr>
    </w:lvl>
    <w:lvl w:ilvl="3" w:tplc="EE0CD35C" w:tentative="1">
      <w:start w:val="1"/>
      <w:numFmt w:val="decimal"/>
      <w:lvlText w:val="%4."/>
      <w:lvlJc w:val="left"/>
      <w:pPr>
        <w:ind w:left="2880" w:hanging="360"/>
      </w:pPr>
    </w:lvl>
    <w:lvl w:ilvl="4" w:tplc="1F8228F4" w:tentative="1">
      <w:start w:val="1"/>
      <w:numFmt w:val="lowerLetter"/>
      <w:lvlText w:val="%5."/>
      <w:lvlJc w:val="left"/>
      <w:pPr>
        <w:ind w:left="3600" w:hanging="360"/>
      </w:pPr>
    </w:lvl>
    <w:lvl w:ilvl="5" w:tplc="94FA9F36" w:tentative="1">
      <w:start w:val="1"/>
      <w:numFmt w:val="lowerRoman"/>
      <w:lvlText w:val="%6."/>
      <w:lvlJc w:val="right"/>
      <w:pPr>
        <w:ind w:left="4320" w:hanging="180"/>
      </w:pPr>
    </w:lvl>
    <w:lvl w:ilvl="6" w:tplc="53BCE610" w:tentative="1">
      <w:start w:val="1"/>
      <w:numFmt w:val="decimal"/>
      <w:lvlText w:val="%7."/>
      <w:lvlJc w:val="left"/>
      <w:pPr>
        <w:ind w:left="5040" w:hanging="360"/>
      </w:pPr>
    </w:lvl>
    <w:lvl w:ilvl="7" w:tplc="AB986C1E" w:tentative="1">
      <w:start w:val="1"/>
      <w:numFmt w:val="lowerLetter"/>
      <w:lvlText w:val="%8."/>
      <w:lvlJc w:val="left"/>
      <w:pPr>
        <w:ind w:left="5760" w:hanging="360"/>
      </w:pPr>
    </w:lvl>
    <w:lvl w:ilvl="8" w:tplc="19089C64"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604CB154">
      <w:start w:val="1"/>
      <w:numFmt w:val="bullet"/>
      <w:lvlText w:val=""/>
      <w:lvlJc w:val="left"/>
      <w:pPr>
        <w:ind w:left="720" w:hanging="360"/>
      </w:pPr>
      <w:rPr>
        <w:rFonts w:ascii="Symbol" w:hAnsi="Symbol" w:hint="default"/>
      </w:rPr>
    </w:lvl>
    <w:lvl w:ilvl="1" w:tplc="8BB05342" w:tentative="1">
      <w:start w:val="1"/>
      <w:numFmt w:val="bullet"/>
      <w:lvlText w:val="o"/>
      <w:lvlJc w:val="left"/>
      <w:pPr>
        <w:ind w:left="1440" w:hanging="360"/>
      </w:pPr>
      <w:rPr>
        <w:rFonts w:ascii="Courier New" w:hAnsi="Courier New" w:cs="Courier New" w:hint="default"/>
      </w:rPr>
    </w:lvl>
    <w:lvl w:ilvl="2" w:tplc="9D8EFFF4" w:tentative="1">
      <w:start w:val="1"/>
      <w:numFmt w:val="bullet"/>
      <w:lvlText w:val=""/>
      <w:lvlJc w:val="left"/>
      <w:pPr>
        <w:ind w:left="2160" w:hanging="360"/>
      </w:pPr>
      <w:rPr>
        <w:rFonts w:ascii="Wingdings" w:hAnsi="Wingdings" w:hint="default"/>
      </w:rPr>
    </w:lvl>
    <w:lvl w:ilvl="3" w:tplc="CBCE2AD2" w:tentative="1">
      <w:start w:val="1"/>
      <w:numFmt w:val="bullet"/>
      <w:lvlText w:val=""/>
      <w:lvlJc w:val="left"/>
      <w:pPr>
        <w:ind w:left="2880" w:hanging="360"/>
      </w:pPr>
      <w:rPr>
        <w:rFonts w:ascii="Symbol" w:hAnsi="Symbol" w:hint="default"/>
      </w:rPr>
    </w:lvl>
    <w:lvl w:ilvl="4" w:tplc="27461E88" w:tentative="1">
      <w:start w:val="1"/>
      <w:numFmt w:val="bullet"/>
      <w:lvlText w:val="o"/>
      <w:lvlJc w:val="left"/>
      <w:pPr>
        <w:ind w:left="3600" w:hanging="360"/>
      </w:pPr>
      <w:rPr>
        <w:rFonts w:ascii="Courier New" w:hAnsi="Courier New" w:cs="Courier New" w:hint="default"/>
      </w:rPr>
    </w:lvl>
    <w:lvl w:ilvl="5" w:tplc="C4EC469E" w:tentative="1">
      <w:start w:val="1"/>
      <w:numFmt w:val="bullet"/>
      <w:lvlText w:val=""/>
      <w:lvlJc w:val="left"/>
      <w:pPr>
        <w:ind w:left="4320" w:hanging="360"/>
      </w:pPr>
      <w:rPr>
        <w:rFonts w:ascii="Wingdings" w:hAnsi="Wingdings" w:hint="default"/>
      </w:rPr>
    </w:lvl>
    <w:lvl w:ilvl="6" w:tplc="A304592E" w:tentative="1">
      <w:start w:val="1"/>
      <w:numFmt w:val="bullet"/>
      <w:lvlText w:val=""/>
      <w:lvlJc w:val="left"/>
      <w:pPr>
        <w:ind w:left="5040" w:hanging="360"/>
      </w:pPr>
      <w:rPr>
        <w:rFonts w:ascii="Symbol" w:hAnsi="Symbol" w:hint="default"/>
      </w:rPr>
    </w:lvl>
    <w:lvl w:ilvl="7" w:tplc="C3BC8DAA" w:tentative="1">
      <w:start w:val="1"/>
      <w:numFmt w:val="bullet"/>
      <w:lvlText w:val="o"/>
      <w:lvlJc w:val="left"/>
      <w:pPr>
        <w:ind w:left="5760" w:hanging="360"/>
      </w:pPr>
      <w:rPr>
        <w:rFonts w:ascii="Courier New" w:hAnsi="Courier New" w:cs="Courier New" w:hint="default"/>
      </w:rPr>
    </w:lvl>
    <w:lvl w:ilvl="8" w:tplc="44F4D73A"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tplc="FC12C9F6">
      <w:start w:val="6"/>
      <w:numFmt w:val="decimal"/>
      <w:lvlText w:val="%1."/>
      <w:lvlJc w:val="left"/>
      <w:pPr>
        <w:ind w:left="720" w:hanging="360"/>
      </w:pPr>
      <w:rPr>
        <w:rFonts w:hint="default"/>
      </w:rPr>
    </w:lvl>
    <w:lvl w:ilvl="1" w:tplc="80386220" w:tentative="1">
      <w:start w:val="1"/>
      <w:numFmt w:val="lowerLetter"/>
      <w:lvlText w:val="%2."/>
      <w:lvlJc w:val="left"/>
      <w:pPr>
        <w:ind w:left="1440" w:hanging="360"/>
      </w:pPr>
    </w:lvl>
    <w:lvl w:ilvl="2" w:tplc="C494E952" w:tentative="1">
      <w:start w:val="1"/>
      <w:numFmt w:val="lowerRoman"/>
      <w:lvlText w:val="%3."/>
      <w:lvlJc w:val="right"/>
      <w:pPr>
        <w:ind w:left="2160" w:hanging="180"/>
      </w:pPr>
    </w:lvl>
    <w:lvl w:ilvl="3" w:tplc="7584B484" w:tentative="1">
      <w:start w:val="1"/>
      <w:numFmt w:val="decimal"/>
      <w:lvlText w:val="%4."/>
      <w:lvlJc w:val="left"/>
      <w:pPr>
        <w:ind w:left="2880" w:hanging="360"/>
      </w:pPr>
    </w:lvl>
    <w:lvl w:ilvl="4" w:tplc="CC986484" w:tentative="1">
      <w:start w:val="1"/>
      <w:numFmt w:val="lowerLetter"/>
      <w:lvlText w:val="%5."/>
      <w:lvlJc w:val="left"/>
      <w:pPr>
        <w:ind w:left="3600" w:hanging="360"/>
      </w:pPr>
    </w:lvl>
    <w:lvl w:ilvl="5" w:tplc="96F48690" w:tentative="1">
      <w:start w:val="1"/>
      <w:numFmt w:val="lowerRoman"/>
      <w:lvlText w:val="%6."/>
      <w:lvlJc w:val="right"/>
      <w:pPr>
        <w:ind w:left="4320" w:hanging="180"/>
      </w:pPr>
    </w:lvl>
    <w:lvl w:ilvl="6" w:tplc="AE742570" w:tentative="1">
      <w:start w:val="1"/>
      <w:numFmt w:val="decimal"/>
      <w:lvlText w:val="%7."/>
      <w:lvlJc w:val="left"/>
      <w:pPr>
        <w:ind w:left="5040" w:hanging="360"/>
      </w:pPr>
    </w:lvl>
    <w:lvl w:ilvl="7" w:tplc="AE709DDE" w:tentative="1">
      <w:start w:val="1"/>
      <w:numFmt w:val="lowerLetter"/>
      <w:lvlText w:val="%8."/>
      <w:lvlJc w:val="left"/>
      <w:pPr>
        <w:ind w:left="5760" w:hanging="360"/>
      </w:pPr>
    </w:lvl>
    <w:lvl w:ilvl="8" w:tplc="D97ADD4C"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1D1DE1"/>
    <w:rsid w:val="0036076C"/>
    <w:rsid w:val="00724B85"/>
    <w:rsid w:val="009532F4"/>
    <w:rsid w:val="00BA59B3"/>
    <w:rsid w:val="00BF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D213908-61ED-42FD-8B1D-2C920F57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el-GR" w:eastAsia="el-GR"/>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el-GR" w:eastAsia="el-GR"/>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el-GR" w:eastAsia="el-GR"/>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el-GR" w:eastAsia="el-GR"/>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el-GR" w:eastAsia="el-GR"/>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el-GR" w:eastAsia="el-GR"/>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el-GR" w:eastAsia="el-GR"/>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el-GR" w:eastAsia="el-GR"/>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el-GR" w:eastAsia="el-GR"/>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el-GR" w:eastAsia="el-GR"/>
    </w:rPr>
  </w:style>
  <w:style w:type="character" w:styleId="Hyperlink">
    <w:name w:val="Hyperlink"/>
    <w:uiPriority w:val="99"/>
    <w:semiHidden/>
    <w:unhideWhenUsed/>
    <w:rsid w:val="00695329"/>
    <w:rPr>
      <w:color w:val="0000FF"/>
      <w:u w:val="single"/>
      <w:lang w:val="el-GR" w:eastAsia="el-GR"/>
    </w:rPr>
  </w:style>
  <w:style w:type="character" w:styleId="Strong">
    <w:name w:val="Strong"/>
    <w:uiPriority w:val="22"/>
    <w:qFormat/>
    <w:rsid w:val="00695329"/>
    <w:rPr>
      <w:b/>
      <w:bCs/>
      <w:lang w:val="el-GR" w:eastAsia="el-GR"/>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41C7-A174-4F42-B64B-9BF15BED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3</cp:revision>
  <cp:lastPrinted>2018-03-14T11:38:00Z</cp:lastPrinted>
  <dcterms:created xsi:type="dcterms:W3CDTF">2018-05-24T11:35:00Z</dcterms:created>
  <dcterms:modified xsi:type="dcterms:W3CDTF">2018-05-24T13:28:00Z</dcterms:modified>
</cp:coreProperties>
</file>