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CB0B9" w14:textId="3D4F8DD4" w:rsidR="00FF5BB3" w:rsidRDefault="00FF5BB3" w:rsidP="00AF1E99">
      <w:pPr>
        <w:rPr>
          <w:noProof w:val="0"/>
          <w:color w:val="000000"/>
          <w:szCs w:val="28"/>
          <w:lang w:eastAsia="zh-CN"/>
        </w:rPr>
      </w:pPr>
      <w:bookmarkStart w:id="0" w:name="OLE_LINK1"/>
      <w:bookmarkStart w:id="1" w:name="OLE_LINK2"/>
    </w:p>
    <w:p w14:paraId="3000E3B2" w14:textId="2D2BE9CC" w:rsidR="00AF1E9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A81F12" w:rsidRDefault="00AF1E99" w:rsidP="00AF1E99">
      <w:pPr>
        <w:tabs>
          <w:tab w:val="left" w:pos="6663"/>
        </w:tabs>
        <w:rPr>
          <w:b/>
          <w:szCs w:val="28"/>
        </w:rPr>
      </w:pPr>
      <w:r w:rsidRPr="00A81F12">
        <w:rPr>
          <w:szCs w:val="28"/>
        </w:rPr>
        <w:t>202</w:t>
      </w:r>
      <w:r w:rsidR="00833F23">
        <w:rPr>
          <w:szCs w:val="28"/>
        </w:rPr>
        <w:t>1</w:t>
      </w:r>
      <w:r w:rsidRPr="00A81F12">
        <w:rPr>
          <w:szCs w:val="28"/>
        </w:rPr>
        <w:t xml:space="preserve">. gada </w:t>
      </w:r>
      <w:r w:rsidR="00131D26">
        <w:rPr>
          <w:szCs w:val="28"/>
        </w:rPr>
        <w:t>7. janvārī</w:t>
      </w:r>
      <w:r w:rsidRPr="00A81F12">
        <w:rPr>
          <w:szCs w:val="28"/>
        </w:rPr>
        <w:tab/>
        <w:t>Noteikumi Nr.</w:t>
      </w:r>
      <w:r w:rsidR="00131D26">
        <w:rPr>
          <w:szCs w:val="28"/>
        </w:rPr>
        <w:t> 19</w:t>
      </w:r>
    </w:p>
    <w:p w14:paraId="1C495F9E" w14:textId="3C7F2203" w:rsidR="00AF1E99" w:rsidRPr="00A81F12" w:rsidRDefault="00AF1E99" w:rsidP="00AF1E99">
      <w:pPr>
        <w:tabs>
          <w:tab w:val="left" w:pos="6663"/>
        </w:tabs>
        <w:rPr>
          <w:szCs w:val="28"/>
        </w:rPr>
      </w:pPr>
      <w:r w:rsidRPr="00A81F12">
        <w:rPr>
          <w:szCs w:val="28"/>
        </w:rPr>
        <w:t>Rīgā</w:t>
      </w:r>
      <w:r w:rsidRPr="00A81F12">
        <w:rPr>
          <w:szCs w:val="28"/>
        </w:rPr>
        <w:tab/>
        <w:t>(prot. Nr.</w:t>
      </w:r>
      <w:r w:rsidR="00131D26">
        <w:rPr>
          <w:szCs w:val="28"/>
        </w:rPr>
        <w:t> 2 27</w:t>
      </w:r>
      <w:r w:rsidRPr="00A81F12">
        <w:rPr>
          <w:szCs w:val="28"/>
        </w:rPr>
        <w:t>. §)</w:t>
      </w:r>
    </w:p>
    <w:p w14:paraId="38401122" w14:textId="60CB314B" w:rsidR="001463C2" w:rsidRPr="001463C2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Default="00B059EC" w:rsidP="00AF1E99">
      <w:pPr>
        <w:tabs>
          <w:tab w:val="left" w:pos="6804"/>
        </w:tabs>
        <w:jc w:val="center"/>
        <w:rPr>
          <w:noProof w:val="0"/>
          <w:szCs w:val="28"/>
          <w:lang w:eastAsia="lv-LV"/>
        </w:rPr>
      </w:pPr>
      <w:r>
        <w:rPr>
          <w:b/>
          <w:szCs w:val="28"/>
        </w:rPr>
        <w:t>I</w:t>
      </w:r>
      <w:r w:rsidR="008A26AD">
        <w:rPr>
          <w:b/>
          <w:szCs w:val="28"/>
        </w:rPr>
        <w:t>zmantošanai pārtikā aizliegt</w:t>
      </w:r>
      <w:r>
        <w:rPr>
          <w:b/>
          <w:szCs w:val="28"/>
        </w:rPr>
        <w:t>o</w:t>
      </w:r>
      <w:r w:rsidR="008A26AD">
        <w:rPr>
          <w:b/>
          <w:szCs w:val="28"/>
        </w:rPr>
        <w:t xml:space="preserve"> aug</w:t>
      </w:r>
      <w:r>
        <w:rPr>
          <w:b/>
          <w:szCs w:val="28"/>
        </w:rPr>
        <w:t>u</w:t>
      </w:r>
      <w:r w:rsidR="008A26AD">
        <w:rPr>
          <w:b/>
          <w:szCs w:val="28"/>
        </w:rPr>
        <w:t xml:space="preserve"> un augu daļ</w:t>
      </w:r>
      <w:r>
        <w:rPr>
          <w:b/>
          <w:szCs w:val="28"/>
        </w:rPr>
        <w:t>u noteikumi</w:t>
      </w:r>
      <w:r w:rsidR="005205A6">
        <w:rPr>
          <w:b/>
          <w:szCs w:val="28"/>
        </w:rPr>
        <w:t xml:space="preserve"> </w:t>
      </w:r>
    </w:p>
    <w:bookmarkEnd w:id="0"/>
    <w:bookmarkEnd w:id="1"/>
    <w:p w14:paraId="73CBB23A" w14:textId="77777777" w:rsidR="00577306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Izdoti saskaņā ar</w:t>
      </w:r>
    </w:p>
    <w:p w14:paraId="4671D459" w14:textId="77777777" w:rsidR="005205A6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Pārtikas aprites uzraudzības likuma</w:t>
      </w:r>
    </w:p>
    <w:p w14:paraId="7CC31FBA" w14:textId="2BF02A0E" w:rsidR="00124DF3" w:rsidRDefault="005205A6" w:rsidP="00AF1E99">
      <w:pPr>
        <w:pStyle w:val="BodyText2"/>
        <w:spacing w:after="0" w:line="240" w:lineRule="auto"/>
        <w:jc w:val="right"/>
      </w:pPr>
      <w:r>
        <w:t>4.</w:t>
      </w:r>
      <w:r w:rsidR="00577306">
        <w:t> </w:t>
      </w:r>
      <w:r>
        <w:t>panta astoņpadsmito daļu</w:t>
      </w:r>
      <w:r w:rsidR="00124DF3">
        <w:t xml:space="preserve"> </w:t>
      </w:r>
    </w:p>
    <w:p w14:paraId="5BA2ED44" w14:textId="77777777" w:rsidR="004B3C2F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Default="00DB4BD3" w:rsidP="00AF1E99">
      <w:pPr>
        <w:ind w:firstLine="709"/>
        <w:jc w:val="both"/>
        <w:rPr>
          <w:szCs w:val="28"/>
          <w:lang w:eastAsia="fr-FR"/>
        </w:rPr>
      </w:pPr>
      <w:r>
        <w:rPr>
          <w:color w:val="000000"/>
          <w:szCs w:val="28"/>
          <w:lang w:eastAsia="fr-FR"/>
        </w:rPr>
        <w:t>1.</w:t>
      </w:r>
      <w:r w:rsidR="0026237A">
        <w:rPr>
          <w:color w:val="000000"/>
          <w:szCs w:val="28"/>
          <w:lang w:eastAsia="fr-FR"/>
        </w:rPr>
        <w:t> </w:t>
      </w:r>
      <w:r>
        <w:rPr>
          <w:color w:val="000000"/>
          <w:szCs w:val="28"/>
          <w:lang w:eastAsia="fr-FR"/>
        </w:rPr>
        <w:t xml:space="preserve">Noteikumi nosaka </w:t>
      </w:r>
      <w:r>
        <w:rPr>
          <w:szCs w:val="28"/>
        </w:rPr>
        <w:t>izmantošanai pārtikā aizliegtos augus un augu daļas</w:t>
      </w:r>
      <w:r w:rsidR="000703D3" w:rsidRPr="000703D3">
        <w:rPr>
          <w:szCs w:val="28"/>
          <w:lang w:eastAsia="fr-FR"/>
        </w:rPr>
        <w:t xml:space="preserve"> </w:t>
      </w:r>
      <w:r w:rsidR="0026237A">
        <w:rPr>
          <w:szCs w:val="28"/>
          <w:lang w:eastAsia="fr-FR"/>
        </w:rPr>
        <w:t>(</w:t>
      </w:r>
      <w:r w:rsidR="000703D3">
        <w:rPr>
          <w:szCs w:val="28"/>
        </w:rPr>
        <w:t>pielikum</w:t>
      </w:r>
      <w:r w:rsidR="0026237A">
        <w:rPr>
          <w:szCs w:val="28"/>
        </w:rPr>
        <w:t>s)</w:t>
      </w:r>
      <w:r w:rsidR="000703D3">
        <w:rPr>
          <w:szCs w:val="28"/>
        </w:rPr>
        <w:t>.</w:t>
      </w:r>
      <w:r>
        <w:rPr>
          <w:szCs w:val="28"/>
        </w:rPr>
        <w:t xml:space="preserve"> </w:t>
      </w:r>
    </w:p>
    <w:p w14:paraId="70B59111" w14:textId="77777777" w:rsidR="00DB4BD3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 w:rsidRPr="00D5156C">
        <w:rPr>
          <w:bCs/>
          <w:color w:val="000000" w:themeColor="text1"/>
          <w:szCs w:val="28"/>
        </w:rPr>
        <w:t>2.</w:t>
      </w:r>
      <w:r w:rsidR="0026237A">
        <w:rPr>
          <w:bCs/>
          <w:color w:val="000000" w:themeColor="text1"/>
          <w:szCs w:val="28"/>
        </w:rPr>
        <w:t> </w:t>
      </w:r>
      <w:r w:rsidR="00CC708B" w:rsidRPr="00D5156C">
        <w:rPr>
          <w:color w:val="000000" w:themeColor="text1"/>
          <w:szCs w:val="28"/>
          <w:shd w:val="clear" w:color="auto" w:fill="FFFFFF"/>
        </w:rPr>
        <w:t xml:space="preserve">Pārtiku, </w:t>
      </w:r>
      <w:r w:rsidR="00945C13" w:rsidRPr="00D5156C">
        <w:rPr>
          <w:color w:val="000000" w:themeColor="text1"/>
          <w:szCs w:val="28"/>
          <w:shd w:val="clear" w:color="auto" w:fill="FFFFFF"/>
        </w:rPr>
        <w:t>kura tiek likumīgi tirgota citā</w:t>
      </w:r>
      <w:r w:rsidR="0026237A">
        <w:rPr>
          <w:color w:val="000000" w:themeColor="text1"/>
          <w:szCs w:val="28"/>
          <w:shd w:val="clear" w:color="auto" w:fill="FFFFFF"/>
        </w:rPr>
        <w:t xml:space="preserve"> </w:t>
      </w:r>
      <w:r w:rsidR="00945C13" w:rsidRPr="00D5156C">
        <w:rPr>
          <w:rStyle w:val="highlight"/>
          <w:rFonts w:eastAsia="Calibri"/>
          <w:color w:val="000000" w:themeColor="text1"/>
          <w:szCs w:val="28"/>
        </w:rPr>
        <w:t>Eiropas Savienības dalībvalstī vai Turcijā</w:t>
      </w:r>
      <w:r w:rsidR="0026237A">
        <w:rPr>
          <w:color w:val="000000" w:themeColor="text1"/>
          <w:szCs w:val="28"/>
          <w:shd w:val="clear" w:color="auto" w:fill="FFFFFF"/>
        </w:rPr>
        <w:t xml:space="preserve"> </w:t>
      </w:r>
      <w:r w:rsidR="00945C13" w:rsidRPr="00D5156C">
        <w:rPr>
          <w:color w:val="000000" w:themeColor="text1"/>
          <w:szCs w:val="28"/>
          <w:shd w:val="clear" w:color="auto" w:fill="FFFFFF"/>
        </w:rPr>
        <w:t xml:space="preserve">vai kuras izcelsme ir un kuru likumīgi tirgo kādā no Eiropas Brīvās tirdzniecības asociācijas valstīm, kas ir Eiropas Ekonomikas zonas līguma līgumslēdzēja puse, ir </w:t>
      </w:r>
      <w:r w:rsidR="00CC708B" w:rsidRPr="00D5156C">
        <w:rPr>
          <w:color w:val="000000" w:themeColor="text1"/>
          <w:szCs w:val="28"/>
          <w:shd w:val="clear" w:color="auto" w:fill="FFFFFF"/>
        </w:rPr>
        <w:t xml:space="preserve">tiesības izplatīt Latvijas tirgū, </w:t>
      </w:r>
      <w:r w:rsidR="00945C13" w:rsidRPr="00D5156C">
        <w:rPr>
          <w:color w:val="000000" w:themeColor="text1"/>
          <w:szCs w:val="28"/>
          <w:shd w:val="clear" w:color="auto" w:fill="FFFFFF"/>
        </w:rPr>
        <w:t>ievērojot tieši piemērojamos Eiropas Savienības tiesību aktos minētos noteikumus par preču savstarpēju atzīšanu</w:t>
      </w:r>
      <w:r w:rsidR="00124DF3">
        <w:rPr>
          <w:color w:val="000000" w:themeColor="text1"/>
          <w:szCs w:val="28"/>
          <w:shd w:val="clear" w:color="auto" w:fill="FFFFFF"/>
        </w:rPr>
        <w:t>.</w:t>
      </w:r>
    </w:p>
    <w:p w14:paraId="74735A9B" w14:textId="77777777" w:rsidR="002E10FC" w:rsidRPr="00CC708B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Default="00DB4BD3" w:rsidP="00AF1E99">
      <w:pPr>
        <w:jc w:val="center"/>
        <w:rPr>
          <w:b/>
        </w:rPr>
      </w:pPr>
      <w:r>
        <w:rPr>
          <w:b/>
        </w:rPr>
        <w:t>Informatīva atsauce uz Eiropas Savienības direktīvu</w:t>
      </w:r>
    </w:p>
    <w:p w14:paraId="1582B57D" w14:textId="77777777" w:rsidR="00DB4BD3" w:rsidRDefault="00DB4BD3" w:rsidP="00AF1E99">
      <w:pPr>
        <w:jc w:val="center"/>
      </w:pPr>
    </w:p>
    <w:p w14:paraId="527944F1" w14:textId="6221EA53" w:rsidR="00DB4BD3" w:rsidRDefault="00DB4BD3" w:rsidP="00AF1E99">
      <w:pPr>
        <w:ind w:firstLine="709"/>
        <w:jc w:val="both"/>
      </w:pPr>
      <w:r>
        <w:t>Tiesību normas saskaņotas ar Eiropas Komisiju un Eiropas Savienības dalībvalstīm atbilstoši Eiropas Parlamenta un Padomes 2015. gada 9. septembra Direktīvai (ES)</w:t>
      </w:r>
      <w:r w:rsidR="000703D3">
        <w:t> </w:t>
      </w:r>
      <w:r>
        <w:t>2015/1535, ar ko nosaka informācijas sniegšanas kārtību tehnisko noteikumu un Informācijas sabiedrības pakalpojumu noteikumu jomā.</w:t>
      </w:r>
    </w:p>
    <w:p w14:paraId="1156A4CD" w14:textId="77777777" w:rsidR="00DB4BD3" w:rsidRDefault="00DB4BD3" w:rsidP="00AF1E99">
      <w:pPr>
        <w:ind w:firstLine="709"/>
        <w:jc w:val="both"/>
      </w:pPr>
    </w:p>
    <w:p w14:paraId="43FCF861" w14:textId="76E40D53" w:rsidR="00DB4BD3" w:rsidRDefault="00DB4BD3" w:rsidP="00AF1E99">
      <w:pPr>
        <w:ind w:firstLine="709"/>
        <w:jc w:val="both"/>
      </w:pPr>
    </w:p>
    <w:p w14:paraId="25E016ED" w14:textId="77777777" w:rsidR="00AF1E99" w:rsidRDefault="00AF1E99" w:rsidP="00AF1E99">
      <w:pPr>
        <w:ind w:firstLine="709"/>
        <w:jc w:val="both"/>
      </w:pPr>
    </w:p>
    <w:p w14:paraId="36422527" w14:textId="77777777" w:rsidR="00AF1E99" w:rsidRPr="00DE283C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Ministru prezidents</w:t>
      </w:r>
      <w:r>
        <w:rPr>
          <w:rFonts w:ascii="Times New Roman" w:hAnsi="Times New Roman"/>
          <w:color w:val="auto"/>
          <w:sz w:val="28"/>
          <w:lang w:val="de-DE"/>
        </w:rPr>
        <w:tab/>
      </w:r>
      <w:r>
        <w:rPr>
          <w:rFonts w:ascii="Times New Roman" w:eastAsia="Calibri" w:hAnsi="Times New Roman"/>
          <w:sz w:val="28"/>
          <w:lang w:val="de-DE"/>
        </w:rPr>
        <w:t>A. </w:t>
      </w:r>
      <w:r w:rsidRPr="00DE283C">
        <w:rPr>
          <w:rFonts w:ascii="Times New Roman" w:hAnsi="Times New Roman"/>
          <w:color w:val="auto"/>
          <w:sz w:val="28"/>
          <w:lang w:val="de-DE"/>
        </w:rPr>
        <w:t>K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Kariņš</w:t>
      </w:r>
    </w:p>
    <w:p w14:paraId="229806FC" w14:textId="77777777" w:rsidR="00AF1E9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3D50C5C4" w14:textId="77777777" w:rsidR="00AF1E9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5EBFD056" w14:textId="77777777" w:rsidR="00AF1E9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7FA84ECD" w14:textId="77777777" w:rsidR="00AF1E9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Zemkopības ministrs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K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Gerhards</w:t>
      </w:r>
    </w:p>
    <w:p w14:paraId="73F11ABD" w14:textId="46313375" w:rsidR="00DB4BD3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688FDC9A" w14:textId="720EFCA0" w:rsidR="00AF73F5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Default="00AF73F5" w:rsidP="00AF1E99">
      <w:pPr>
        <w:pStyle w:val="Title"/>
        <w:jc w:val="both"/>
        <w:rPr>
          <w:b w:val="0"/>
          <w:szCs w:val="28"/>
        </w:rPr>
      </w:pPr>
    </w:p>
    <w:p w14:paraId="14E812B0" w14:textId="26219745" w:rsidR="00AF73F5" w:rsidRDefault="00AF73F5" w:rsidP="00AF1E99">
      <w:pPr>
        <w:pStyle w:val="Title"/>
        <w:jc w:val="both"/>
        <w:rPr>
          <w:b w:val="0"/>
          <w:szCs w:val="28"/>
        </w:rPr>
      </w:pPr>
    </w:p>
    <w:p w14:paraId="71F22A2C" w14:textId="77777777" w:rsidR="00E928E2" w:rsidRDefault="00E928E2" w:rsidP="00AF73F5">
      <w:pPr>
        <w:ind w:firstLine="360"/>
        <w:jc w:val="right"/>
        <w:rPr>
          <w:szCs w:val="28"/>
        </w:rPr>
      </w:pPr>
    </w:p>
    <w:p w14:paraId="77BE6778" w14:textId="09E0037B" w:rsidR="00AF73F5" w:rsidRDefault="00AF73F5" w:rsidP="00AF73F5">
      <w:pPr>
        <w:ind w:firstLine="360"/>
        <w:jc w:val="right"/>
        <w:rPr>
          <w:szCs w:val="28"/>
        </w:rPr>
      </w:pPr>
      <w:bookmarkStart w:id="2" w:name="_GoBack"/>
      <w:bookmarkEnd w:id="2"/>
      <w:r>
        <w:rPr>
          <w:szCs w:val="28"/>
        </w:rPr>
        <w:lastRenderedPageBreak/>
        <w:t xml:space="preserve">Pielikums </w:t>
      </w:r>
    </w:p>
    <w:p w14:paraId="5E945290" w14:textId="77777777" w:rsidR="00AF73F5" w:rsidRDefault="00AF73F5" w:rsidP="00AF73F5">
      <w:pPr>
        <w:ind w:firstLine="360"/>
        <w:jc w:val="right"/>
        <w:rPr>
          <w:szCs w:val="28"/>
        </w:rPr>
      </w:pPr>
      <w:r>
        <w:rPr>
          <w:szCs w:val="28"/>
        </w:rPr>
        <w:t xml:space="preserve">Ministru kabineta </w:t>
      </w:r>
    </w:p>
    <w:p w14:paraId="7B3054C5" w14:textId="77777777" w:rsidR="00AF73F5" w:rsidRDefault="00AF73F5" w:rsidP="00AF73F5">
      <w:pPr>
        <w:ind w:firstLine="360"/>
        <w:jc w:val="right"/>
        <w:rPr>
          <w:szCs w:val="28"/>
        </w:rPr>
      </w:pPr>
      <w:r>
        <w:rPr>
          <w:szCs w:val="28"/>
        </w:rPr>
        <w:t>2021. gada 7. janvāra</w:t>
      </w:r>
    </w:p>
    <w:p w14:paraId="08311071" w14:textId="77777777" w:rsidR="00AF73F5" w:rsidRDefault="00AF73F5" w:rsidP="00AF73F5">
      <w:pPr>
        <w:ind w:firstLine="360"/>
        <w:jc w:val="right"/>
        <w:rPr>
          <w:szCs w:val="28"/>
        </w:rPr>
      </w:pPr>
      <w:r>
        <w:rPr>
          <w:szCs w:val="28"/>
        </w:rPr>
        <w:t>noteikumiem Nr. 19</w:t>
      </w:r>
    </w:p>
    <w:p w14:paraId="5D5070BA" w14:textId="77777777" w:rsidR="00AF73F5" w:rsidRDefault="00AF73F5" w:rsidP="00AF73F5">
      <w:pPr>
        <w:rPr>
          <w:bCs/>
        </w:rPr>
      </w:pPr>
    </w:p>
    <w:p w14:paraId="720179D1" w14:textId="77777777" w:rsidR="00AF73F5" w:rsidRDefault="00AF73F5" w:rsidP="00AF73F5">
      <w:pPr>
        <w:jc w:val="center"/>
        <w:rPr>
          <w:b/>
          <w:bCs/>
        </w:rPr>
      </w:pPr>
      <w:r>
        <w:rPr>
          <w:b/>
          <w:bCs/>
        </w:rPr>
        <w:t>Izmantošanai pārtikā aizliegtie augi un augu daļas</w:t>
      </w:r>
    </w:p>
    <w:p w14:paraId="3DAB367F" w14:textId="77777777" w:rsidR="00AF73F5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Nr. p. k.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Auga nosaukums </w:t>
            </w:r>
            <w:r>
              <w:rPr>
                <w:bCs/>
                <w:sz w:val="24"/>
                <w:szCs w:val="24"/>
              </w:rPr>
              <w:br/>
              <w:t>latviešu valodā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Auga botāniskais nosaukums </w:t>
            </w:r>
            <w:r>
              <w:rPr>
                <w:bCs/>
                <w:sz w:val="24"/>
                <w:szCs w:val="24"/>
              </w:rPr>
              <w:br/>
              <w:t>latīņu valodā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Augs vai </w:t>
            </w:r>
            <w:r>
              <w:rPr>
                <w:bCs/>
                <w:sz w:val="24"/>
                <w:szCs w:val="24"/>
              </w:rPr>
              <w:br/>
              <w:t>auga daļa</w:t>
            </w:r>
          </w:p>
        </w:tc>
      </w:tr>
      <w:tr w:rsidR="00AF73F5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Adonisi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Adonis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Areka, tropu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Areca catechu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Viss augs</w:t>
            </w:r>
          </w:p>
        </w:tc>
      </w:tr>
      <w:tr w:rsidR="00AF73F5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Aristolohijas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Aristolochia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Arnika, kalnu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Arnica montana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Viss augs </w:t>
            </w:r>
          </w:p>
        </w:tc>
      </w:tr>
      <w:tr w:rsidR="00AF73F5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Arnika, Šamiso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Arnica chamissonis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F73F5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Balanda, ambrozijlapu, ārstniecības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Chenopodium ambrosioides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 var. </w:t>
            </w:r>
            <w:r>
              <w:rPr>
                <w:i/>
                <w:color w:val="000000" w:themeColor="text1"/>
                <w:sz w:val="24"/>
                <w:szCs w:val="24"/>
              </w:rPr>
              <w:t>anthelminticum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Baptīzijas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Baptisia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Bebrukārkliņš, parastais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Solanum dulcamara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Velnoga, melnā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Atropa </w:t>
            </w:r>
            <w:r>
              <w:rPr>
                <w:i/>
                <w:sz w:val="24"/>
                <w:szCs w:val="24"/>
              </w:rPr>
              <w:t>belladonna</w:t>
            </w:r>
            <w:r>
              <w:rPr>
                <w:iCs/>
                <w:sz w:val="24"/>
                <w:szCs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Viss augs</w:t>
            </w:r>
          </w:p>
        </w:tc>
      </w:tr>
      <w:tr w:rsidR="00AF73F5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Cīrulīši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Corydalis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Čūskoga, četrlapu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Paris quadrifolia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Dievkrēsliņi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Euphorbia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Dīfenbahijas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Dieffenbachia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Driģenes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Hyoscyamus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Efedras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/>
                <w:color w:val="131413"/>
                <w:sz w:val="24"/>
                <w:szCs w:val="24"/>
                <w:lang w:eastAsia="lv-LV"/>
              </w:rPr>
              <w:t>Ephedra</w:t>
            </w:r>
            <w:r>
              <w:rPr>
                <w:rFonts w:eastAsia="Calibri"/>
                <w:bCs/>
                <w:iCs/>
                <w:color w:val="131413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Eņģeļtaures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/>
                <w:color w:val="000000" w:themeColor="text1"/>
                <w:sz w:val="24"/>
                <w:szCs w:val="24"/>
                <w:lang w:eastAsia="lv-LV"/>
              </w:rPr>
              <w:t>Brugmansia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lv-LV"/>
              </w:rPr>
              <w:t xml:space="preserve"> spp. 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Ērgļpaparde, parastā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Pteridium aquilinum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Fitolakas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Phytolacca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Fritilārijas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Frittillaria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Gelzēmijas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Gelsemium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Heliotropi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Heliotropium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Ipekakuāna, Nikaragvas; ipekakuāna, Panamas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Cephaelis acuminata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(Benth.) Karst., syn. </w:t>
            </w:r>
            <w:r>
              <w:rPr>
                <w:i/>
                <w:color w:val="000000" w:themeColor="text1"/>
                <w:sz w:val="24"/>
                <w:szCs w:val="24"/>
              </w:rPr>
              <w:t>Uragoga acuminata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(Benth.) O. Kuntze, </w:t>
            </w:r>
            <w:r>
              <w:rPr>
                <w:i/>
                <w:color w:val="000000" w:themeColor="text1"/>
                <w:sz w:val="24"/>
                <w:szCs w:val="24"/>
              </w:rPr>
              <w:t>Psychotria acuminata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Saknes </w:t>
            </w:r>
          </w:p>
        </w:tc>
      </w:tr>
      <w:tr w:rsidR="00AF73F5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Ipekakuāna, Rio; ipekakuāna, Brazīlijas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Cephaelis ipecacuanha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(Brot.) A.Rich. syn. </w:t>
            </w:r>
            <w:r>
              <w:rPr>
                <w:i/>
                <w:color w:val="000000" w:themeColor="text1"/>
                <w:sz w:val="24"/>
                <w:szCs w:val="24"/>
              </w:rPr>
              <w:t>Uragoga ipecacuanha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(Brot.) Baill., </w:t>
            </w:r>
            <w:r>
              <w:rPr>
                <w:i/>
                <w:color w:val="000000" w:themeColor="text1"/>
                <w:sz w:val="24"/>
                <w:szCs w:val="24"/>
              </w:rPr>
              <w:t>Psychotria ipecacuanha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(Brot.) Muell, Arg. (auch Stokes)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Saknes </w:t>
            </w:r>
          </w:p>
        </w:tc>
      </w:tr>
      <w:tr w:rsidR="00AF73F5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Īlekss, aslapu; </w:t>
            </w:r>
            <w:r>
              <w:rPr>
                <w:color w:val="000000" w:themeColor="text1"/>
                <w:sz w:val="24"/>
                <w:szCs w:val="24"/>
              </w:rPr>
              <w:br/>
              <w:t>Amerikas akmeņozols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/>
                <w:color w:val="000000" w:themeColor="text1"/>
                <w:sz w:val="24"/>
                <w:szCs w:val="24"/>
                <w:lang w:eastAsia="lv-LV"/>
              </w:rPr>
              <w:t>Ilex aquifolium</w:t>
            </w: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Lapas, augļi</w:t>
            </w:r>
          </w:p>
        </w:tc>
      </w:tr>
      <w:tr w:rsidR="00AF73F5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Johimbe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rFonts w:eastAsia="Arial Unicode MS"/>
                <w:color w:val="000000" w:themeColor="text1"/>
                <w:sz w:val="24"/>
                <w:szCs w:val="24"/>
              </w:rPr>
              <w:t>Pausinystalia yohimbe</w:t>
            </w:r>
            <w:r>
              <w:rPr>
                <w:rFonts w:eastAsia="Arial Unicode MS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Koka miza</w:t>
            </w:r>
          </w:p>
        </w:tc>
      </w:tr>
      <w:tr w:rsidR="00AF73F5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Kapmirtes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Vinca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Krotoni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Croton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Viss augs </w:t>
            </w:r>
          </w:p>
        </w:tc>
      </w:tr>
      <w:tr w:rsidR="00AF73F5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Katarante, rozā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Catharanthus roseus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G.Don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Kreimene, parastā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Convallaria majalis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Krustaines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Senecio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Kumeļpēdas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Asarum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AF73F5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Kurpītes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Aconitum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Lobēlijas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Lobelia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Mandragora, ārstniecības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Mandragora officinarum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Mēnessēklis, Kanādas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Menispermum canadense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Augļi, saknes</w:t>
            </w:r>
          </w:p>
        </w:tc>
      </w:tr>
      <w:tr w:rsidR="00AF73F5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Mugurenes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/>
                <w:color w:val="000000" w:themeColor="text1"/>
                <w:sz w:val="24"/>
                <w:szCs w:val="24"/>
                <w:lang w:eastAsia="lv-LV"/>
              </w:rPr>
              <w:t>Polygonatum</w:t>
            </w: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  <w:lang w:eastAsia="lv-LV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Mukuna, tropu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Mucuna pruriens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DC., syn. </w:t>
            </w:r>
            <w:r>
              <w:rPr>
                <w:i/>
                <w:color w:val="000000" w:themeColor="text1"/>
                <w:sz w:val="24"/>
                <w:szCs w:val="24"/>
              </w:rPr>
              <w:t>Stizolobium pruriens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Medik.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Naktene, melnā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Solanum nigrum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Oleandri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Nerium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Ozolīte, parastā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Aquilegia vulgaris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Viss augs</w:t>
            </w:r>
          </w:p>
        </w:tc>
      </w:tr>
      <w:tr w:rsidR="00AF73F5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Ozolpaparde, melnā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i/>
                <w:color w:val="000000" w:themeColor="text1"/>
                <w:sz w:val="24"/>
                <w:szCs w:val="24"/>
              </w:rPr>
              <w:t>Dryopteris filix-mas</w:t>
            </w:r>
            <w:r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 xml:space="preserve"> (L.) Schott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, syn. </w:t>
            </w:r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Aspidium filix-mas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(L.) Sw., </w:t>
            </w:r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Lastrea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filix-mas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(L.) Presl., </w:t>
            </w:r>
            <w:r>
              <w:rPr>
                <w:rFonts w:eastAsia="Calibri"/>
                <w:i/>
                <w:color w:val="000000" w:themeColor="text1"/>
                <w:sz w:val="24"/>
                <w:szCs w:val="24"/>
              </w:rPr>
              <w:t>Polypodium filix-mas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L.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Pilokarpi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Pilocarpus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Piscīdija, Jamaikas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Piscidia piscipula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Sarg., syn. </w:t>
            </w:r>
            <w:r>
              <w:rPr>
                <w:i/>
                <w:color w:val="000000" w:themeColor="text1"/>
                <w:sz w:val="24"/>
                <w:szCs w:val="24"/>
              </w:rPr>
              <w:t>Piscidia erythrina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Rauvolfijas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Rauvolfia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Sasafrasi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Sassafras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Viss augs </w:t>
            </w:r>
          </w:p>
        </w:tc>
      </w:tr>
      <w:tr w:rsidR="00AF73F5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Sētvijas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Bryonia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Sidas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Sida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Strihnīnkoki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Strychnos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Strofanti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Strophanthus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Stumbrlape, saulkrēsliņu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Caulophyllum thalictroides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(L.) Michx.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Suņstobrs, plankumainais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Conium maculatum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Tauksaknes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Symphytum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Tūjas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Thuja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Urginejas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Urginea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Sīpoli</w:t>
            </w:r>
          </w:p>
        </w:tc>
      </w:tr>
      <w:tr w:rsidR="00AF73F5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Uzpirkstītes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Digitalis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Velnāboli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Datura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Veratres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Veratrum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Vēlziedes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Colchicum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Vizbuļi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Anemone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Zalktene, parastā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Daphne mezereum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  <w:tr w:rsidR="00AF73F5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Zeltlietus, parastais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Laburnum anagyroides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Medik.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lv-LV"/>
              </w:rPr>
              <w:t xml:space="preserve"> syn. </w:t>
            </w:r>
            <w:r>
              <w:rPr>
                <w:rFonts w:eastAsia="Calibri"/>
                <w:i/>
                <w:color w:val="000000" w:themeColor="text1"/>
                <w:sz w:val="24"/>
                <w:szCs w:val="24"/>
                <w:lang w:eastAsia="lv-LV"/>
              </w:rPr>
              <w:t>Cytisus laburnum</w:t>
            </w:r>
            <w:r>
              <w:rPr>
                <w:rFonts w:eastAsia="Calibri"/>
                <w:iCs/>
                <w:color w:val="000000" w:themeColor="text1"/>
                <w:sz w:val="24"/>
                <w:szCs w:val="24"/>
                <w:lang w:eastAsia="lv-LV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Viss augs</w:t>
            </w:r>
          </w:p>
        </w:tc>
      </w:tr>
    </w:tbl>
    <w:p w14:paraId="23DA5974" w14:textId="77777777" w:rsidR="00AF73F5" w:rsidRDefault="00AF73F5" w:rsidP="00AF73F5">
      <w:pPr>
        <w:pStyle w:val="Title"/>
        <w:jc w:val="both"/>
        <w:rPr>
          <w:b w:val="0"/>
          <w:szCs w:val="28"/>
        </w:rPr>
      </w:pPr>
      <w:bookmarkStart w:id="3" w:name="piel3"/>
      <w:bookmarkEnd w:id="3"/>
    </w:p>
    <w:p w14:paraId="0AA6788E" w14:textId="77777777" w:rsidR="00AF73F5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proofErr w:type="spellStart"/>
      <w:r>
        <w:rPr>
          <w:rFonts w:ascii="Times New Roman" w:hAnsi="Times New Roman"/>
          <w:color w:val="auto"/>
          <w:sz w:val="28"/>
          <w:lang w:val="de-DE"/>
        </w:rPr>
        <w:t>Zemkopības</w:t>
      </w:r>
      <w:proofErr w:type="spellEnd"/>
      <w:r>
        <w:rPr>
          <w:rFonts w:ascii="Times New Roman" w:hAnsi="Times New Roman"/>
          <w:color w:val="auto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lang w:val="de-DE"/>
        </w:rPr>
        <w:t>ministrs</w:t>
      </w:r>
      <w:proofErr w:type="spellEnd"/>
      <w:r>
        <w:rPr>
          <w:rFonts w:ascii="Times New Roman" w:hAnsi="Times New Roman"/>
          <w:color w:val="auto"/>
          <w:sz w:val="28"/>
          <w:lang w:val="de-DE"/>
        </w:rPr>
        <w:tab/>
        <w:t>K. Gerhards</w:t>
      </w:r>
    </w:p>
    <w:p w14:paraId="503FD897" w14:textId="77777777" w:rsidR="00AF73F5" w:rsidRDefault="00AF73F5" w:rsidP="00AF73F5">
      <w:pPr>
        <w:jc w:val="both"/>
        <w:rPr>
          <w:sz w:val="20"/>
        </w:rPr>
      </w:pPr>
    </w:p>
    <w:p w14:paraId="71B507C8" w14:textId="288B15EB" w:rsidR="00AF73F5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9F700" w14:textId="77777777" w:rsidR="00E340AE" w:rsidRDefault="00E340AE" w:rsidP="004B3C2F">
      <w:r>
        <w:separator/>
      </w:r>
    </w:p>
  </w:endnote>
  <w:endnote w:type="continuationSeparator" w:id="0">
    <w:p w14:paraId="66D68A6A" w14:textId="77777777" w:rsidR="00E340AE" w:rsidRDefault="00E340AE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71B3" w14:textId="77777777" w:rsidR="00E340AE" w:rsidRDefault="00E340AE" w:rsidP="004B3C2F">
      <w:r>
        <w:separator/>
      </w:r>
    </w:p>
  </w:footnote>
  <w:footnote w:type="continuationSeparator" w:id="0">
    <w:p w14:paraId="6907ADB8" w14:textId="77777777" w:rsidR="00E340AE" w:rsidRDefault="00E340AE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F1D"/>
    <w:rsid w:val="00E82BFB"/>
    <w:rsid w:val="00E928E2"/>
    <w:rsid w:val="00EB7079"/>
    <w:rsid w:val="00F348FF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3059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4795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Normunds Freibergs</cp:lastModifiedBy>
  <cp:revision>4</cp:revision>
  <cp:lastPrinted>2020-12-17T08:29:00Z</cp:lastPrinted>
  <dcterms:created xsi:type="dcterms:W3CDTF">2021-01-28T10:51:00Z</dcterms:created>
  <dcterms:modified xsi:type="dcterms:W3CDTF">2021-01-28T10:53:00Z</dcterms:modified>
  <cp:category/>
</cp:coreProperties>
</file>