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6D3F" w14:textId="230B48A7" w:rsidR="00037899" w:rsidRPr="00037899" w:rsidRDefault="00037899" w:rsidP="00037899">
      <w:pPr>
        <w:rPr>
          <w:rFonts w:ascii="Courier New" w:hAnsi="Courier New" w:cs="Courier New"/>
        </w:rPr>
      </w:pPr>
      <w:r>
        <w:rPr>
          <w:rFonts w:ascii="Courier New" w:hAnsi="Courier New"/>
        </w:rPr>
        <w:t>1. ------IND- 2020 0482 NL- CS- ------ 20200803 --- --- PROJET</w:t>
      </w:r>
    </w:p>
    <w:p w14:paraId="3B017F30" w14:textId="0C0A4590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Výnos ministra zdravotnictví o ... obsahující pravidla pro potraviny na bázi bílkovin (kravského nebo kozího mléka), ke kterým byl přidán alespoň jeden nebo více vitamínů, minerálů nebo jiných látek a které jsou určeny k použití jako nápoj pro malé děti ve věku od jednoho do tří let (výnos o kojenecké výživě a mléku pro kojence k zákonu o komoditách</w:t>
      </w:r>
    </w:p>
    <w:p w14:paraId="437932D9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BA08394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77E488F3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566B75C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2094F940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0E2AC1E7" w14:textId="35D373B2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návrh našeho ministra zdravotnictví... 2020, odkaz -WJZ;</w:t>
      </w:r>
    </w:p>
    <w:p w14:paraId="195D707F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8E25089" w14:textId="007B3731" w:rsidR="00073874" w:rsidRPr="00834842" w:rsidRDefault="00834842" w:rsidP="0083484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ohledem na čl. 4 odst. 1, čl. 5 odst. 1, čl. 8 odst. 1 písm. a), b), c) a f) a čl. 32b zákona o komoditách;</w:t>
      </w:r>
    </w:p>
    <w:p w14:paraId="7D388C48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7D6A914D" w14:textId="3827A31D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 vyslechnutí poradní divize Státní rady (stanovisko ze dne [vložte datum stanoviska], č. [vložte číslo stanoviska]);</w:t>
      </w:r>
    </w:p>
    <w:p w14:paraId="7C552D95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6AC29BA5" w14:textId="624D8AC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ohledem na podrobnou zprávu našeho ministra zdravotnictví ze dne [vložte datum podrobné zprávy], [vložte odkaz na podrobnou zprávu];</w:t>
      </w:r>
    </w:p>
    <w:p w14:paraId="46DA0626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352AA74A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tímto schvalujeme a nařizujeme níže uvedené:</w:t>
      </w:r>
    </w:p>
    <w:p w14:paraId="4060804C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5126C936" w14:textId="77777777" w:rsidR="00073874" w:rsidRPr="006B7C86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1 Obecná ustanovení</w:t>
      </w:r>
    </w:p>
    <w:p w14:paraId="58020225" w14:textId="77777777" w:rsidR="00073874" w:rsidRPr="006B7C86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0192400" w14:textId="4D83A80C" w:rsidR="00073874" w:rsidRPr="006B7C86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</w:t>
      </w:r>
    </w:p>
    <w:p w14:paraId="3F86F6AE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</w:p>
    <w:p w14:paraId="37B25385" w14:textId="4B8B5911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 účely tohoto výnosu: </w:t>
      </w:r>
    </w:p>
    <w:p w14:paraId="4F3AD4C8" w14:textId="77777777" w:rsidR="00073874" w:rsidRPr="000678FD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056BAF2" w14:textId="0E814BB6" w:rsidR="0059594E" w:rsidRPr="001E7E1A" w:rsidRDefault="00073874" w:rsidP="00073874">
      <w:pPr>
        <w:rPr>
          <w:rFonts w:ascii="Verdana" w:eastAsiaTheme="minorHAnsi" w:hAnsi="Verdana" w:cs="Segoe UI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a. </w:t>
      </w:r>
      <w:r>
        <w:rPr>
          <w:rFonts w:ascii="Verdana" w:hAnsi="Verdana"/>
          <w:i/>
          <w:iCs/>
          <w:sz w:val="18"/>
          <w:szCs w:val="18"/>
        </w:rPr>
        <w:t xml:space="preserve">jiná látka </w:t>
      </w:r>
      <w:r>
        <w:rPr>
          <w:rFonts w:ascii="Verdana" w:hAnsi="Verdana"/>
          <w:sz w:val="18"/>
          <w:szCs w:val="18"/>
        </w:rPr>
        <w:t>: látka uvedená v čl. 2 odst. 2 nařízení (ES) č. 1925/2006.</w:t>
      </w:r>
    </w:p>
    <w:p w14:paraId="1F01D0BA" w14:textId="10F2BBF5" w:rsidR="00073874" w:rsidRPr="009B07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pokračovací kojenecká výživa</w:t>
      </w:r>
      <w:r>
        <w:rPr>
          <w:rFonts w:ascii="Verdana" w:hAnsi="Verdana"/>
          <w:sz w:val="18"/>
          <w:szCs w:val="18"/>
        </w:rPr>
        <w:t>: potraviny uvedené v čl. 2 odst. 2 písm. d) nařízení (EU) 609/2013;</w:t>
      </w:r>
    </w:p>
    <w:p w14:paraId="23B141C5" w14:textId="44D0B59D" w:rsidR="00073874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c. </w:t>
      </w:r>
      <w:r>
        <w:rPr>
          <w:rFonts w:ascii="Verdana" w:hAnsi="Verdana"/>
          <w:i/>
          <w:iCs/>
          <w:sz w:val="18"/>
          <w:szCs w:val="18"/>
        </w:rPr>
        <w:t>kojenecká výživa</w:t>
      </w:r>
      <w:r>
        <w:rPr>
          <w:rFonts w:ascii="Verdana" w:hAnsi="Verdana"/>
          <w:sz w:val="18"/>
          <w:szCs w:val="18"/>
        </w:rPr>
        <w:t>: potravina založená na bílkovinách, do níž byly přidány alespoň jeden nebo více vitamínů, minerálů nebo jiných látek a která je určena k použití jako nápoj pro malé děti ve věku od jednoho do tří let;</w:t>
      </w:r>
    </w:p>
    <w:p w14:paraId="6234E001" w14:textId="2D403FED" w:rsidR="00073874" w:rsidRPr="007926FF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d. </w:t>
      </w:r>
      <w:r>
        <w:rPr>
          <w:rFonts w:ascii="Verdana" w:hAnsi="Verdana"/>
          <w:i/>
          <w:iCs/>
          <w:sz w:val="18"/>
          <w:szCs w:val="18"/>
        </w:rPr>
        <w:t>mléko pro kojence</w:t>
      </w:r>
      <w:r>
        <w:rPr>
          <w:rFonts w:ascii="Verdana" w:hAnsi="Verdana"/>
          <w:sz w:val="18"/>
          <w:szCs w:val="18"/>
        </w:rPr>
        <w:t>: nápoj určený pro kojence, založen výhradně na proteinech kravského nebo kozího mléka;</w:t>
      </w:r>
    </w:p>
    <w:p w14:paraId="50055EC1" w14:textId="1B766070" w:rsidR="00073874" w:rsidRPr="001E7E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e. </w:t>
      </w:r>
      <w:r>
        <w:rPr>
          <w:rFonts w:ascii="Verdana" w:hAnsi="Verdana"/>
          <w:i/>
          <w:iCs/>
          <w:sz w:val="18"/>
          <w:szCs w:val="18"/>
        </w:rPr>
        <w:t>nařízení (EU) 2016/127</w:t>
      </w:r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Nařízení Komise v přenesené pravomoci (EU) 2016/127 ze dne 25. září 2015, kterým se doplňuje nařízení Evropského parlamentu a Rady (EU) č. 609/2013, pokud jde o zvláštní požadavky týkající se složení a informací, které se vztahují na počáteční a pokračovací kojeneckou výživu, a pokud jde o požadavky na informace týkající se výživy kojenců a malých dětí (Úř. věst. L 25 z roku 2016);</w:t>
      </w:r>
    </w:p>
    <w:p w14:paraId="7910F3BE" w14:textId="495ABFB2" w:rsidR="00073874" w:rsidRPr="00912FEF" w:rsidRDefault="0059594E" w:rsidP="00073874">
      <w:pPr>
        <w:rPr>
          <w:rFonts w:ascii="Verdana" w:hAnsi="Verdana"/>
          <w:spacing w:val="-4"/>
          <w:sz w:val="18"/>
          <w:szCs w:val="18"/>
        </w:rPr>
      </w:pPr>
      <w:r w:rsidRPr="00912FEF">
        <w:rPr>
          <w:rFonts w:ascii="Verdana" w:hAnsi="Verdana"/>
          <w:spacing w:val="-4"/>
          <w:sz w:val="18"/>
          <w:szCs w:val="18"/>
        </w:rPr>
        <w:t>f.</w:t>
      </w:r>
      <w:r w:rsidRPr="00912FEF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912FEF">
        <w:rPr>
          <w:rStyle w:val="Emphasis"/>
          <w:rFonts w:ascii="Verdana" w:hAnsi="Verdana"/>
          <w:spacing w:val="-4"/>
          <w:sz w:val="18"/>
          <w:szCs w:val="18"/>
        </w:rPr>
        <w:t>nařízení (EU) 609/2013:</w:t>
      </w:r>
      <w:r w:rsidRPr="00912FEF">
        <w:rPr>
          <w:rFonts w:ascii="Verdana" w:hAnsi="Verdana"/>
          <w:spacing w:val="-4"/>
          <w:sz w:val="18"/>
          <w:szCs w:val="18"/>
        </w:rPr>
        <w:t xml:space="preserve"> Nařízení Evropského parlamentu a Rady (EU) č. 609/2013 ze dne 12. června 2013 o potravinách určených pro kojence a malé děti, potravinách pro zvláštní lékařské účely a náhradě celodenní stravy pro regulaci hmotnosti a o zrušení směrnice Rady 92/52/EHS, směrnic Komise 96/8/ES, 1999/21/ES, 2006/125/ES a 2006/141/ES, směrnice Evropského parlamentu a Rady 2009/39/ES a nařízení Komise (ES) č. 41/2009 a (ES) č. 953/2009 (Úř. věst. L 181, 2013);</w:t>
      </w:r>
    </w:p>
    <w:p w14:paraId="1A63B3DD" w14:textId="275E762A" w:rsidR="00073874" w:rsidRPr="00325747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g. </w:t>
      </w:r>
      <w:r>
        <w:rPr>
          <w:rFonts w:ascii="Verdana" w:hAnsi="Verdana"/>
          <w:i/>
          <w:iCs/>
          <w:sz w:val="18"/>
          <w:szCs w:val="18"/>
        </w:rPr>
        <w:t>nařízení (EU) 1169/2011: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(Úř. věst. L 304, 2011);</w:t>
      </w:r>
    </w:p>
    <w:p w14:paraId="127A09E5" w14:textId="6DE7FC0D" w:rsidR="00DA004C" w:rsidRPr="001E7E1A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h. </w:t>
      </w:r>
      <w:r>
        <w:rPr>
          <w:rFonts w:ascii="Verdana" w:hAnsi="Verdana"/>
          <w:i/>
          <w:iCs/>
          <w:sz w:val="18"/>
          <w:szCs w:val="18"/>
        </w:rPr>
        <w:t>nařízení (ES) 1925/2006: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Nařízení Evropského parlamentu a Rady (ES) č. 1925/2006 ze dne 20. prosince 2006 o přidávání vitaminů a minerálních látek a některých dalších látek do potravin (Úř. věst. L 404, 2006).</w:t>
      </w:r>
    </w:p>
    <w:p w14:paraId="2CFACC32" w14:textId="72F7DD4B" w:rsidR="0007387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i. </w:t>
      </w:r>
      <w:r>
        <w:rPr>
          <w:rFonts w:ascii="Verdana" w:hAnsi="Verdana"/>
          <w:i/>
          <w:iCs/>
          <w:sz w:val="18"/>
          <w:szCs w:val="18"/>
        </w:rPr>
        <w:t>počáteční kojenecká výživa</w:t>
      </w:r>
      <w:r>
        <w:rPr>
          <w:rFonts w:ascii="Verdana" w:hAnsi="Verdana"/>
          <w:sz w:val="18"/>
          <w:szCs w:val="18"/>
        </w:rPr>
        <w:t xml:space="preserve">: potraviny uvedené v čl. 2 odst. 2 písm. c) nařízení (EU) 609/2013; </w:t>
      </w:r>
    </w:p>
    <w:p w14:paraId="29F16D6D" w14:textId="77777777" w:rsidR="00532AC5" w:rsidRDefault="00532AC5" w:rsidP="00073874">
      <w:pPr>
        <w:rPr>
          <w:rFonts w:ascii="Verdana" w:hAnsi="Verdana"/>
          <w:sz w:val="18"/>
          <w:szCs w:val="18"/>
        </w:rPr>
      </w:pPr>
    </w:p>
    <w:p w14:paraId="2C786F36" w14:textId="5D9F90D2" w:rsidR="00073874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2</w:t>
      </w:r>
    </w:p>
    <w:p w14:paraId="234F2450" w14:textId="5855778D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 zakázáno připravovat nebo uvádět na trh kojeneckou výživu a mléko pro kojence jiným způsobem, než v souladu s pravidly stanovenými v tomto výnosu. </w:t>
      </w:r>
    </w:p>
    <w:p w14:paraId="2E30E5A8" w14:textId="77777777" w:rsidR="00073874" w:rsidRPr="00884D19" w:rsidRDefault="00073874" w:rsidP="00073874">
      <w:pPr>
        <w:rPr>
          <w:rFonts w:ascii="Verdana" w:hAnsi="Verdana"/>
          <w:sz w:val="18"/>
          <w:szCs w:val="18"/>
        </w:rPr>
      </w:pPr>
    </w:p>
    <w:p w14:paraId="24E73AA5" w14:textId="15D41956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§ 2 Požadavky na složení a přidávání vitamínů, minerálů a jiných látek </w:t>
      </w:r>
    </w:p>
    <w:p w14:paraId="55C192E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2D5BEA" w14:textId="64C7BCB6" w:rsidR="00073874" w:rsidRPr="00884D1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3</w:t>
      </w:r>
    </w:p>
    <w:p w14:paraId="2D2C2276" w14:textId="46E8E83E" w:rsidR="00073874" w:rsidRPr="00912FEF" w:rsidRDefault="00073874" w:rsidP="00073874">
      <w:pPr>
        <w:rPr>
          <w:rFonts w:ascii="Verdana" w:hAnsi="Verdana"/>
          <w:spacing w:val="-4"/>
          <w:kern w:val="2"/>
          <w:sz w:val="18"/>
          <w:szCs w:val="18"/>
        </w:rPr>
      </w:pPr>
      <w:r w:rsidRPr="00912FEF">
        <w:rPr>
          <w:rFonts w:ascii="Verdana" w:hAnsi="Verdana"/>
          <w:spacing w:val="-4"/>
          <w:sz w:val="18"/>
          <w:szCs w:val="18"/>
        </w:rPr>
        <w:t xml:space="preserve">1. Kojenecká výživa a mléko pro kojence splňují minimálně požadavky na složení stanovené v příloze II bodech 2, 2.1, 2.2, 2.3, 2.4, 4, 4.1, 4.2, 4.3, 6, 6.1, 6.2, 6.3, 6.4 a 6.5 nařízení (EU) 2016/127. </w:t>
      </w:r>
    </w:p>
    <w:p w14:paraId="1132C57D" w14:textId="6936D1CF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Odchylně od odstavce 1 se požadavky týkající se oddílu A přílohy III uvedené v příloze II bodech 2.1 a 2.2 nařízení (EU) 2016/127 nepoužijí. </w:t>
      </w:r>
    </w:p>
    <w:p w14:paraId="771BEBE1" w14:textId="41B6601B" w:rsidR="00E85F3B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Odchylně od odstavce 1 a přílohy II bodu 4 nařízení (EU) 2016/127 se na přidávání tuků do kojenecké výživy a kojeneckého mléka nepoužije žádný minimální obsah. </w:t>
      </w:r>
    </w:p>
    <w:p w14:paraId="71BE61C4" w14:textId="77777777" w:rsidR="00037899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Energetické hodnoty u kojenecké výživy a mléka pro kojence musí být nejméně 45 kcal na 100 mililitrů a nejvýše 65 kcal na 100 mililitrů. </w:t>
      </w:r>
    </w:p>
    <w:p w14:paraId="63CEFDDC" w14:textId="63A95212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B39DB90" w14:textId="262B4376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4</w:t>
      </w:r>
    </w:p>
    <w:p w14:paraId="3E35E20F" w14:textId="2FB98541" w:rsidR="00073874" w:rsidRPr="00532AC5" w:rsidRDefault="00073874" w:rsidP="00073874">
      <w:pPr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1. Vitamíny, minerály nebo jiné látky uvedené v bodech 3, 4.4, 4.5, 4.6, 4.7, 5, 7, 8, 8.1, 8.2, 9 a 10 přílohy II nařízení (EU) č. 2016/127 lze přidávat pouze do kojenecké výživy a mléka pro kojence v souladu s pravidly týkajícími se složení u nich uvedených.</w:t>
      </w:r>
    </w:p>
    <w:p w14:paraId="6830D50F" w14:textId="1B4CC663" w:rsidR="00073874" w:rsidRDefault="00454516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Odchylně od odstavce 1 a přílohy II bodu 8.1 nařízení (EU) 2016/127 se na přidávání sodíku do kojenecké výživy a kojeneckého mléka nevztahuje žádný minimální obsah. </w:t>
      </w:r>
    </w:p>
    <w:p w14:paraId="346A7FA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2268EE8" w14:textId="1A6169F9" w:rsidR="00037899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5</w:t>
      </w:r>
    </w:p>
    <w:p w14:paraId="74B1313E" w14:textId="75A9120E" w:rsidR="00073874" w:rsidRPr="00211395" w:rsidRDefault="00DA004C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Ustanovení čl. 2 odst. 2, pokud se týká čl. 3 odst. 1 a čl. 6 odst. 1 a 6 nařízení (ES) č. 1925/2006, jakož i článků 5 a 6 nařízení o komoditách o přidání mikroživin do potravin se nevztahuje na kojeneckou výživu a kojenecké mléko.</w:t>
      </w:r>
    </w:p>
    <w:p w14:paraId="4912BEA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F2974D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3 Označení, prohlášení a obchodní úprava</w:t>
      </w:r>
    </w:p>
    <w:p w14:paraId="2475652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6B76B5B" w14:textId="20807AA9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6</w:t>
      </w:r>
    </w:p>
    <w:p w14:paraId="059E4D24" w14:textId="7778BEC0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Označení </w:t>
      </w:r>
      <w:r>
        <w:rPr>
          <w:rFonts w:ascii="Verdana" w:hAnsi="Verdana"/>
          <w:i/>
          <w:iCs/>
          <w:sz w:val="18"/>
          <w:szCs w:val="18"/>
        </w:rPr>
        <w:t>kojenecká výživa</w:t>
      </w:r>
      <w:r>
        <w:rPr>
          <w:rFonts w:ascii="Verdana" w:hAnsi="Verdana"/>
          <w:sz w:val="18"/>
          <w:szCs w:val="18"/>
        </w:rPr>
        <w:t xml:space="preserve"> může a musí být používáno pouze pro kojeneckou výživu, která není založena výhradně na bílkovinách kravského nebo kozího mléka. </w:t>
      </w:r>
    </w:p>
    <w:p w14:paraId="250211B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Označení </w:t>
      </w:r>
      <w:r>
        <w:rPr>
          <w:rFonts w:ascii="Verdana" w:hAnsi="Verdana"/>
          <w:i/>
          <w:iCs/>
          <w:sz w:val="18"/>
          <w:szCs w:val="18"/>
        </w:rPr>
        <w:t>mléko pro kojence</w:t>
      </w:r>
      <w:r>
        <w:rPr>
          <w:rFonts w:ascii="Verdana" w:hAnsi="Verdana"/>
          <w:sz w:val="18"/>
          <w:szCs w:val="18"/>
        </w:rPr>
        <w:t xml:space="preserve"> může a musí být používáno jen pro mléko pro kojence.</w:t>
      </w:r>
    </w:p>
    <w:p w14:paraId="5B6E05F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26E8FF26" w14:textId="046956F1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7</w:t>
      </w:r>
    </w:p>
    <w:p w14:paraId="539123C7" w14:textId="2921C0D0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 uvádění na trh kojenecké výživy a mléka pro kojence se používají tato prohlášení: </w:t>
      </w:r>
    </w:p>
    <w:p w14:paraId="0216745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a. věková kategorie od jednoho do tří let, pro kterou je určena;</w:t>
      </w:r>
    </w:p>
    <w:p w14:paraId="327B034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b. prohlášení, že výrobek nenahrazuje vyváženou stravu; </w:t>
      </w:r>
    </w:p>
    <w:p w14:paraId="34399F6D" w14:textId="58BDC858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c. prohlášení, že výrobek nenahrazuje doplňky s vitamínem D a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21A5E0E8" w14:textId="77777777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d. prohlášení, že výrobek nenahrazuje mateřské mléko.</w:t>
      </w:r>
    </w:p>
    <w:p w14:paraId="73B1E29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A4FCC66" w14:textId="55362CC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8</w:t>
      </w:r>
    </w:p>
    <w:p w14:paraId="3261286B" w14:textId="2DB08B59" w:rsidR="00073874" w:rsidRDefault="00073874" w:rsidP="00380913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Pokud jde o použitý text, obrázky a barvy, označování a obchodní úprava kojenecké výživy a mléka pro kojence se provádí takovým způsobem, aby nemohly být prezentovány jako následný produkt navazující na kojeneckou výživu nebo pokračovací kojeneckou výživa.</w:t>
      </w:r>
    </w:p>
    <w:p w14:paraId="54584FA9" w14:textId="7987D654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AF4E879" w14:textId="76FCD6B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Článek 9</w:t>
      </w:r>
    </w:p>
    <w:p w14:paraId="0087613F" w14:textId="5D330349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Odchylně od čl. 31 odst. 3, čl. 32 odst. 2 a čl. 33 odst. 1 nařízení (EU) č. 1169/2011 se energetická hodnota a obsah živin v kojenecké výživě a mléku pro kojence vyjadřují na 100 mililitrů potraviny připravené k použití připravené podle pokynů výrobce. </w:t>
      </w:r>
    </w:p>
    <w:p w14:paraId="64AA67F4" w14:textId="68DE9A1D" w:rsidR="00073874" w:rsidRPr="00732DAA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V případě potřeby mohou být informace vyjádřeny také na 100 gramů prodané potraviny.</w:t>
      </w:r>
    </w:p>
    <w:p w14:paraId="7862F313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1820C1AA" w14:textId="5CC6E46E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10</w:t>
      </w:r>
    </w:p>
    <w:p w14:paraId="292C28A0" w14:textId="4C4542CE" w:rsidR="00073874" w:rsidRPr="00912FEF" w:rsidRDefault="00073874" w:rsidP="00073874">
      <w:pPr>
        <w:rPr>
          <w:rFonts w:ascii="Verdana" w:hAnsi="Verdana"/>
          <w:spacing w:val="-4"/>
          <w:kern w:val="2"/>
          <w:sz w:val="18"/>
          <w:szCs w:val="18"/>
        </w:rPr>
      </w:pPr>
      <w:r w:rsidRPr="00912FEF">
        <w:rPr>
          <w:rFonts w:ascii="Verdana" w:hAnsi="Verdana"/>
          <w:spacing w:val="-4"/>
          <w:sz w:val="18"/>
          <w:szCs w:val="18"/>
        </w:rPr>
        <w:t xml:space="preserve">Odchylně od čl. 32 odst. 3 a 4 nařízení (EU) 1169/2011 se každé prohlášení o obsahu živin v kojenecké výživě a mléku pro kojence vyjadřuje v procentech referenčních příjmů stanovených v příloze VII k nařízení (EU) 2016/127 na 100 mililitrů hotových potravin připravených podle pokynů výrobce. </w:t>
      </w:r>
    </w:p>
    <w:p w14:paraId="45D2EEF8" w14:textId="77777777" w:rsidR="00896EB5" w:rsidRDefault="00896EB5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6CBE7FC7" w14:textId="77777777" w:rsidR="00073874" w:rsidRPr="00377F95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4 Závěrečná ustanovení</w:t>
      </w:r>
    </w:p>
    <w:p w14:paraId="6338F9B0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F71A57" w14:textId="5ABBF04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11</w:t>
      </w:r>
    </w:p>
    <w:p w14:paraId="38BA3454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Nařízení o komoditách o přidávání mikroživin do potravin [Warenwetbesluit Toevoeging micro-voedingsstoffen aan levensmiddelen] se mění takto:</w:t>
      </w:r>
    </w:p>
    <w:p w14:paraId="5A76413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5B1F9B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17C57D35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6115AD" w14:textId="5EA7AABF" w:rsidR="00073874" w:rsidRPr="00912FEF" w:rsidRDefault="00073874" w:rsidP="00073874">
      <w:pPr>
        <w:rPr>
          <w:rFonts w:ascii="Verdana" w:hAnsi="Verdana"/>
          <w:spacing w:val="-6"/>
          <w:kern w:val="2"/>
          <w:sz w:val="18"/>
          <w:szCs w:val="18"/>
        </w:rPr>
      </w:pPr>
      <w:r w:rsidRPr="00912FEF">
        <w:rPr>
          <w:rFonts w:ascii="Verdana" w:hAnsi="Verdana"/>
          <w:spacing w:val="-6"/>
          <w:sz w:val="18"/>
          <w:szCs w:val="18"/>
        </w:rPr>
        <w:t>V čl. 1 odst. 1 písm. e) se text „doporučené denní dávky“ nahrazuje textem „referenční hodnoty příjmu“.</w:t>
      </w:r>
    </w:p>
    <w:p w14:paraId="3D8942E6" w14:textId="77777777" w:rsidR="00073874" w:rsidRPr="00EC6A3C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5D83C1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</w:p>
    <w:p w14:paraId="6386CDB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58FEE7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V čl. 6 odst. 1, se text „doporučené denní dávky“ nahrazuje textem „referenční hodnoty příjmu“.</w:t>
      </w:r>
    </w:p>
    <w:p w14:paraId="3DBCB33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B33DFE2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14:paraId="60209C9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E245599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V příloze č. 2 se text „doporučené denní dávky“ nahrazuje textem „referenční hodnoty příjmu“.</w:t>
      </w:r>
    </w:p>
    <w:p w14:paraId="32F4BB61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1C5482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</w:p>
    <w:p w14:paraId="386F2C0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1BF82929" w14:textId="77777777" w:rsidR="00073874" w:rsidRPr="0008192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V příloze č. 3 se text „doporučené denní dávky“ nahrazuje textem  „referenční hodnoty příjmu“.</w:t>
      </w:r>
    </w:p>
    <w:p w14:paraId="1A4FDAF8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28C5C247" w14:textId="718F880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12</w:t>
      </w:r>
    </w:p>
    <w:p w14:paraId="45BAE68C" w14:textId="77777777" w:rsidR="00073874" w:rsidRPr="00CB0DBC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Příloha k výnosu o správních sankcích k zákonu o komoditách [Warenwetbesluit bestuurlijke boeten] se mění takto: </w:t>
      </w:r>
    </w:p>
    <w:p w14:paraId="2E2B710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39B45FF" w14:textId="7777777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V obsahu se za bod C-29 vkládá nový bod, který zní: </w:t>
      </w:r>
    </w:p>
    <w:p w14:paraId="06D9338A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59AD7D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Výnos C-30 o kojenecké výživě a mléku pro kojence k zákonu o komoditách</w:t>
      </w:r>
    </w:p>
    <w:p w14:paraId="3056975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4F7B3D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Za nadpis C-29 se vkládá nový nadpis v tomto znění:</w:t>
      </w:r>
    </w:p>
    <w:p w14:paraId="2DBB793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C268768" w14:textId="6E5A520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Výnos C-30 o kojenecké výživě a mléku pro kojence k zákonu o komoditách </w:t>
      </w:r>
    </w:p>
    <w:p w14:paraId="3D255262" w14:textId="77777777" w:rsidR="00073874" w:rsidRDefault="00073874" w:rsidP="00037899">
      <w:pPr>
        <w:keepNext/>
        <w:keepLines/>
        <w:spacing w:line="240" w:lineRule="exact"/>
        <w:rPr>
          <w:rFonts w:ascii="Verdana" w:hAnsi="Verdana"/>
          <w:sz w:val="18"/>
          <w:szCs w:val="18"/>
        </w:rPr>
      </w:pPr>
    </w:p>
    <w:tbl>
      <w:tblPr>
        <w:tblStyle w:val="TableGrid"/>
        <w:tblW w:w="8533" w:type="dxa"/>
        <w:tblInd w:w="-5" w:type="dxa"/>
        <w:tblLook w:val="04A0" w:firstRow="1" w:lastRow="0" w:firstColumn="1" w:lastColumn="0" w:noHBand="0" w:noVBand="1"/>
      </w:tblPr>
      <w:tblGrid>
        <w:gridCol w:w="1167"/>
        <w:gridCol w:w="4562"/>
        <w:gridCol w:w="966"/>
        <w:gridCol w:w="1385"/>
        <w:gridCol w:w="453"/>
      </w:tblGrid>
      <w:tr w:rsidR="00073874" w:rsidRPr="00912FEF" w14:paraId="52311ED4" w14:textId="77777777" w:rsidTr="00912FEF">
        <w:tc>
          <w:tcPr>
            <w:tcW w:w="1167" w:type="dxa"/>
          </w:tcPr>
          <w:p w14:paraId="5BD65CE1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</w:t>
            </w:r>
          </w:p>
        </w:tc>
        <w:tc>
          <w:tcPr>
            <w:tcW w:w="4562" w:type="dxa"/>
          </w:tcPr>
          <w:p w14:paraId="49B6176D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Výnos o kojenecké výživě a mléku pro kojence k zákonu o komoditách</w:t>
            </w:r>
          </w:p>
        </w:tc>
        <w:tc>
          <w:tcPr>
            <w:tcW w:w="966" w:type="dxa"/>
          </w:tcPr>
          <w:p w14:paraId="69AD9BD1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1385" w:type="dxa"/>
          </w:tcPr>
          <w:p w14:paraId="443F9E5B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453" w:type="dxa"/>
          </w:tcPr>
          <w:p w14:paraId="57AAE572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</w:tr>
      <w:tr w:rsidR="00073874" w:rsidRPr="00912FEF" w14:paraId="080EBBAA" w14:textId="77777777" w:rsidTr="00912FEF">
        <w:tc>
          <w:tcPr>
            <w:tcW w:w="1167" w:type="dxa"/>
          </w:tcPr>
          <w:p w14:paraId="417891BE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C-30.1</w:t>
            </w:r>
          </w:p>
        </w:tc>
        <w:tc>
          <w:tcPr>
            <w:tcW w:w="4562" w:type="dxa"/>
          </w:tcPr>
          <w:p w14:paraId="497C00FC" w14:textId="2AFDD7A5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3 odst. 1</w:t>
            </w:r>
          </w:p>
        </w:tc>
        <w:tc>
          <w:tcPr>
            <w:tcW w:w="966" w:type="dxa"/>
          </w:tcPr>
          <w:p w14:paraId="353EB105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4119CEC1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161D95F6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912FEF" w14:paraId="66983A92" w14:textId="77777777" w:rsidTr="00912FEF">
        <w:tc>
          <w:tcPr>
            <w:tcW w:w="1167" w:type="dxa"/>
          </w:tcPr>
          <w:p w14:paraId="38420C33" w14:textId="2628389C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C-30.2</w:t>
            </w:r>
          </w:p>
        </w:tc>
        <w:tc>
          <w:tcPr>
            <w:tcW w:w="4562" w:type="dxa"/>
          </w:tcPr>
          <w:p w14:paraId="58DAD725" w14:textId="5DF1C541" w:rsidR="00073874" w:rsidRPr="00912FEF" w:rsidRDefault="00073874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3 odst. 4</w:t>
            </w:r>
          </w:p>
        </w:tc>
        <w:tc>
          <w:tcPr>
            <w:tcW w:w="966" w:type="dxa"/>
          </w:tcPr>
          <w:p w14:paraId="5E7C7F61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692F9D61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2B576B7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912FEF" w14:paraId="5676C288" w14:textId="77777777" w:rsidTr="00912FEF">
        <w:tc>
          <w:tcPr>
            <w:tcW w:w="1167" w:type="dxa"/>
          </w:tcPr>
          <w:p w14:paraId="790BE90C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C-30.3</w:t>
            </w:r>
          </w:p>
        </w:tc>
        <w:tc>
          <w:tcPr>
            <w:tcW w:w="4562" w:type="dxa"/>
          </w:tcPr>
          <w:p w14:paraId="58F874C8" w14:textId="0C3C4B39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4 odst. 1</w:t>
            </w:r>
          </w:p>
        </w:tc>
        <w:tc>
          <w:tcPr>
            <w:tcW w:w="966" w:type="dxa"/>
          </w:tcPr>
          <w:p w14:paraId="4EA50D93" w14:textId="573277CE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2D068FFA" w14:textId="6E7D47A5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FCE3FE9" w14:textId="77777777" w:rsidR="00073874" w:rsidRPr="00912FEF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:rsidDel="00DC7D23" w14:paraId="24E42793" w14:textId="77777777" w:rsidTr="00912FEF">
        <w:tc>
          <w:tcPr>
            <w:tcW w:w="1167" w:type="dxa"/>
          </w:tcPr>
          <w:p w14:paraId="12819E85" w14:textId="4D4D18DB" w:rsidR="00DC7D23" w:rsidRPr="00912FEF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C-30.4</w:t>
            </w:r>
          </w:p>
        </w:tc>
        <w:tc>
          <w:tcPr>
            <w:tcW w:w="4562" w:type="dxa"/>
          </w:tcPr>
          <w:p w14:paraId="11AB05FF" w14:textId="3C553F38" w:rsidR="00DC7D23" w:rsidRPr="00912FEF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6 odst. 1</w:t>
            </w:r>
          </w:p>
        </w:tc>
        <w:tc>
          <w:tcPr>
            <w:tcW w:w="966" w:type="dxa"/>
          </w:tcPr>
          <w:p w14:paraId="6911CB85" w14:textId="7B10AB2C" w:rsidR="00DC7D23" w:rsidRPr="00912FEF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6AB99CE2" w14:textId="4983AB7F" w:rsidR="00DC7D23" w:rsidRPr="00912FEF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DC475B2" w14:textId="5B57125C" w:rsidR="00DC7D23" w:rsidRPr="00912FEF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431BB114" w14:textId="77777777" w:rsidTr="00912FEF">
        <w:tc>
          <w:tcPr>
            <w:tcW w:w="1167" w:type="dxa"/>
          </w:tcPr>
          <w:p w14:paraId="6CF0162A" w14:textId="70834A9F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C-30.5</w:t>
            </w:r>
          </w:p>
        </w:tc>
        <w:tc>
          <w:tcPr>
            <w:tcW w:w="4562" w:type="dxa"/>
          </w:tcPr>
          <w:p w14:paraId="518F41F7" w14:textId="161CAA92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6 odst. 2</w:t>
            </w:r>
          </w:p>
        </w:tc>
        <w:tc>
          <w:tcPr>
            <w:tcW w:w="966" w:type="dxa"/>
          </w:tcPr>
          <w:p w14:paraId="7FE2928B" w14:textId="123816BF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321CDB54" w14:textId="0CCD647F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1816F0AC" w14:textId="3E951E13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30AD45DE" w14:textId="77777777" w:rsidTr="00912FEF">
        <w:tc>
          <w:tcPr>
            <w:tcW w:w="1167" w:type="dxa"/>
          </w:tcPr>
          <w:p w14:paraId="027607F9" w14:textId="5E53B43F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C-30.6</w:t>
            </w:r>
          </w:p>
        </w:tc>
        <w:tc>
          <w:tcPr>
            <w:tcW w:w="4562" w:type="dxa"/>
          </w:tcPr>
          <w:p w14:paraId="051C862C" w14:textId="635C06F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 2 ve spojení s článkem 7</w:t>
            </w:r>
          </w:p>
        </w:tc>
        <w:tc>
          <w:tcPr>
            <w:tcW w:w="966" w:type="dxa"/>
          </w:tcPr>
          <w:p w14:paraId="3253E7A1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57E9EB50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43F532DE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0F3DFAB6" w14:textId="77777777" w:rsidTr="00912FEF">
        <w:tc>
          <w:tcPr>
            <w:tcW w:w="1167" w:type="dxa"/>
          </w:tcPr>
          <w:p w14:paraId="46653C9A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C-30.7</w:t>
            </w:r>
          </w:p>
        </w:tc>
        <w:tc>
          <w:tcPr>
            <w:tcW w:w="4562" w:type="dxa"/>
          </w:tcPr>
          <w:p w14:paraId="34D2AE65" w14:textId="56D915F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 2 ve spojení s článkem 8</w:t>
            </w:r>
          </w:p>
        </w:tc>
        <w:tc>
          <w:tcPr>
            <w:tcW w:w="966" w:type="dxa"/>
          </w:tcPr>
          <w:p w14:paraId="1179395A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7299F14F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16CB45B5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45467058" w14:textId="77777777" w:rsidTr="00912FEF">
        <w:tc>
          <w:tcPr>
            <w:tcW w:w="1167" w:type="dxa"/>
          </w:tcPr>
          <w:p w14:paraId="57C7D64E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lastRenderedPageBreak/>
              <w:t>C-30.8</w:t>
            </w:r>
          </w:p>
        </w:tc>
        <w:tc>
          <w:tcPr>
            <w:tcW w:w="4562" w:type="dxa"/>
          </w:tcPr>
          <w:p w14:paraId="28756566" w14:textId="0D4490D4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9 odst. 1</w:t>
            </w:r>
          </w:p>
        </w:tc>
        <w:tc>
          <w:tcPr>
            <w:tcW w:w="966" w:type="dxa"/>
          </w:tcPr>
          <w:p w14:paraId="3ABFC595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6A0BC290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033FB8E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5C78BBCC" w14:textId="77777777" w:rsidTr="00912FEF">
        <w:tc>
          <w:tcPr>
            <w:tcW w:w="1167" w:type="dxa"/>
          </w:tcPr>
          <w:p w14:paraId="04B9FEBC" w14:textId="01A07084" w:rsidR="00DC7D23" w:rsidRPr="00912FEF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C-30.9</w:t>
            </w:r>
          </w:p>
        </w:tc>
        <w:tc>
          <w:tcPr>
            <w:tcW w:w="4562" w:type="dxa"/>
          </w:tcPr>
          <w:p w14:paraId="6E6E319C" w14:textId="4234E061" w:rsidR="00DC7D23" w:rsidRPr="00912FEF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 2 ve spojení s čl. 9 odst. 2</w:t>
            </w:r>
          </w:p>
        </w:tc>
        <w:tc>
          <w:tcPr>
            <w:tcW w:w="966" w:type="dxa"/>
          </w:tcPr>
          <w:p w14:paraId="14721A2C" w14:textId="77777777" w:rsidR="00DC7D23" w:rsidRPr="00912FEF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7862BE0E" w14:textId="77777777" w:rsidR="00DC7D23" w:rsidRPr="00912FEF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7F222880" w14:textId="77777777" w:rsidR="00DC7D23" w:rsidRPr="00912FEF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912FEF" w14:paraId="06324BC5" w14:textId="77777777" w:rsidTr="00912FEF">
        <w:tc>
          <w:tcPr>
            <w:tcW w:w="1167" w:type="dxa"/>
          </w:tcPr>
          <w:p w14:paraId="3A50C02D" w14:textId="5C842D70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C-30.10</w:t>
            </w:r>
          </w:p>
        </w:tc>
        <w:tc>
          <w:tcPr>
            <w:tcW w:w="4562" w:type="dxa"/>
          </w:tcPr>
          <w:p w14:paraId="46E960E1" w14:textId="01DF211B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článek 2 ve spojení s článkem 10</w:t>
            </w:r>
          </w:p>
        </w:tc>
        <w:tc>
          <w:tcPr>
            <w:tcW w:w="966" w:type="dxa"/>
          </w:tcPr>
          <w:p w14:paraId="02366C1D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7CDE35E0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73C5CC0F" w14:textId="77777777" w:rsidR="00DC7D23" w:rsidRPr="00912FEF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912FEF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</w:tbl>
    <w:p w14:paraId="2997E83F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43B57AAD" w14:textId="378B236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13</w:t>
      </w:r>
    </w:p>
    <w:p w14:paraId="243004C2" w14:textId="50E4418C" w:rsidR="00073874" w:rsidRPr="008277F6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Kojenecká výživa a mléko pro kojence, které jsou uváděny na trh nebo označeny před 1. červencem 2024, mohou být i nadále uváděny na trh po tomto datu do vyprodání zásob. </w:t>
      </w:r>
    </w:p>
    <w:p w14:paraId="61334C02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07F7D826" w14:textId="13D9628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14</w:t>
      </w:r>
    </w:p>
    <w:p w14:paraId="4A2BE11A" w14:textId="6E189D18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Tento výnos nabývá účinnosti dne pondělí 1. července 2024.</w:t>
      </w:r>
    </w:p>
    <w:p w14:paraId="10677E3C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D628AD4" w14:textId="15A54649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Článek 15</w:t>
      </w:r>
    </w:p>
    <w:p w14:paraId="7874C858" w14:textId="614E47BD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Tento výnos bude uváděn jako: Výnos o kojenecké výživě a mléku pro kojence [Warenwetbesluit peuterdrank en peutermelk] k zákonu o komoditách.</w:t>
      </w:r>
    </w:p>
    <w:p w14:paraId="3336D66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9CAE4D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7B9B5EA" w14:textId="77777777" w:rsidR="00073874" w:rsidRPr="00CB0DBC" w:rsidRDefault="00073874" w:rsidP="0007387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Nařizujeme, aby byl tento výnos zveřejněn spolu se související důvodovou zprávou ve Vládním věstníku [Staatsblad].</w:t>
      </w:r>
    </w:p>
    <w:p w14:paraId="0A84B97D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p w14:paraId="20CC9DF8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Ministr pro zdravotní péči,</w:t>
      </w:r>
    </w:p>
    <w:p w14:paraId="64D4F75A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sectPr w:rsidR="00073874" w:rsidRPr="008E3BDA" w:rsidSect="001E6A24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829F" w14:textId="77777777" w:rsidR="00956955" w:rsidRDefault="00956955" w:rsidP="00073874">
      <w:pPr>
        <w:spacing w:line="240" w:lineRule="auto"/>
      </w:pPr>
      <w:r>
        <w:separator/>
      </w:r>
    </w:p>
  </w:endnote>
  <w:endnote w:type="continuationSeparator" w:id="0">
    <w:p w14:paraId="0257CE8D" w14:textId="77777777" w:rsidR="00956955" w:rsidRDefault="00956955" w:rsidP="0007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9065913"/>
      <w:docPartObj>
        <w:docPartGallery w:val="Page Numbers (Bottom of Page)"/>
        <w:docPartUnique/>
      </w:docPartObj>
    </w:sdtPr>
    <w:sdtEndPr/>
    <w:sdtContent>
      <w:p w14:paraId="37526F64" w14:textId="607172AA" w:rsidR="00257DAB" w:rsidRDefault="00257D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4E">
          <w:t>1</w:t>
        </w:r>
        <w:r>
          <w:fldChar w:fldCharType="end"/>
        </w:r>
      </w:p>
    </w:sdtContent>
  </w:sdt>
  <w:p w14:paraId="5BBA4C94" w14:textId="77777777" w:rsidR="00257DAB" w:rsidRDefault="0025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E7E3" w14:textId="77777777" w:rsidR="00956955" w:rsidRDefault="00956955" w:rsidP="00073874">
      <w:pPr>
        <w:spacing w:line="240" w:lineRule="auto"/>
      </w:pPr>
      <w:r>
        <w:separator/>
      </w:r>
    </w:p>
  </w:footnote>
  <w:footnote w:type="continuationSeparator" w:id="0">
    <w:p w14:paraId="046A2BCC" w14:textId="77777777" w:rsidR="00956955" w:rsidRDefault="00956955" w:rsidP="0007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20CD"/>
    <w:multiLevelType w:val="hybridMultilevel"/>
    <w:tmpl w:val="E81C314C"/>
    <w:lvl w:ilvl="0" w:tplc="7ACA22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FCF"/>
    <w:multiLevelType w:val="hybridMultilevel"/>
    <w:tmpl w:val="1A069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74"/>
    <w:rsid w:val="00000E03"/>
    <w:rsid w:val="0002112D"/>
    <w:rsid w:val="0003013B"/>
    <w:rsid w:val="00031260"/>
    <w:rsid w:val="000375C7"/>
    <w:rsid w:val="00037899"/>
    <w:rsid w:val="0004633C"/>
    <w:rsid w:val="00047386"/>
    <w:rsid w:val="000546B4"/>
    <w:rsid w:val="0005538C"/>
    <w:rsid w:val="00073874"/>
    <w:rsid w:val="00095032"/>
    <w:rsid w:val="000A0F4A"/>
    <w:rsid w:val="000A198F"/>
    <w:rsid w:val="000A5D03"/>
    <w:rsid w:val="000B0ACB"/>
    <w:rsid w:val="000C009E"/>
    <w:rsid w:val="000D4E45"/>
    <w:rsid w:val="000D62C5"/>
    <w:rsid w:val="000E2585"/>
    <w:rsid w:val="000E2D0F"/>
    <w:rsid w:val="000E4D4F"/>
    <w:rsid w:val="00100BB1"/>
    <w:rsid w:val="001124E1"/>
    <w:rsid w:val="001244A8"/>
    <w:rsid w:val="00154838"/>
    <w:rsid w:val="0016276C"/>
    <w:rsid w:val="00166C03"/>
    <w:rsid w:val="0017049C"/>
    <w:rsid w:val="00191C94"/>
    <w:rsid w:val="001A73D8"/>
    <w:rsid w:val="001B3D5C"/>
    <w:rsid w:val="001D379C"/>
    <w:rsid w:val="001E6A24"/>
    <w:rsid w:val="001E7E1A"/>
    <w:rsid w:val="00211C35"/>
    <w:rsid w:val="002203DD"/>
    <w:rsid w:val="00225C33"/>
    <w:rsid w:val="00234B63"/>
    <w:rsid w:val="00234D7C"/>
    <w:rsid w:val="0023526F"/>
    <w:rsid w:val="00237DA4"/>
    <w:rsid w:val="0024253C"/>
    <w:rsid w:val="002456DA"/>
    <w:rsid w:val="0025344E"/>
    <w:rsid w:val="002579E1"/>
    <w:rsid w:val="00257DAB"/>
    <w:rsid w:val="002621D1"/>
    <w:rsid w:val="00266767"/>
    <w:rsid w:val="0027028F"/>
    <w:rsid w:val="00270B6F"/>
    <w:rsid w:val="0027267D"/>
    <w:rsid w:val="002768BA"/>
    <w:rsid w:val="0028451C"/>
    <w:rsid w:val="00286416"/>
    <w:rsid w:val="00290255"/>
    <w:rsid w:val="002A37C3"/>
    <w:rsid w:val="002A6B53"/>
    <w:rsid w:val="002C5A51"/>
    <w:rsid w:val="002C6EFA"/>
    <w:rsid w:val="002F6BAD"/>
    <w:rsid w:val="003021DC"/>
    <w:rsid w:val="0031402C"/>
    <w:rsid w:val="00325747"/>
    <w:rsid w:val="00334A91"/>
    <w:rsid w:val="00371B72"/>
    <w:rsid w:val="003801DD"/>
    <w:rsid w:val="00380913"/>
    <w:rsid w:val="00392F3B"/>
    <w:rsid w:val="003B61C5"/>
    <w:rsid w:val="003C4B64"/>
    <w:rsid w:val="003E3E7E"/>
    <w:rsid w:val="00400B32"/>
    <w:rsid w:val="00400B7F"/>
    <w:rsid w:val="004141E8"/>
    <w:rsid w:val="00414875"/>
    <w:rsid w:val="00422163"/>
    <w:rsid w:val="004238EE"/>
    <w:rsid w:val="004329C1"/>
    <w:rsid w:val="0043686E"/>
    <w:rsid w:val="00454516"/>
    <w:rsid w:val="00457D0F"/>
    <w:rsid w:val="00462A18"/>
    <w:rsid w:val="00475347"/>
    <w:rsid w:val="004809C5"/>
    <w:rsid w:val="00482383"/>
    <w:rsid w:val="004A18E2"/>
    <w:rsid w:val="004B4EE4"/>
    <w:rsid w:val="004B593D"/>
    <w:rsid w:val="004D0283"/>
    <w:rsid w:val="004D7AA0"/>
    <w:rsid w:val="004F4889"/>
    <w:rsid w:val="004F5B65"/>
    <w:rsid w:val="005027EB"/>
    <w:rsid w:val="00505260"/>
    <w:rsid w:val="005072C3"/>
    <w:rsid w:val="0051441C"/>
    <w:rsid w:val="00521A04"/>
    <w:rsid w:val="005303EC"/>
    <w:rsid w:val="00532AC5"/>
    <w:rsid w:val="00540C1F"/>
    <w:rsid w:val="00545ABF"/>
    <w:rsid w:val="00565299"/>
    <w:rsid w:val="00577318"/>
    <w:rsid w:val="00581300"/>
    <w:rsid w:val="00584CAA"/>
    <w:rsid w:val="005877D0"/>
    <w:rsid w:val="0059594E"/>
    <w:rsid w:val="0059787D"/>
    <w:rsid w:val="005B0663"/>
    <w:rsid w:val="005B0DC1"/>
    <w:rsid w:val="005C0E3B"/>
    <w:rsid w:val="005D0963"/>
    <w:rsid w:val="006102DF"/>
    <w:rsid w:val="00631ED3"/>
    <w:rsid w:val="006331C0"/>
    <w:rsid w:val="006335F5"/>
    <w:rsid w:val="00660C7E"/>
    <w:rsid w:val="00676B7C"/>
    <w:rsid w:val="006807DD"/>
    <w:rsid w:val="006840FC"/>
    <w:rsid w:val="006B7FCA"/>
    <w:rsid w:val="006C4BDA"/>
    <w:rsid w:val="006D389E"/>
    <w:rsid w:val="006E077E"/>
    <w:rsid w:val="006E48AA"/>
    <w:rsid w:val="006E7F1E"/>
    <w:rsid w:val="0072212E"/>
    <w:rsid w:val="00724F51"/>
    <w:rsid w:val="0073041E"/>
    <w:rsid w:val="00730E63"/>
    <w:rsid w:val="0073634C"/>
    <w:rsid w:val="00737339"/>
    <w:rsid w:val="00746D48"/>
    <w:rsid w:val="00747B9B"/>
    <w:rsid w:val="0075403D"/>
    <w:rsid w:val="007627C8"/>
    <w:rsid w:val="00764204"/>
    <w:rsid w:val="0076701E"/>
    <w:rsid w:val="007B00E7"/>
    <w:rsid w:val="007B3D83"/>
    <w:rsid w:val="007B7B80"/>
    <w:rsid w:val="007C3FD0"/>
    <w:rsid w:val="007E5A21"/>
    <w:rsid w:val="007E5BD3"/>
    <w:rsid w:val="007E7386"/>
    <w:rsid w:val="007E7C74"/>
    <w:rsid w:val="007F7F81"/>
    <w:rsid w:val="00834842"/>
    <w:rsid w:val="00841B95"/>
    <w:rsid w:val="00854ACF"/>
    <w:rsid w:val="00870DEE"/>
    <w:rsid w:val="00876EE8"/>
    <w:rsid w:val="008819DA"/>
    <w:rsid w:val="00883613"/>
    <w:rsid w:val="00896EB5"/>
    <w:rsid w:val="00897739"/>
    <w:rsid w:val="008D7371"/>
    <w:rsid w:val="008E0733"/>
    <w:rsid w:val="008F2647"/>
    <w:rsid w:val="009070C5"/>
    <w:rsid w:val="00912FEF"/>
    <w:rsid w:val="009150ED"/>
    <w:rsid w:val="009156A4"/>
    <w:rsid w:val="0092246A"/>
    <w:rsid w:val="0092347D"/>
    <w:rsid w:val="00944236"/>
    <w:rsid w:val="00956955"/>
    <w:rsid w:val="00957AB1"/>
    <w:rsid w:val="00964D0F"/>
    <w:rsid w:val="00965F6C"/>
    <w:rsid w:val="009713F8"/>
    <w:rsid w:val="00971F3D"/>
    <w:rsid w:val="009730E5"/>
    <w:rsid w:val="0098580F"/>
    <w:rsid w:val="009866E2"/>
    <w:rsid w:val="009C4F74"/>
    <w:rsid w:val="009D3657"/>
    <w:rsid w:val="009F334D"/>
    <w:rsid w:val="00A00174"/>
    <w:rsid w:val="00A008A6"/>
    <w:rsid w:val="00A14688"/>
    <w:rsid w:val="00A563C1"/>
    <w:rsid w:val="00A73D5F"/>
    <w:rsid w:val="00A83879"/>
    <w:rsid w:val="00A85E04"/>
    <w:rsid w:val="00AA6A46"/>
    <w:rsid w:val="00AC2E65"/>
    <w:rsid w:val="00AF401F"/>
    <w:rsid w:val="00AF4BA3"/>
    <w:rsid w:val="00B04265"/>
    <w:rsid w:val="00B06701"/>
    <w:rsid w:val="00B164DB"/>
    <w:rsid w:val="00B24196"/>
    <w:rsid w:val="00B322D3"/>
    <w:rsid w:val="00B34DD2"/>
    <w:rsid w:val="00B35C84"/>
    <w:rsid w:val="00B36EFB"/>
    <w:rsid w:val="00B41848"/>
    <w:rsid w:val="00B41F02"/>
    <w:rsid w:val="00B44F89"/>
    <w:rsid w:val="00B52804"/>
    <w:rsid w:val="00B55A8F"/>
    <w:rsid w:val="00B5685B"/>
    <w:rsid w:val="00B60796"/>
    <w:rsid w:val="00B64DAB"/>
    <w:rsid w:val="00B7435C"/>
    <w:rsid w:val="00B8309A"/>
    <w:rsid w:val="00B933E5"/>
    <w:rsid w:val="00B93A20"/>
    <w:rsid w:val="00B95EBE"/>
    <w:rsid w:val="00BA4FA0"/>
    <w:rsid w:val="00BB4633"/>
    <w:rsid w:val="00BB5EAC"/>
    <w:rsid w:val="00BB705A"/>
    <w:rsid w:val="00BC2B82"/>
    <w:rsid w:val="00BC5175"/>
    <w:rsid w:val="00BE3067"/>
    <w:rsid w:val="00BE3126"/>
    <w:rsid w:val="00BF20C8"/>
    <w:rsid w:val="00BF2F00"/>
    <w:rsid w:val="00C06C6D"/>
    <w:rsid w:val="00C12CF7"/>
    <w:rsid w:val="00C44179"/>
    <w:rsid w:val="00C515D0"/>
    <w:rsid w:val="00C52319"/>
    <w:rsid w:val="00C535E4"/>
    <w:rsid w:val="00C66D63"/>
    <w:rsid w:val="00C66F73"/>
    <w:rsid w:val="00C74AF5"/>
    <w:rsid w:val="00C822BC"/>
    <w:rsid w:val="00C900A8"/>
    <w:rsid w:val="00CA426F"/>
    <w:rsid w:val="00CA5F2B"/>
    <w:rsid w:val="00CB26A0"/>
    <w:rsid w:val="00CB2CC1"/>
    <w:rsid w:val="00CB36D9"/>
    <w:rsid w:val="00CD036B"/>
    <w:rsid w:val="00CE5201"/>
    <w:rsid w:val="00D06C41"/>
    <w:rsid w:val="00D22269"/>
    <w:rsid w:val="00D25FDC"/>
    <w:rsid w:val="00D34187"/>
    <w:rsid w:val="00D347C8"/>
    <w:rsid w:val="00D42469"/>
    <w:rsid w:val="00D44514"/>
    <w:rsid w:val="00D51B0B"/>
    <w:rsid w:val="00D51EA2"/>
    <w:rsid w:val="00D51F71"/>
    <w:rsid w:val="00D66CE4"/>
    <w:rsid w:val="00D80BBA"/>
    <w:rsid w:val="00D9307A"/>
    <w:rsid w:val="00D94A3C"/>
    <w:rsid w:val="00D97071"/>
    <w:rsid w:val="00DA004C"/>
    <w:rsid w:val="00DA6796"/>
    <w:rsid w:val="00DC2C76"/>
    <w:rsid w:val="00DC407B"/>
    <w:rsid w:val="00DC7D23"/>
    <w:rsid w:val="00DD1F68"/>
    <w:rsid w:val="00DD2B92"/>
    <w:rsid w:val="00DE1209"/>
    <w:rsid w:val="00DE18C7"/>
    <w:rsid w:val="00DE5592"/>
    <w:rsid w:val="00DE779A"/>
    <w:rsid w:val="00E04C7B"/>
    <w:rsid w:val="00E05592"/>
    <w:rsid w:val="00E14DFC"/>
    <w:rsid w:val="00E1525F"/>
    <w:rsid w:val="00E36E79"/>
    <w:rsid w:val="00E378D0"/>
    <w:rsid w:val="00E54640"/>
    <w:rsid w:val="00E576A4"/>
    <w:rsid w:val="00E70C0C"/>
    <w:rsid w:val="00E71653"/>
    <w:rsid w:val="00E80149"/>
    <w:rsid w:val="00E80720"/>
    <w:rsid w:val="00E836B5"/>
    <w:rsid w:val="00E85F3B"/>
    <w:rsid w:val="00E93B99"/>
    <w:rsid w:val="00EA37B3"/>
    <w:rsid w:val="00EA4831"/>
    <w:rsid w:val="00ED52D0"/>
    <w:rsid w:val="00EE1775"/>
    <w:rsid w:val="00F02BEB"/>
    <w:rsid w:val="00F05EA7"/>
    <w:rsid w:val="00F14888"/>
    <w:rsid w:val="00F170DF"/>
    <w:rsid w:val="00F62098"/>
    <w:rsid w:val="00F7506D"/>
    <w:rsid w:val="00F7612A"/>
    <w:rsid w:val="00F84BCA"/>
    <w:rsid w:val="00F85F83"/>
    <w:rsid w:val="00FB1C65"/>
    <w:rsid w:val="00FD5826"/>
    <w:rsid w:val="00FD59CB"/>
    <w:rsid w:val="00FD5CF9"/>
    <w:rsid w:val="00FE7010"/>
    <w:rsid w:val="00FF258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27F"/>
  <w15:chartTrackingRefBased/>
  <w15:docId w15:val="{E4A0EE8F-BA77-4E07-93FC-232D284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74"/>
    <w:pPr>
      <w:spacing w:after="0" w:line="260" w:lineRule="exact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73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74"/>
    <w:rPr>
      <w:rFonts w:ascii="Univers" w:eastAsia="Times New Roman" w:hAnsi="Univers" w:cs="Times New Roman"/>
      <w:sz w:val="20"/>
      <w:szCs w:val="20"/>
      <w:lang w:val="cs-CZ" w:eastAsia="nl-NL"/>
    </w:rPr>
  </w:style>
  <w:style w:type="paragraph" w:styleId="FootnoteText">
    <w:name w:val="footnote text"/>
    <w:basedOn w:val="Normal"/>
    <w:link w:val="FootnoteTextChar"/>
    <w:semiHidden/>
    <w:rsid w:val="000738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73874"/>
    <w:rPr>
      <w:rFonts w:ascii="Univers" w:eastAsia="Times New Roman" w:hAnsi="Univers" w:cs="Times New Roman"/>
      <w:sz w:val="20"/>
      <w:szCs w:val="20"/>
      <w:lang w:val="cs-CZ" w:eastAsia="nl-NL"/>
    </w:rPr>
  </w:style>
  <w:style w:type="character" w:styleId="FootnoteReference">
    <w:name w:val="footnote reference"/>
    <w:basedOn w:val="DefaultParagraphFont"/>
    <w:uiPriority w:val="99"/>
    <w:semiHidden/>
    <w:rsid w:val="000738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8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73874"/>
    <w:rPr>
      <w:sz w:val="16"/>
      <w:szCs w:val="16"/>
    </w:rPr>
  </w:style>
  <w:style w:type="table" w:styleId="TableGrid">
    <w:name w:val="Table Grid"/>
    <w:basedOn w:val="TableNormal"/>
    <w:uiPriority w:val="59"/>
    <w:rsid w:val="0007387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3874"/>
    <w:rPr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Segoe UI" w:eastAsia="Times New Roman" w:hAnsi="Segoe UI" w:cs="Segoe UI"/>
      <w:szCs w:val="18"/>
      <w:lang w:val="cs-CZ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74"/>
    <w:rPr>
      <w:rFonts w:ascii="Univers" w:eastAsia="Times New Roman" w:hAnsi="Univers" w:cs="Times New Roman"/>
      <w:b/>
      <w:bCs/>
      <w:sz w:val="20"/>
      <w:szCs w:val="20"/>
      <w:lang w:val="cs-CZ" w:eastAsia="nl-NL"/>
    </w:rPr>
  </w:style>
  <w:style w:type="character" w:styleId="Hyperlink">
    <w:name w:val="Hyperlink"/>
    <w:basedOn w:val="DefaultParagraphFont"/>
    <w:uiPriority w:val="99"/>
    <w:semiHidden/>
    <w:unhideWhenUsed/>
    <w:rsid w:val="006E48AA"/>
    <w:rPr>
      <w:strike w:val="0"/>
      <w:dstrike w:val="0"/>
      <w:color w:val="0065A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E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B"/>
    <w:rPr>
      <w:rFonts w:ascii="Univers" w:eastAsia="Times New Roman" w:hAnsi="Univers" w:cs="Times New Roman"/>
      <w:sz w:val="20"/>
      <w:szCs w:val="20"/>
      <w:lang w:val="cs-CZ" w:eastAsia="nl-NL"/>
    </w:rPr>
  </w:style>
  <w:style w:type="paragraph" w:styleId="Footer">
    <w:name w:val="footer"/>
    <w:basedOn w:val="Normal"/>
    <w:link w:val="Foot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B"/>
    <w:rPr>
      <w:rFonts w:ascii="Univers" w:eastAsia="Times New Roman" w:hAnsi="Univers" w:cs="Times New Roman"/>
      <w:sz w:val="20"/>
      <w:szCs w:val="20"/>
      <w:lang w:val="cs-CZ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6397-2FA2-4805-B898-5A05937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Kortstam, E.A.G. (Elouise)</dc:creator>
  <cp:keywords/>
  <dc:description/>
  <cp:lastModifiedBy>Diana STOICA</cp:lastModifiedBy>
  <cp:revision>4</cp:revision>
  <dcterms:created xsi:type="dcterms:W3CDTF">2020-07-27T13:13:00Z</dcterms:created>
  <dcterms:modified xsi:type="dcterms:W3CDTF">2020-08-03T11:39:00Z</dcterms:modified>
</cp:coreProperties>
</file>