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A45088" w:rsidRPr="00A45088" w14:paraId="173847B1" w14:textId="77777777" w:rsidTr="00284CCF">
        <w:trPr>
          <w:tblCellSpacing w:w="15" w:type="dxa"/>
          <w:jc w:val="center"/>
        </w:trPr>
        <w:tc>
          <w:tcPr>
            <w:tcW w:w="5000" w:type="pct"/>
            <w:vAlign w:val="center"/>
          </w:tcPr>
          <w:p w14:paraId="39A8AE6C" w14:textId="35792FC8" w:rsidR="00A45088" w:rsidRPr="00A45088" w:rsidRDefault="00A45088" w:rsidP="00A45088">
            <w:pPr>
              <w:spacing w:after="0" w:line="240" w:lineRule="auto"/>
              <w:jc w:val="center"/>
              <w:rPr>
                <w:rFonts w:ascii="Times New Roman" w:eastAsia="Times New Roman" w:hAnsi="Times New Roman" w:cs="Times New Roman"/>
                <w:sz w:val="24"/>
                <w:szCs w:val="24"/>
                <w:lang w:eastAsia="en-GB"/>
              </w:rPr>
            </w:pPr>
          </w:p>
        </w:tc>
      </w:tr>
    </w:tbl>
    <w:p w14:paraId="3FAD88BF" w14:textId="77777777" w:rsidR="00B15609" w:rsidRDefault="00A45088" w:rsidP="00A45088">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br/>
      </w:r>
      <w:r>
        <w:rPr>
          <w:rFonts w:ascii="Times New Roman" w:hAnsi="Times New Roman"/>
          <w:color w:val="000000"/>
          <w:sz w:val="27"/>
        </w:rPr>
        <w:br/>
        <w:t>27 ÚNORA 2023. - Královský výnos, kterým se stanoví podmínky pro reklamu na hazardní hry</w:t>
      </w:r>
    </w:p>
    <w:p w14:paraId="75B0BB42" w14:textId="77777777" w:rsidR="00B15609" w:rsidRDefault="00A45088" w:rsidP="00A45088">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FILIP, král Belgičanů,</w:t>
      </w:r>
    </w:p>
    <w:p w14:paraId="4ADE7956" w14:textId="77777777" w:rsidR="00B15609" w:rsidRDefault="00A45088" w:rsidP="00A45088">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všem přítomným a těm, kteří přijdou, pozdravy.</w:t>
      </w:r>
    </w:p>
    <w:p w14:paraId="4886D964" w14:textId="77777777" w:rsidR="00B15609" w:rsidRDefault="00A45088" w:rsidP="00A45088">
      <w:pPr>
        <w:spacing w:after="0" w:line="240" w:lineRule="auto"/>
        <w:rPr>
          <w:rFonts w:ascii="Times New Roman" w:eastAsia="Times New Roman" w:hAnsi="Times New Roman" w:cs="Times New Roman"/>
          <w:color w:val="000000"/>
          <w:sz w:val="27"/>
          <w:szCs w:val="27"/>
        </w:rPr>
      </w:pPr>
      <w:r>
        <w:rPr>
          <w:rFonts w:ascii="Times New Roman" w:hAnsi="Times New Roman"/>
          <w:color w:val="000000"/>
          <w:sz w:val="27"/>
        </w:rPr>
        <w:t>s ohledem na zákon ze dne 7. května 1999 o hazardních hrách, sázkách, hazardních zařízeních a ochraně hráčů, čl. 61 odst. 2 vložený zákonem ze dne 7. května 2019;</w:t>
      </w:r>
      <w:r>
        <w:rPr>
          <w:rFonts w:ascii="Times New Roman" w:hAnsi="Times New Roman"/>
          <w:color w:val="000000"/>
          <w:sz w:val="27"/>
        </w:rPr>
        <w:br/>
        <w:t>s ohledem na královský výnos ze dne 25. října 2018 o podmínkách hazardních her a sázek za použití nástrojů informační společnosti;</w:t>
      </w:r>
      <w:r>
        <w:rPr>
          <w:rFonts w:ascii="Times New Roman" w:hAnsi="Times New Roman"/>
          <w:color w:val="000000"/>
          <w:sz w:val="27"/>
        </w:rPr>
        <w:br/>
        <w:t>s ohledem na stanovisko Komise pro hazardní hry vydané dne 5. dubna 2022;</w:t>
      </w:r>
    </w:p>
    <w:p w14:paraId="0F5DAB39" w14:textId="7A3FC1B1" w:rsidR="00A45088" w:rsidRPr="00A45088" w:rsidRDefault="00A45088" w:rsidP="00A45088">
      <w:pPr>
        <w:spacing w:after="0" w:line="240" w:lineRule="auto"/>
        <w:rPr>
          <w:rFonts w:ascii="Times New Roman" w:eastAsia="Times New Roman" w:hAnsi="Times New Roman" w:cs="Times New Roman"/>
          <w:sz w:val="24"/>
          <w:szCs w:val="24"/>
        </w:rPr>
      </w:pPr>
      <w:r>
        <w:rPr>
          <w:rFonts w:ascii="Times New Roman" w:hAnsi="Times New Roman"/>
          <w:color w:val="000000"/>
          <w:sz w:val="27"/>
        </w:rPr>
        <w:t>s ohledem na stanovisko finančního inspektora ze dne 28. dubna 2022;</w:t>
      </w:r>
      <w:r>
        <w:rPr>
          <w:rFonts w:ascii="Times New Roman" w:hAnsi="Times New Roman"/>
          <w:color w:val="000000"/>
          <w:sz w:val="27"/>
        </w:rPr>
        <w:br/>
        <w:t>s ohledem na souhlas státního tajemníka pro rozpočet ze dne 4. května 2022;</w:t>
      </w:r>
      <w:r>
        <w:rPr>
          <w:rFonts w:ascii="Times New Roman" w:hAnsi="Times New Roman"/>
          <w:color w:val="000000"/>
          <w:sz w:val="27"/>
        </w:rPr>
        <w:br/>
        <w:t>s ohledem na sdělení Evropské komisi 2022/0332/B podané dne 8. května 2022, podle čl. 5 odst. 1 směrnice Evropského parlamentu a Rady (EU) 2015/1535 ze dne 9. září 2015 o postupu při poskytování informací v oblasti technických předpisů a pravidel pro služby informační společnosti;</w:t>
      </w:r>
      <w:r>
        <w:rPr>
          <w:rFonts w:ascii="Times New Roman" w:hAnsi="Times New Roman"/>
          <w:color w:val="000000"/>
          <w:sz w:val="27"/>
        </w:rPr>
        <w:br/>
        <w:t>S ohledem na stanovisko Státní rady č. 72.190/4 vydané dne 12. října 2022 a na stanovisko Státní rady č. 72.838/4 vydané dne 6. února 2023 podle článku 84, §1 odst. 1, bod 2, zákonů o Státní radě, konsolidovaných 12. ledna 1973;</w:t>
      </w:r>
      <w:r>
        <w:rPr>
          <w:rFonts w:ascii="Times New Roman" w:hAnsi="Times New Roman"/>
          <w:color w:val="000000"/>
          <w:sz w:val="27"/>
        </w:rPr>
        <w:br/>
        <w:t>Na návrh ministra hospodářství, ministra financí odpovědného za Národní loterii, ministra zdravotnictví, ministra spravedlnosti a ministra vnitra,</w:t>
      </w:r>
      <w:r>
        <w:rPr>
          <w:rFonts w:ascii="Times New Roman" w:hAnsi="Times New Roman"/>
          <w:color w:val="000000"/>
          <w:sz w:val="27"/>
        </w:rPr>
        <w:br/>
        <w:t>Nařídil jsem a tímto nařizuji:</w:t>
      </w:r>
      <w:r>
        <w:rPr>
          <w:rFonts w:ascii="Times New Roman" w:hAnsi="Times New Roman"/>
          <w:color w:val="000000"/>
          <w:sz w:val="27"/>
        </w:rPr>
        <w:br/>
        <w:t>Kapitola 1. – Oblast působnosti a definice</w:t>
      </w:r>
      <w:r>
        <w:rPr>
          <w:rFonts w:ascii="Times New Roman" w:hAnsi="Times New Roman"/>
          <w:color w:val="000000"/>
          <w:sz w:val="27"/>
        </w:rPr>
        <w:br/>
        <w:t>Článek 1. S výhradou královského výnosu ze dne 22. prosince 2010, kterým se stanoví podmínky pro sázení mimo hazardní zařízení třídy IV, se tento výnos vztahuje na držitele licencí pro hazardní hry třídy A, A+, B+, F1, F1+, F1P, F2 a E.</w:t>
      </w:r>
      <w:r>
        <w:rPr>
          <w:rFonts w:ascii="Times New Roman" w:hAnsi="Times New Roman"/>
          <w:color w:val="000000"/>
          <w:sz w:val="27"/>
        </w:rPr>
        <w:br/>
        <w:t>Pouze držitelé licence uvedení v odstavci 1 mohou inzerovat za podmínek stanovených v tomto výnosu.</w:t>
      </w:r>
      <w:r>
        <w:rPr>
          <w:rFonts w:ascii="Times New Roman" w:hAnsi="Times New Roman"/>
          <w:color w:val="000000"/>
          <w:sz w:val="27"/>
        </w:rPr>
        <w:br/>
        <w:t>Článek 2. Povoleny jsou pouze formy reklamy uvedené v kapitole 2.</w:t>
      </w:r>
      <w:r>
        <w:rPr>
          <w:rFonts w:ascii="Times New Roman" w:hAnsi="Times New Roman"/>
          <w:color w:val="000000"/>
          <w:sz w:val="27"/>
        </w:rPr>
        <w:br/>
        <w:t>Článek 3. Pro účely tohoto výnosu se níže uvedenými výrazy rozumí:</w:t>
      </w:r>
      <w:r>
        <w:rPr>
          <w:rFonts w:ascii="Times New Roman" w:hAnsi="Times New Roman"/>
          <w:color w:val="000000"/>
          <w:sz w:val="27"/>
        </w:rPr>
        <w:br/>
        <w:t>1. „Zákon o hazardních hrách“: zákon ze dne 7. května 1999 o hazardních hrách, sázkách, hazardních zařízeních a ochraně hráčů;</w:t>
      </w:r>
      <w:r>
        <w:rPr>
          <w:rFonts w:ascii="Times New Roman" w:hAnsi="Times New Roman"/>
          <w:color w:val="000000"/>
          <w:sz w:val="27"/>
        </w:rPr>
        <w:br/>
        <w:t>2. „hazardní hry“: hazardní hry uvedené v čl. 2 odst. 1 zákona o hazardních hrách;</w:t>
      </w:r>
      <w:r>
        <w:rPr>
          <w:rFonts w:ascii="Times New Roman" w:hAnsi="Times New Roman"/>
          <w:color w:val="000000"/>
          <w:sz w:val="27"/>
        </w:rPr>
        <w:br/>
        <w:t>3. „reklama“: jakákoli forma komunikace nebo akce, jiná než uvedená v čl. 60 odst. 2 druhém pododstavci zákona o hazardních hrách, která je zaměřena přímo nebo nepřímo na propagaci hazardních her nebo na podněcování hazardních her, bez ohledu na místo, použité komunikační prostředky nebo použité techniky. Pro účely tohoto výnosu se připojení značky nebo loga nebo obojího považuje za reklamu;</w:t>
      </w:r>
      <w:r>
        <w:rPr>
          <w:rFonts w:ascii="Times New Roman" w:hAnsi="Times New Roman"/>
          <w:color w:val="000000"/>
          <w:sz w:val="27"/>
        </w:rPr>
        <w:br/>
        <w:t xml:space="preserve">4. „sportovní sponzorství“: podpora sportovních svazů a sportovních akcí poskytováním finančních prostředků nebo jiných forem podpory s cílem získat větší viditelnost, aniž by byla na jméno sportovního svazu nebo sportovní akce </w:t>
      </w:r>
      <w:r>
        <w:rPr>
          <w:rFonts w:ascii="Times New Roman" w:hAnsi="Times New Roman"/>
          <w:color w:val="000000"/>
          <w:sz w:val="27"/>
        </w:rPr>
        <w:lastRenderedPageBreak/>
        <w:t>použita značka nebo logo držitele licence uvedené v článku 1. Pro účely tohoto výnosu se sportovní sponzorství považuje za reklamu;</w:t>
      </w:r>
      <w:r>
        <w:rPr>
          <w:rFonts w:ascii="Times New Roman" w:hAnsi="Times New Roman"/>
          <w:color w:val="000000"/>
          <w:sz w:val="27"/>
        </w:rPr>
        <w:br/>
        <w:t>5. „profesionální sportovní svaz“: sportovní svaz, kde je sport vykonáván profesionálně a sportovci se účastní olympijských her, paralympijských her, světových her, mistrovství světa, mistrovství Evropy nebo Belgie nebo nejvyšších divizí národní soutěže organizované nebo pod dohledem uznané sportovní federace;</w:t>
      </w:r>
      <w:r>
        <w:rPr>
          <w:rFonts w:ascii="Times New Roman" w:hAnsi="Times New Roman"/>
          <w:color w:val="000000"/>
          <w:sz w:val="27"/>
        </w:rPr>
        <w:br/>
        <w:t>6. „neprofesionální sportovní svaz“: sportovní svaz, které nesplňuje definici uvedenou v bodě 5;</w:t>
      </w:r>
      <w:r>
        <w:rPr>
          <w:rFonts w:ascii="Times New Roman" w:hAnsi="Times New Roman"/>
          <w:color w:val="000000"/>
          <w:sz w:val="27"/>
        </w:rPr>
        <w:br/>
        <w:t>7. „značka“: kombinace nejvýše tří slov umožňujících rozlišit držitele licence uvedené v článku 1;</w:t>
      </w:r>
      <w:r>
        <w:rPr>
          <w:rFonts w:ascii="Times New Roman" w:hAnsi="Times New Roman"/>
          <w:color w:val="000000"/>
          <w:sz w:val="27"/>
        </w:rPr>
        <w:br/>
        <w:t>8. „logo“: obrazový nebo částečně obrazový prvek umožňující rozlišit držitele licence, jak je uvedeno v článku 1.</w:t>
      </w:r>
      <w:r>
        <w:rPr>
          <w:rFonts w:ascii="Times New Roman" w:hAnsi="Times New Roman"/>
          <w:color w:val="000000"/>
          <w:sz w:val="27"/>
        </w:rPr>
        <w:br/>
      </w:r>
      <w:r>
        <w:rPr>
          <w:rFonts w:ascii="Times New Roman" w:hAnsi="Times New Roman"/>
          <w:caps/>
          <w:color w:val="000000"/>
          <w:sz w:val="27"/>
        </w:rPr>
        <w:t>Kapitola</w:t>
      </w:r>
      <w:r>
        <w:rPr>
          <w:rFonts w:ascii="Times New Roman" w:hAnsi="Times New Roman"/>
          <w:color w:val="000000"/>
          <w:sz w:val="27"/>
        </w:rPr>
        <w:t> 2. – Formy schválené reklamy</w:t>
      </w:r>
      <w:r>
        <w:rPr>
          <w:rFonts w:ascii="Times New Roman" w:hAnsi="Times New Roman"/>
          <w:color w:val="000000"/>
          <w:sz w:val="27"/>
        </w:rPr>
        <w:br/>
        <w:t>Článek 4. Držitelé licence uvedení v článku 1 mohou inzerovat pro sebe a pro služby hazardních her, které nabízejí, za předpokladu, že jsou určeny výhradně osobám pracujícím v odvětví hazardních her.</w:t>
      </w:r>
      <w:r>
        <w:rPr>
          <w:rFonts w:ascii="Times New Roman" w:hAnsi="Times New Roman"/>
          <w:color w:val="000000"/>
          <w:sz w:val="27"/>
        </w:rPr>
        <w:br/>
        <w:t>Článek 5. Příležitostná reklama v souvislosti s hlášením sportovních soutěží a událostí je povolena.</w:t>
      </w:r>
      <w:r>
        <w:rPr>
          <w:rFonts w:ascii="Times New Roman" w:hAnsi="Times New Roman"/>
          <w:color w:val="000000"/>
          <w:sz w:val="27"/>
        </w:rPr>
        <w:br/>
        <w:t>Článek 6. § 1. Sportovní sponzorství pro držitele licence uvedené v článku 1 je povoleno pro:</w:t>
      </w:r>
      <w:r>
        <w:rPr>
          <w:rFonts w:ascii="Times New Roman" w:hAnsi="Times New Roman"/>
          <w:color w:val="000000"/>
          <w:sz w:val="27"/>
        </w:rPr>
        <w:br/>
        <w:t>1) neprofesionální sportovní svazy;</w:t>
      </w:r>
      <w:r>
        <w:rPr>
          <w:rFonts w:ascii="Times New Roman" w:hAnsi="Times New Roman"/>
          <w:color w:val="000000"/>
          <w:sz w:val="27"/>
        </w:rPr>
        <w:br/>
        <w:t>2) profesionální sportovní svazy.</w:t>
      </w:r>
      <w:r>
        <w:rPr>
          <w:rFonts w:ascii="Times New Roman" w:hAnsi="Times New Roman"/>
          <w:color w:val="000000"/>
          <w:sz w:val="27"/>
        </w:rPr>
        <w:br/>
        <w:t>§ 2. Sportovní sponzorství je povoleno pouze připojením značky nebo loga, nebo obojího, na:</w:t>
      </w:r>
      <w:r>
        <w:rPr>
          <w:rFonts w:ascii="Times New Roman" w:hAnsi="Times New Roman"/>
          <w:color w:val="000000"/>
          <w:sz w:val="27"/>
        </w:rPr>
        <w:br/>
        <w:t>1. sportovní oblečení hráčů, jiných než hráčů, kteří jsou nezletilí, nebo sportovních týmů;</w:t>
      </w:r>
      <w:r>
        <w:rPr>
          <w:rFonts w:ascii="Times New Roman" w:hAnsi="Times New Roman"/>
          <w:color w:val="000000"/>
          <w:sz w:val="27"/>
        </w:rPr>
        <w:br/>
        <w:t>2. v místě, kde se hraje sport.</w:t>
      </w:r>
      <w:r>
        <w:rPr>
          <w:rFonts w:ascii="Times New Roman" w:hAnsi="Times New Roman"/>
          <w:color w:val="000000"/>
          <w:sz w:val="27"/>
        </w:rPr>
        <w:br/>
        <w:t>Inzerce uvedená v odstavci 1 odst. 1 se vztahuje na všechny příslušné držitele licence a nesmí zabírat více než 50 cm</w:t>
      </w:r>
      <w:r>
        <w:rPr>
          <w:rFonts w:ascii="Times New Roman" w:hAnsi="Times New Roman"/>
          <w:color w:val="000000"/>
          <w:sz w:val="24"/>
          <w:vertAlign w:val="superscript"/>
        </w:rPr>
        <w:t>2</w:t>
      </w:r>
      <w:r>
        <w:rPr>
          <w:rFonts w:ascii="Times New Roman" w:hAnsi="Times New Roman"/>
          <w:color w:val="000000"/>
          <w:sz w:val="27"/>
        </w:rPr>
        <w:t xml:space="preserve"> z celkové plochy sportovního oblečení hráčů, a nesmí být umístěna na přední straně sportovního oblečení.</w:t>
      </w:r>
      <w:r>
        <w:rPr>
          <w:rFonts w:ascii="Times New Roman" w:hAnsi="Times New Roman"/>
          <w:color w:val="000000"/>
          <w:sz w:val="27"/>
        </w:rPr>
        <w:br/>
        <w:t>§ 3. Držitelé licence uvedení v článku 1 mohou vysílat sportovní sponzorské zprávy pomocí své značky nebo loga nebo obojího pro tyto události:</w:t>
      </w:r>
      <w:r>
        <w:rPr>
          <w:rFonts w:ascii="Times New Roman" w:hAnsi="Times New Roman"/>
          <w:color w:val="000000"/>
          <w:sz w:val="27"/>
        </w:rPr>
        <w:br/>
        <w:t>1. mezinárodní a evropské sportovní soutěže;</w:t>
      </w:r>
      <w:r>
        <w:rPr>
          <w:rFonts w:ascii="Times New Roman" w:hAnsi="Times New Roman"/>
          <w:color w:val="000000"/>
          <w:sz w:val="27"/>
        </w:rPr>
        <w:br/>
        <w:t>2. Belgické sportovní soutěže.</w:t>
      </w:r>
      <w:r>
        <w:rPr>
          <w:rFonts w:ascii="Times New Roman" w:hAnsi="Times New Roman"/>
          <w:color w:val="000000"/>
          <w:sz w:val="27"/>
        </w:rPr>
        <w:br/>
        <w:t>Každé šíření sportovní sponzorské zprávy musí splňovat tyto podmínky:</w:t>
      </w:r>
      <w:r>
        <w:rPr>
          <w:rFonts w:ascii="Times New Roman" w:hAnsi="Times New Roman"/>
          <w:color w:val="000000"/>
          <w:sz w:val="27"/>
        </w:rPr>
        <w:br/>
        <w:t>1. doba trvání zpráv o sportovním sponzorství nesmí přesáhnout 5 sekund;</w:t>
      </w:r>
      <w:r>
        <w:rPr>
          <w:rFonts w:ascii="Times New Roman" w:hAnsi="Times New Roman"/>
          <w:color w:val="000000"/>
          <w:sz w:val="27"/>
        </w:rPr>
        <w:br/>
        <w:t>2. počet zpráv o sportovním sponzorství za hodinu není vyšší než dva;</w:t>
      </w:r>
      <w:r>
        <w:rPr>
          <w:rFonts w:ascii="Times New Roman" w:hAnsi="Times New Roman"/>
          <w:color w:val="000000"/>
          <w:sz w:val="27"/>
        </w:rPr>
        <w:br/>
        <w:t>3. sportovní sponzorský vzkaz bude vysílán v období patnácti minut před začátkem a patnácti minutami po živém zpravodajství o sportovní soutěži, tj. během období od skutečného zahájení dotčené sportovní soutěže do skutečného ukončení této sportovní soutěže.</w:t>
      </w:r>
      <w:r>
        <w:rPr>
          <w:rFonts w:ascii="Times New Roman" w:hAnsi="Times New Roman"/>
          <w:color w:val="000000"/>
          <w:sz w:val="27"/>
        </w:rPr>
        <w:br/>
        <w:t xml:space="preserve">Článek 7. Aniž jsou dotčeny platné regionální a obecní předpisy, mohou držitelé licencí A, B, F1 a F2 inzerovat prostřednictvím své značky nebo loga nebo obojího </w:t>
      </w:r>
      <w:r>
        <w:rPr>
          <w:rFonts w:ascii="Times New Roman" w:hAnsi="Times New Roman"/>
          <w:color w:val="000000"/>
          <w:sz w:val="27"/>
        </w:rPr>
        <w:lastRenderedPageBreak/>
        <w:t>na fasádách svého zařízení pro hazardní hry. Instalovaná reklama může zabírat nejvýše 30 % celkové plochy fasády a nesmí překročit 20 m</w:t>
      </w:r>
      <w:r>
        <w:rPr>
          <w:rFonts w:ascii="Times New Roman" w:hAnsi="Times New Roman"/>
          <w:color w:val="000000"/>
          <w:sz w:val="24"/>
          <w:vertAlign w:val="superscript"/>
        </w:rPr>
        <w:t>2</w:t>
      </w:r>
      <w:r>
        <w:rPr>
          <w:rFonts w:ascii="Times New Roman" w:hAnsi="Times New Roman"/>
          <w:color w:val="000000"/>
          <w:sz w:val="27"/>
        </w:rPr>
        <w:t>.</w:t>
      </w:r>
      <w:r>
        <w:rPr>
          <w:rFonts w:ascii="Times New Roman" w:hAnsi="Times New Roman"/>
          <w:color w:val="000000"/>
          <w:sz w:val="27"/>
        </w:rPr>
        <w:br/>
        <w:t>Pouze držitelé licence uvedení v článku 1 mohou používat svou značku nebo logo nebo obojí, a to pouze pro obchodní zařízení, která se primárně zabývají provozováním hazardních her.</w:t>
      </w:r>
      <w:r>
        <w:rPr>
          <w:rFonts w:ascii="Times New Roman" w:hAnsi="Times New Roman"/>
          <w:color w:val="000000"/>
          <w:sz w:val="27"/>
        </w:rPr>
        <w:br/>
        <w:t>Článek 8. Držitelé licencí A, B, F1 a F2 mohou inzerovat sami sebe ve svém zařízení pro hazardní hry a pouze na produkty hazardních her, které nabízejí v rámci svého zařízení pro hazardní hry.</w:t>
      </w:r>
      <w:r>
        <w:rPr>
          <w:rFonts w:ascii="Times New Roman" w:hAnsi="Times New Roman"/>
          <w:color w:val="000000"/>
          <w:sz w:val="27"/>
        </w:rPr>
        <w:br/>
        <w:t>Článek 9. Držitelé licence uvedení v článku 1 mohou provádět reklamu umístěním produktu v televizních nebo rozhlasových programech nebo v jiných audiovizuálních médiích nahraných v zahraničí, pokud nejsou specificky určena pro belgický trh. Umístění produktu zahrnuje jakoukoli formu audiovizuálního obchodního sdělení spočívajícího v zahrnutí produktu, služby nebo značky nebo odkazování na ně tím, že je zahrne do programu nebo obsahu vytvořeného uživatelem za úplatu nebo jinou protihodnotu.</w:t>
      </w:r>
      <w:r>
        <w:rPr>
          <w:rFonts w:ascii="Times New Roman" w:hAnsi="Times New Roman"/>
          <w:color w:val="000000"/>
          <w:sz w:val="27"/>
        </w:rPr>
        <w:br/>
        <w:t>Článek 10. Držitelé licence uvedení v článku 1 mohou inzerovat sami sebe prostřednictvím své značky nebo loga nebo obojího prostřednictvím nástrojů informační společnosti pouze prostřednictvím reklamního programu, jehož prostřednictvím může držitel licence inzerovat na stránce s výsledky vyhledávání po zavedení vyhledávacích výrazů souvisejících s hazardními hrami a v němž lze reklamu považovat za výsledek vyhledávání, protože reklama je umístěna v horní části stránky za úplatu.</w:t>
      </w:r>
      <w:r>
        <w:rPr>
          <w:rFonts w:ascii="Times New Roman" w:hAnsi="Times New Roman"/>
          <w:color w:val="000000"/>
          <w:sz w:val="27"/>
        </w:rPr>
        <w:br/>
        <w:t>Článek 11. Držitelé licence uvedení v článku 1 mohou inzerovat pro sebe a pro produkty hazardních her, které nabízejí na svých internetových stránkách a za předpokladu, že:</w:t>
      </w:r>
      <w:r>
        <w:rPr>
          <w:rFonts w:ascii="Times New Roman" w:hAnsi="Times New Roman"/>
          <w:color w:val="000000"/>
          <w:sz w:val="27"/>
        </w:rPr>
        <w:br/>
        <w:t>1. interakce není v kontextu této reklamy povolena;</w:t>
      </w:r>
      <w:r>
        <w:rPr>
          <w:rFonts w:ascii="Times New Roman" w:hAnsi="Times New Roman"/>
          <w:color w:val="000000"/>
          <w:sz w:val="27"/>
        </w:rPr>
        <w:br/>
        <w:t>2. jakákoli kompenzace třetí straně za reklamu není povolena;</w:t>
      </w:r>
      <w:r>
        <w:rPr>
          <w:rFonts w:ascii="Times New Roman" w:hAnsi="Times New Roman"/>
          <w:color w:val="000000"/>
          <w:sz w:val="27"/>
        </w:rPr>
        <w:br/>
        <w:t>3. doba trvání reklamy pomocí pohyblivých obrázků nepřesahuje 5 sekund.</w:t>
      </w:r>
      <w:r>
        <w:rPr>
          <w:rFonts w:ascii="Times New Roman" w:hAnsi="Times New Roman"/>
          <w:color w:val="000000"/>
          <w:sz w:val="27"/>
        </w:rPr>
        <w:br/>
        <w:t>Článek 12. Držitelé licencí uvedení v článku 1 mohou propagovat produkty hazardních her, které nabízejí pouze na účtech, které mají na platformách pro sdílení obsahu online, a za předpokladu, že:</w:t>
      </w:r>
      <w:r>
        <w:rPr>
          <w:rFonts w:ascii="Times New Roman" w:hAnsi="Times New Roman"/>
          <w:color w:val="000000"/>
          <w:sz w:val="27"/>
        </w:rPr>
        <w:br/>
        <w:t>1. interakce není v kontextu této reklamy povolena;</w:t>
      </w:r>
      <w:r>
        <w:rPr>
          <w:rFonts w:ascii="Times New Roman" w:hAnsi="Times New Roman"/>
          <w:color w:val="000000"/>
          <w:sz w:val="27"/>
        </w:rPr>
        <w:br/>
        <w:t>2. jakákoli kompenzace třetí straně za reklamu není povolena;</w:t>
      </w:r>
      <w:r>
        <w:rPr>
          <w:rFonts w:ascii="Times New Roman" w:hAnsi="Times New Roman"/>
          <w:color w:val="000000"/>
          <w:sz w:val="27"/>
        </w:rPr>
        <w:br/>
        <w:t>3. doba trvání reklamy pomocí pohyblivých obrázků nepřesahuje 5 sekund.</w:t>
      </w:r>
      <w:r>
        <w:rPr>
          <w:rFonts w:ascii="Times New Roman" w:hAnsi="Times New Roman"/>
          <w:color w:val="000000"/>
          <w:sz w:val="27"/>
        </w:rPr>
        <w:br/>
      </w:r>
      <w:r>
        <w:rPr>
          <w:rFonts w:ascii="Times New Roman" w:hAnsi="Times New Roman"/>
          <w:caps/>
          <w:color w:val="000000"/>
          <w:sz w:val="27"/>
        </w:rPr>
        <w:t>Kapitola</w:t>
      </w:r>
      <w:r>
        <w:rPr>
          <w:rFonts w:ascii="Times New Roman" w:hAnsi="Times New Roman"/>
          <w:color w:val="000000"/>
          <w:sz w:val="27"/>
        </w:rPr>
        <w:t> 3. – Obecná ustanovení o schválené reklamě</w:t>
      </w:r>
      <w:r>
        <w:rPr>
          <w:rFonts w:ascii="Times New Roman" w:hAnsi="Times New Roman"/>
          <w:color w:val="000000"/>
          <w:sz w:val="27"/>
        </w:rPr>
        <w:br/>
        <w:t>Článek 13. Reklama je omezena na hazardní hry povolené zákonem o hazardních hrách.</w:t>
      </w:r>
      <w:r>
        <w:rPr>
          <w:rFonts w:ascii="Times New Roman" w:hAnsi="Times New Roman"/>
          <w:color w:val="000000"/>
          <w:sz w:val="27"/>
        </w:rPr>
        <w:br/>
        <w:t>Článek 14. V souladu s podmínkami uvedenými v kapitole 2 může držitel licence uvedený v článku 1 inzerovat sám pro sebe nebo pro hazardní hry nabízené jím nebo oběma.</w:t>
      </w:r>
      <w:r>
        <w:rPr>
          <w:rFonts w:ascii="Times New Roman" w:hAnsi="Times New Roman"/>
          <w:color w:val="000000"/>
          <w:sz w:val="27"/>
        </w:rPr>
        <w:br/>
        <w:t xml:space="preserve">Článek 15. Reklama nemůže být zaměřena konkrétně na sociálně zranitelné skupiny. Sociálně zranitelné skupiny zahrnují osoby, které nesplňují minimální věkové požadavky, a všechny ostatní osoby, na které se vztahuje článek 54 zákona o hazardních hrách, jakož i osoby, které vykazují charakteristiky rizikového </w:t>
      </w:r>
      <w:r>
        <w:rPr>
          <w:rFonts w:ascii="Times New Roman" w:hAnsi="Times New Roman"/>
          <w:color w:val="000000"/>
          <w:sz w:val="27"/>
        </w:rPr>
        <w:lastRenderedPageBreak/>
        <w:t>chování v hazardních hrách.</w:t>
      </w:r>
      <w:r>
        <w:rPr>
          <w:rFonts w:ascii="Times New Roman" w:hAnsi="Times New Roman"/>
          <w:color w:val="000000"/>
          <w:sz w:val="27"/>
        </w:rPr>
        <w:br/>
        <w:t>Článek 16. Reklamu nelze přizpůsobit.</w:t>
      </w:r>
      <w:r>
        <w:rPr>
          <w:rFonts w:ascii="Times New Roman" w:hAnsi="Times New Roman"/>
          <w:color w:val="000000"/>
          <w:sz w:val="27"/>
        </w:rPr>
        <w:br/>
        <w:t>Článek 17. Reklama nesmí představovat fyzické osoby ani fiktivní postavy.</w:t>
      </w:r>
      <w:r>
        <w:rPr>
          <w:rFonts w:ascii="Times New Roman" w:hAnsi="Times New Roman"/>
          <w:color w:val="000000"/>
          <w:sz w:val="27"/>
        </w:rPr>
        <w:br/>
        <w:t>Reklama nemůže používat hlas slavných fyzických osob nebo slavných fiktivních postav.</w:t>
      </w:r>
      <w:r>
        <w:rPr>
          <w:rFonts w:ascii="Times New Roman" w:hAnsi="Times New Roman"/>
          <w:color w:val="000000"/>
          <w:sz w:val="27"/>
        </w:rPr>
        <w:br/>
        <w:t>Článek 18. Reklama na propagaci hazardních her provozovaných držiteli licence uvedenými v článku 1 je povolena pouze tehdy, pokud její obsah:</w:t>
      </w:r>
      <w:r>
        <w:rPr>
          <w:rFonts w:ascii="Times New Roman" w:hAnsi="Times New Roman"/>
          <w:color w:val="000000"/>
          <w:sz w:val="27"/>
        </w:rPr>
        <w:br/>
        <w:t>1. neobsahuje žádné nepodložené prohlášení o výhrách, které mohou hráči očekávat, že je odeberou;</w:t>
      </w:r>
      <w:r>
        <w:rPr>
          <w:rFonts w:ascii="Times New Roman" w:hAnsi="Times New Roman"/>
          <w:color w:val="000000"/>
          <w:sz w:val="27"/>
        </w:rPr>
        <w:br/>
        <w:t>2. nepodporuje nezodpovědnou a urážlivou hru;</w:t>
      </w:r>
      <w:r>
        <w:rPr>
          <w:rFonts w:ascii="Times New Roman" w:hAnsi="Times New Roman"/>
          <w:color w:val="000000"/>
          <w:sz w:val="27"/>
        </w:rPr>
        <w:br/>
        <w:t>3. nenaznačuje, že výhra závisí na znalostech hry nebo dovednostech hráče;</w:t>
      </w:r>
      <w:r>
        <w:rPr>
          <w:rFonts w:ascii="Times New Roman" w:hAnsi="Times New Roman"/>
          <w:color w:val="000000"/>
          <w:sz w:val="27"/>
        </w:rPr>
        <w:br/>
        <w:t>4. nechválí osoby, které hrají, nebo nekritizuje ty, kteří nehrají;</w:t>
      </w:r>
      <w:r>
        <w:rPr>
          <w:rFonts w:ascii="Times New Roman" w:hAnsi="Times New Roman"/>
          <w:color w:val="000000"/>
          <w:sz w:val="27"/>
        </w:rPr>
        <w:br/>
        <w:t>5. nevyvíjí tlak na osobu, pokud si nepřeje účastnit se hry;</w:t>
      </w:r>
      <w:r>
        <w:rPr>
          <w:rFonts w:ascii="Times New Roman" w:hAnsi="Times New Roman"/>
          <w:color w:val="000000"/>
          <w:sz w:val="27"/>
        </w:rPr>
        <w:br/>
        <w:t>6. nenaznačuje, že hra představuje alternativu k práci a úsporám, způsob, jak rychle zbohatnout nebo řešení finančních problémů;</w:t>
      </w:r>
      <w:r>
        <w:rPr>
          <w:rFonts w:ascii="Times New Roman" w:hAnsi="Times New Roman"/>
          <w:color w:val="000000"/>
          <w:sz w:val="27"/>
        </w:rPr>
        <w:br/>
        <w:t>7. nezakládá souvislost mezi hazardními hrami a sociálním, finančním a sexuálním úspěchem;</w:t>
      </w:r>
      <w:r>
        <w:rPr>
          <w:rFonts w:ascii="Times New Roman" w:hAnsi="Times New Roman"/>
          <w:color w:val="000000"/>
          <w:sz w:val="27"/>
        </w:rPr>
        <w:br/>
        <w:t>8. neinscenuje situace, kdy osoby, které hrají nebo sázejí současně, požívají alkoholické výrobky nebo tabák;</w:t>
      </w:r>
      <w:r>
        <w:rPr>
          <w:rFonts w:ascii="Times New Roman" w:hAnsi="Times New Roman"/>
          <w:color w:val="000000"/>
          <w:sz w:val="27"/>
        </w:rPr>
        <w:br/>
        <w:t>9. nepropaguje nebo se nespojuje s reklamami nabízejícími půjčky, které lze získat za účelem hraní;</w:t>
      </w:r>
      <w:r>
        <w:rPr>
          <w:rFonts w:ascii="Times New Roman" w:hAnsi="Times New Roman"/>
          <w:color w:val="000000"/>
          <w:sz w:val="27"/>
        </w:rPr>
        <w:br/>
        <w:t>10. nepoužívá výkresy nebo marketingové techniky odkazující na populární nebo módní znaky, obrázky nebo výrazy týkající se osob uvedených v článku 15.</w:t>
      </w:r>
      <w:r>
        <w:rPr>
          <w:rFonts w:ascii="Times New Roman" w:hAnsi="Times New Roman"/>
          <w:color w:val="000000"/>
          <w:sz w:val="27"/>
        </w:rPr>
        <w:br/>
        <w:t>Článek 19. Reklama ve prospěch hazardních her provozovaných držiteli licence uvedenými v článku 1 musí obsahovat údaj o minimálním věku požadovaném pro účast na těchto hazardních hrách. Ministr spravedlnosti a ministr veřejného zdravotnictví po konzultaci s Vrchní zdravotnickou radou stanoví podmínky, které musí tento údaj o věku splňovat.</w:t>
      </w:r>
      <w:r>
        <w:rPr>
          <w:rFonts w:ascii="Times New Roman" w:hAnsi="Times New Roman"/>
          <w:color w:val="000000"/>
          <w:sz w:val="27"/>
        </w:rPr>
        <w:br/>
        <w:t>Článek 20. Bez ohledu na použité médium obsahuje každá reklama na hazardní hry preventivní zprávu. Ministr spravedlnosti a ministr veřejného zdravotnictví po konzultaci s Vrchní zdravotnickou radou stanoví podmínky, které musí tato preventivní zpráva splňovat.</w:t>
      </w:r>
      <w:r>
        <w:rPr>
          <w:rFonts w:ascii="Times New Roman" w:hAnsi="Times New Roman"/>
          <w:color w:val="000000"/>
          <w:sz w:val="27"/>
        </w:rPr>
        <w:br/>
        <w:t>KAPITOLA 4. - Dočasné ustanovení</w:t>
      </w:r>
      <w:r>
        <w:rPr>
          <w:rFonts w:ascii="Times New Roman" w:hAnsi="Times New Roman"/>
          <w:color w:val="000000"/>
          <w:sz w:val="27"/>
        </w:rPr>
        <w:br/>
        <w:t>Článek 21. Reklama uvedená v čl. 6 odst. 2 prvním pododstavci se vztahuje na všechny dotčené nabyvatele licence a nesmí zabírat více než 75 cm 2 celkové plochy sportovního oblečení hráčů a nesmí být umístěna na přední straně sportovního oblečení.</w:t>
      </w:r>
      <w:r>
        <w:rPr>
          <w:rFonts w:ascii="Times New Roman" w:hAnsi="Times New Roman"/>
          <w:color w:val="000000"/>
          <w:sz w:val="27"/>
        </w:rPr>
        <w:br/>
        <w:t>Odstavec 1 je v platnosti od 1.</w:t>
      </w:r>
      <w:r>
        <w:rPr>
          <w:rFonts w:ascii="Times New Roman" w:hAnsi="Times New Roman"/>
          <w:color w:val="000000"/>
          <w:sz w:val="24"/>
          <w:vertAlign w:val="superscript"/>
        </w:rPr>
        <w:t xml:space="preserve"> </w:t>
      </w:r>
      <w:r>
        <w:rPr>
          <w:rFonts w:ascii="Times New Roman" w:hAnsi="Times New Roman"/>
          <w:color w:val="000000"/>
          <w:sz w:val="27"/>
        </w:rPr>
        <w:t>ledna 2025 do 31. prosince 2027.</w:t>
      </w:r>
      <w:r>
        <w:rPr>
          <w:rFonts w:ascii="Times New Roman" w:hAnsi="Times New Roman"/>
          <w:color w:val="000000"/>
          <w:sz w:val="27"/>
        </w:rPr>
        <w:br/>
      </w:r>
      <w:r>
        <w:rPr>
          <w:rFonts w:ascii="Times New Roman" w:hAnsi="Times New Roman"/>
          <w:caps/>
          <w:color w:val="000000"/>
          <w:sz w:val="27"/>
        </w:rPr>
        <w:t>Kapitola</w:t>
      </w:r>
      <w:r>
        <w:rPr>
          <w:rFonts w:ascii="Times New Roman" w:hAnsi="Times New Roman"/>
          <w:color w:val="000000"/>
          <w:sz w:val="27"/>
        </w:rPr>
        <w:t> 5. - Zrušovací ustanovení</w:t>
      </w:r>
      <w:r>
        <w:rPr>
          <w:rFonts w:ascii="Times New Roman" w:hAnsi="Times New Roman"/>
          <w:color w:val="000000"/>
          <w:sz w:val="27"/>
        </w:rPr>
        <w:br/>
        <w:t>Článek 22. Článek 6, § 2 1 (2) a 3 (2) této vyhlášky se od 1.</w:t>
      </w:r>
      <w:r>
        <w:rPr>
          <w:rFonts w:ascii="Times New Roman" w:hAnsi="Times New Roman"/>
          <w:color w:val="000000"/>
          <w:sz w:val="24"/>
          <w:vertAlign w:val="superscript"/>
        </w:rPr>
        <w:t xml:space="preserve"> </w:t>
      </w:r>
      <w:r>
        <w:rPr>
          <w:rFonts w:ascii="Times New Roman" w:hAnsi="Times New Roman"/>
          <w:color w:val="000000"/>
          <w:sz w:val="27"/>
        </w:rPr>
        <w:t>ledna 2025 zrušují.</w:t>
      </w:r>
      <w:r>
        <w:rPr>
          <w:rFonts w:ascii="Times New Roman" w:hAnsi="Times New Roman"/>
          <w:color w:val="000000"/>
          <w:sz w:val="27"/>
        </w:rPr>
        <w:br/>
        <w:t>Článek 23. Článek 6, § 1(2) této vyhlášky se od 1.</w:t>
      </w:r>
      <w:r>
        <w:rPr>
          <w:rFonts w:ascii="Times New Roman" w:hAnsi="Times New Roman"/>
          <w:color w:val="000000"/>
          <w:sz w:val="24"/>
          <w:vertAlign w:val="superscript"/>
        </w:rPr>
        <w:t> </w:t>
      </w:r>
      <w:r>
        <w:rPr>
          <w:rFonts w:ascii="Times New Roman" w:hAnsi="Times New Roman"/>
          <w:color w:val="000000"/>
          <w:sz w:val="27"/>
        </w:rPr>
        <w:t>ledna 2028 zrušuje.</w:t>
      </w:r>
      <w:r>
        <w:rPr>
          <w:rFonts w:ascii="Times New Roman" w:hAnsi="Times New Roman"/>
          <w:color w:val="000000"/>
          <w:sz w:val="27"/>
        </w:rPr>
        <w:br/>
      </w:r>
      <w:r>
        <w:rPr>
          <w:rFonts w:ascii="Times New Roman" w:hAnsi="Times New Roman"/>
          <w:caps/>
          <w:color w:val="000000"/>
          <w:sz w:val="27"/>
        </w:rPr>
        <w:t>Kapitola</w:t>
      </w:r>
      <w:r>
        <w:rPr>
          <w:rFonts w:ascii="Times New Roman" w:hAnsi="Times New Roman"/>
          <w:color w:val="000000"/>
          <w:sz w:val="27"/>
        </w:rPr>
        <w:t xml:space="preserve"> 6. - Přechodné ustanovení</w:t>
      </w:r>
      <w:r>
        <w:rPr>
          <w:rFonts w:ascii="Times New Roman" w:hAnsi="Times New Roman"/>
          <w:color w:val="000000"/>
          <w:sz w:val="27"/>
        </w:rPr>
        <w:br/>
        <w:t xml:space="preserve">Článek 24. Reklamní smlouvy, které byly ke dni zveřejnění tohoto výnosu v Moniteur belge uzavřeny před 9. květnem 2022 mezi držiteli licencí uvedenými v </w:t>
      </w:r>
      <w:r>
        <w:rPr>
          <w:rFonts w:ascii="Times New Roman" w:hAnsi="Times New Roman"/>
          <w:color w:val="000000"/>
          <w:sz w:val="27"/>
        </w:rPr>
        <w:lastRenderedPageBreak/>
        <w:t>článku 1 a reklamními agenturami, zůstávají v platnosti za stejných podmínek do 31. prosince 2024 za předpokladu, že držitelé povolení postupují podle § 13 až 16 a 18 až 20 tohoto výnosu.</w:t>
      </w:r>
      <w:r>
        <w:rPr>
          <w:rFonts w:ascii="Times New Roman" w:hAnsi="Times New Roman"/>
          <w:color w:val="000000"/>
          <w:sz w:val="27"/>
        </w:rPr>
        <w:br/>
        <w:t>Pro loga, která již existovala v době zveřejnění této vyhlášky, vstupuje článek 17 v platnost dne 1.</w:t>
      </w:r>
      <w:r>
        <w:rPr>
          <w:rFonts w:ascii="Times New Roman" w:hAnsi="Times New Roman"/>
          <w:color w:val="000000"/>
          <w:sz w:val="24"/>
          <w:vertAlign w:val="superscript"/>
        </w:rPr>
        <w:t xml:space="preserve"> </w:t>
      </w:r>
      <w:r>
        <w:rPr>
          <w:rFonts w:ascii="Times New Roman" w:hAnsi="Times New Roman"/>
          <w:color w:val="000000"/>
          <w:sz w:val="27"/>
        </w:rPr>
        <w:t>ledna 2025. Článek 25. Nestanoví-li ministr spravedlnosti a ministr veřejného zdravotnictví v době vstupu tohoto výnosu v platnost podmínky, které musí splňovat označení věku a sdělení o prevenci uvedené v článcích 19 a 20, musí být velikost písmen označení věku a preventivní zprávy nejméně 4 % velikosti reklamního prostoru a musí mít minimální hodnotu 7 bodů, nejméně však čtvrtinu velikosti největších znaků používaných v reklamě.</w:t>
      </w:r>
      <w:r>
        <w:rPr>
          <w:rFonts w:ascii="Times New Roman" w:hAnsi="Times New Roman"/>
          <w:color w:val="000000"/>
          <w:sz w:val="27"/>
        </w:rPr>
        <w:br/>
        <w:t>Pokud ministr spravedlnosti a ministr zdravotnictví nerozhodne, musí zpráva o prevenci uvedená v článku 20 obsahovat toto sdělení: ‘ Hazardní hry mohou být návykové. Zastavte se včas!</w:t>
      </w:r>
      <w:r>
        <w:rPr>
          <w:rFonts w:ascii="Times New Roman" w:hAnsi="Times New Roman"/>
          <w:color w:val="000000"/>
          <w:sz w:val="27"/>
        </w:rPr>
        <w:br/>
        <w:t>Více informací na www.arretezvousatemps.be“.</w:t>
      </w:r>
      <w:r>
        <w:rPr>
          <w:rFonts w:ascii="Times New Roman" w:hAnsi="Times New Roman"/>
          <w:color w:val="000000"/>
          <w:sz w:val="27"/>
        </w:rPr>
        <w:br/>
      </w:r>
      <w:r>
        <w:rPr>
          <w:rFonts w:ascii="Times New Roman" w:hAnsi="Times New Roman"/>
          <w:caps/>
          <w:color w:val="000000"/>
          <w:sz w:val="27"/>
        </w:rPr>
        <w:t>Kapitola</w:t>
      </w:r>
      <w:r>
        <w:rPr>
          <w:rFonts w:ascii="Times New Roman" w:hAnsi="Times New Roman"/>
          <w:color w:val="000000"/>
          <w:sz w:val="27"/>
        </w:rPr>
        <w:t> 7. - Vstup v platnost a závěrečné ustanovení</w:t>
      </w:r>
      <w:r>
        <w:rPr>
          <w:rFonts w:ascii="Times New Roman" w:hAnsi="Times New Roman"/>
          <w:color w:val="000000"/>
          <w:sz w:val="27"/>
        </w:rPr>
        <w:br/>
        <w:t>Článek 26. Tato vyhláška vstupuje v platnost dne 1.</w:t>
      </w:r>
      <w:r>
        <w:rPr>
          <w:rFonts w:ascii="Times New Roman" w:hAnsi="Times New Roman"/>
          <w:color w:val="000000"/>
          <w:sz w:val="24"/>
          <w:vertAlign w:val="superscript"/>
        </w:rPr>
        <w:t xml:space="preserve"> </w:t>
      </w:r>
      <w:r>
        <w:rPr>
          <w:rFonts w:ascii="Times New Roman" w:hAnsi="Times New Roman"/>
          <w:color w:val="000000"/>
          <w:sz w:val="27"/>
        </w:rPr>
        <w:t>července 2023, s výjimkou článku 6, § 2 odst. 2, který vstupuje v platnost dne 1.</w:t>
      </w:r>
      <w:r>
        <w:rPr>
          <w:rFonts w:ascii="Times New Roman" w:hAnsi="Times New Roman"/>
          <w:color w:val="000000"/>
          <w:sz w:val="24"/>
          <w:vertAlign w:val="superscript"/>
        </w:rPr>
        <w:t xml:space="preserve"> </w:t>
      </w:r>
      <w:r>
        <w:rPr>
          <w:rFonts w:ascii="Times New Roman" w:hAnsi="Times New Roman"/>
          <w:color w:val="000000"/>
          <w:sz w:val="27"/>
        </w:rPr>
        <w:t>ledna 2028. Článek 27. Ministr hospodářství, ministr financí odpovědný za národní loterii, ministr veřejného zdravotnictví, ministr spravedlnosti a ministr vnitra jsou odpovědní, pokud se jich to týká, za výkon tohoto výnosu.</w:t>
      </w:r>
      <w:r>
        <w:rPr>
          <w:rFonts w:ascii="Times New Roman" w:hAnsi="Times New Roman"/>
          <w:color w:val="000000"/>
          <w:sz w:val="27"/>
        </w:rPr>
        <w:br/>
        <w:t>Vypracováno v Bruselu dne 27. února 2023.</w:t>
      </w:r>
      <w:r>
        <w:rPr>
          <w:rFonts w:ascii="Times New Roman" w:hAnsi="Times New Roman"/>
          <w:color w:val="000000"/>
          <w:sz w:val="27"/>
        </w:rPr>
        <w:br/>
        <w:t>PHILIPPE</w:t>
      </w:r>
      <w:r>
        <w:rPr>
          <w:rFonts w:ascii="Times New Roman" w:hAnsi="Times New Roman"/>
          <w:color w:val="000000"/>
          <w:sz w:val="27"/>
        </w:rPr>
        <w:br/>
        <w:t>jménem jeho Veličenstva:</w:t>
      </w:r>
      <w:r>
        <w:rPr>
          <w:rFonts w:ascii="Times New Roman" w:hAnsi="Times New Roman"/>
          <w:color w:val="000000"/>
          <w:sz w:val="27"/>
        </w:rPr>
        <w:br/>
        <w:t>V případě ministra hospodářství chybí:</w:t>
      </w:r>
      <w:r>
        <w:rPr>
          <w:rFonts w:ascii="Times New Roman" w:hAnsi="Times New Roman"/>
          <w:color w:val="000000"/>
          <w:sz w:val="27"/>
        </w:rPr>
        <w:br/>
        <w:t>Ministr pro důchody,</w:t>
      </w:r>
      <w:r>
        <w:rPr>
          <w:rFonts w:ascii="Times New Roman" w:hAnsi="Times New Roman"/>
          <w:color w:val="000000"/>
          <w:sz w:val="27"/>
        </w:rPr>
        <w:br/>
        <w:t>K. LALIEUX</w:t>
      </w:r>
      <w:r>
        <w:rPr>
          <w:rFonts w:ascii="Times New Roman" w:hAnsi="Times New Roman"/>
          <w:color w:val="000000"/>
          <w:sz w:val="27"/>
        </w:rPr>
        <w:br/>
        <w:t>Ministr financí odpovědný za národní loterii,</w:t>
      </w:r>
      <w:r>
        <w:rPr>
          <w:rFonts w:ascii="Times New Roman" w:hAnsi="Times New Roman"/>
          <w:color w:val="000000"/>
          <w:sz w:val="27"/>
        </w:rPr>
        <w:br/>
        <w:t>V. VAN PETEGHEM</w:t>
      </w:r>
      <w:r>
        <w:rPr>
          <w:rFonts w:ascii="Times New Roman" w:hAnsi="Times New Roman"/>
          <w:color w:val="000000"/>
          <w:sz w:val="27"/>
        </w:rPr>
        <w:br/>
        <w:t>Ministr zdravotnictví,</w:t>
      </w:r>
      <w:r>
        <w:rPr>
          <w:rFonts w:ascii="Times New Roman" w:hAnsi="Times New Roman"/>
          <w:color w:val="000000"/>
          <w:sz w:val="27"/>
        </w:rPr>
        <w:br/>
        <w:t>F. VANDENBROUCKE</w:t>
      </w:r>
      <w:r>
        <w:rPr>
          <w:rFonts w:ascii="Times New Roman" w:hAnsi="Times New Roman"/>
          <w:color w:val="000000"/>
          <w:sz w:val="27"/>
        </w:rPr>
        <w:br/>
        <w:t>Ministr spravedlnosti,</w:t>
      </w:r>
      <w:r>
        <w:rPr>
          <w:rFonts w:ascii="Times New Roman" w:hAnsi="Times New Roman"/>
          <w:color w:val="000000"/>
          <w:sz w:val="27"/>
        </w:rPr>
        <w:br/>
        <w:t>V. VAN QUICKENBORNE</w:t>
      </w:r>
      <w:r>
        <w:rPr>
          <w:rFonts w:ascii="Times New Roman" w:hAnsi="Times New Roman"/>
          <w:color w:val="000000"/>
          <w:sz w:val="27"/>
        </w:rPr>
        <w:br/>
        <w:t>Ministr vnitra,</w:t>
      </w:r>
      <w:r>
        <w:rPr>
          <w:rFonts w:ascii="Times New Roman" w:hAnsi="Times New Roman"/>
          <w:color w:val="000000"/>
          <w:sz w:val="27"/>
        </w:rPr>
        <w:br/>
        <w:t>A. VERLINDEN</w:t>
      </w:r>
      <w:r>
        <w:rPr>
          <w:rFonts w:ascii="Times New Roman" w:hAnsi="Times New Roman"/>
          <w:color w:val="000000"/>
          <w:sz w:val="27"/>
        </w:rPr>
        <w:br/>
      </w:r>
      <w:bookmarkStart w:id="0" w:name="end"/>
      <w:bookmarkEnd w:id="0"/>
      <w:r>
        <w:rPr>
          <w:rFonts w:ascii="Times New Roman" w:hAnsi="Times New Roman"/>
          <w:color w:val="000000"/>
          <w:sz w:val="27"/>
        </w:rPr>
        <w:br/>
      </w:r>
      <w:bookmarkStart w:id="1" w:name="hit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26"/>
        <w:gridCol w:w="3771"/>
        <w:gridCol w:w="3429"/>
      </w:tblGrid>
      <w:tr w:rsidR="00A45088" w:rsidRPr="00A45088" w14:paraId="56C1F2DD" w14:textId="77777777" w:rsidTr="00A45088">
        <w:trPr>
          <w:tblCellSpacing w:w="15" w:type="dxa"/>
        </w:trPr>
        <w:tc>
          <w:tcPr>
            <w:tcW w:w="1000" w:type="pct"/>
            <w:vAlign w:val="center"/>
            <w:hideMark/>
          </w:tcPr>
          <w:p w14:paraId="177E564B" w14:textId="77777777" w:rsidR="00A45088" w:rsidRPr="00A45088" w:rsidRDefault="00070938" w:rsidP="00A45088">
            <w:pPr>
              <w:spacing w:after="0" w:line="240" w:lineRule="auto"/>
              <w:jc w:val="center"/>
              <w:rPr>
                <w:rFonts w:ascii="Times New Roman" w:eastAsia="Times New Roman" w:hAnsi="Times New Roman" w:cs="Times New Roman"/>
                <w:sz w:val="24"/>
                <w:szCs w:val="24"/>
              </w:rPr>
            </w:pPr>
            <w:hyperlink r:id="rId6" w:anchor="top" w:tgtFrame="_self" w:history="1">
              <w:r w:rsidR="00D71506">
                <w:rPr>
                  <w:rFonts w:ascii="Times New Roman" w:hAnsi="Times New Roman"/>
                  <w:color w:val="0000FF"/>
                  <w:sz w:val="24"/>
                  <w:u w:val="single"/>
                </w:rPr>
                <w:t>Začátek</w:t>
              </w:r>
            </w:hyperlink>
          </w:p>
        </w:tc>
        <w:tc>
          <w:tcPr>
            <w:tcW w:w="2100" w:type="pct"/>
            <w:vAlign w:val="center"/>
            <w:hideMark/>
          </w:tcPr>
          <w:p w14:paraId="64C131A4" w14:textId="77777777" w:rsidR="00A45088" w:rsidRPr="00A45088" w:rsidRDefault="00A45088" w:rsidP="00A45088">
            <w:pPr>
              <w:spacing w:after="0" w:line="240" w:lineRule="auto"/>
              <w:jc w:val="center"/>
              <w:rPr>
                <w:rFonts w:ascii="Times New Roman" w:eastAsia="Times New Roman" w:hAnsi="Times New Roman" w:cs="Times New Roman"/>
                <w:sz w:val="24"/>
                <w:szCs w:val="24"/>
                <w:lang w:eastAsia="en-GB"/>
              </w:rPr>
            </w:pPr>
          </w:p>
        </w:tc>
        <w:tc>
          <w:tcPr>
            <w:tcW w:w="1900" w:type="pct"/>
            <w:vAlign w:val="center"/>
            <w:hideMark/>
          </w:tcPr>
          <w:p w14:paraId="629A5BD5" w14:textId="77777777" w:rsidR="00A45088" w:rsidRPr="00A45088" w:rsidRDefault="00A45088" w:rsidP="00A45088">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hAnsi="Times New Roman"/>
                <w:b/>
                <w:color w:val="FF0000"/>
                <w:sz w:val="27"/>
              </w:rPr>
              <w:t>Zveřejněno dne: 08-03-2023</w:t>
            </w:r>
            <w:r>
              <w:rPr>
                <w:rFonts w:ascii="Times New Roman" w:hAnsi="Times New Roman"/>
                <w:b/>
                <w:color w:val="FF0000"/>
                <w:sz w:val="27"/>
              </w:rPr>
              <w:br/>
              <w:t>Numac: 2023030509</w:t>
            </w:r>
          </w:p>
        </w:tc>
      </w:tr>
    </w:tbl>
    <w:p w14:paraId="13666DB2" w14:textId="77777777" w:rsidR="00A36095" w:rsidRDefault="00A36095"/>
    <w:sectPr w:rsidR="00A3609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21A39" w14:textId="77777777" w:rsidR="00070938" w:rsidRDefault="00070938" w:rsidP="00A45088">
      <w:pPr>
        <w:spacing w:after="0" w:line="240" w:lineRule="auto"/>
      </w:pPr>
      <w:r>
        <w:separator/>
      </w:r>
    </w:p>
  </w:endnote>
  <w:endnote w:type="continuationSeparator" w:id="0">
    <w:p w14:paraId="482926ED" w14:textId="77777777" w:rsidR="00070938" w:rsidRDefault="00070938" w:rsidP="00A45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0558423"/>
      <w:docPartObj>
        <w:docPartGallery w:val="Page Numbers (Bottom of Page)"/>
        <w:docPartUnique/>
      </w:docPartObj>
    </w:sdtPr>
    <w:sdtEndPr/>
    <w:sdtContent>
      <w:p w14:paraId="543FCD2A" w14:textId="7EEDB47B" w:rsidR="00A45088" w:rsidRDefault="00A45088">
        <w:pPr>
          <w:pStyle w:val="Footer"/>
          <w:jc w:val="right"/>
        </w:pPr>
        <w:r>
          <w:fldChar w:fldCharType="begin"/>
        </w:r>
        <w:r>
          <w:instrText>PAGE   \* MERGEFORMAT</w:instrText>
        </w:r>
        <w:r>
          <w:fldChar w:fldCharType="separate"/>
        </w:r>
        <w:r>
          <w:t>2</w:t>
        </w:r>
        <w:r>
          <w:fldChar w:fldCharType="end"/>
        </w:r>
      </w:p>
    </w:sdtContent>
  </w:sdt>
  <w:p w14:paraId="1F543304" w14:textId="77777777" w:rsidR="00A45088" w:rsidRDefault="00A45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8A50F" w14:textId="77777777" w:rsidR="00070938" w:rsidRDefault="00070938" w:rsidP="00A45088">
      <w:pPr>
        <w:spacing w:after="0" w:line="240" w:lineRule="auto"/>
      </w:pPr>
      <w:r>
        <w:separator/>
      </w:r>
    </w:p>
  </w:footnote>
  <w:footnote w:type="continuationSeparator" w:id="0">
    <w:p w14:paraId="1F5B72F8" w14:textId="77777777" w:rsidR="00070938" w:rsidRDefault="00070938" w:rsidP="00A450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088"/>
    <w:rsid w:val="00070938"/>
    <w:rsid w:val="00284CCF"/>
    <w:rsid w:val="005609F9"/>
    <w:rsid w:val="0060226B"/>
    <w:rsid w:val="00A36095"/>
    <w:rsid w:val="00A45088"/>
    <w:rsid w:val="00B15609"/>
    <w:rsid w:val="00B62F55"/>
    <w:rsid w:val="00D71506"/>
    <w:rsid w:val="00F47EB5"/>
    <w:rsid w:val="00FB5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3C7CD"/>
  <w15:chartTrackingRefBased/>
  <w15:docId w15:val="{41F1EDB3-AE12-4D2B-9DE8-FA3DB8B79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5088"/>
  </w:style>
  <w:style w:type="paragraph" w:styleId="Footer">
    <w:name w:val="footer"/>
    <w:basedOn w:val="Normal"/>
    <w:link w:val="FooterChar"/>
    <w:uiPriority w:val="99"/>
    <w:unhideWhenUsed/>
    <w:rsid w:val="00A45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5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28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justice.just.fgov.be/cgi/article_body.pl?language=fr&amp;caller=summary&amp;pub_date=2023-03-08&amp;numac=2023030509%0D%0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1874</Words>
  <Characters>10584</Characters>
  <Application>Microsoft Office Word</Application>
  <DocSecurity>0</DocSecurity>
  <Lines>216</Lines>
  <Paragraphs>7</Paragraphs>
  <ScaleCrop>false</ScaleCrop>
  <Company>Federal Justice Belgium</Company>
  <LinksUpToDate>false</LinksUpToDate>
  <CharactersWithSpaces>12458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FAILLA Jessica</dc:creator>
  <cp:keywords>class='Internal'</cp:keywords>
  <dc:description/>
  <cp:lastModifiedBy>Ragnhild Efraimsson</cp:lastModifiedBy>
  <cp:revision>2</cp:revision>
  <dcterms:created xsi:type="dcterms:W3CDTF">2023-04-20T09:42:00Z</dcterms:created>
  <dcterms:modified xsi:type="dcterms:W3CDTF">2023-04-20T09:42:00Z</dcterms:modified>
</cp:coreProperties>
</file>