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0E" w:rsidRDefault="00A3740E" w:rsidP="00A3740E">
      <w:pPr>
        <w:ind w:right="29"/>
        <w:jc w:val="center"/>
        <w:rPr>
          <w:rFonts w:ascii="Courier New" w:hAnsi="Courier New"/>
          <w:sz w:val="20"/>
        </w:rPr>
      </w:pPr>
      <w:bookmarkStart w:id="0" w:name="_GoBack"/>
      <w:bookmarkEnd w:id="0"/>
      <w:r>
        <w:rPr>
          <w:rFonts w:ascii="Courier New" w:hAnsi="Courier New"/>
          <w:sz w:val="20"/>
        </w:rPr>
        <w:t>1. ------IND- 2020 0832 F-- DA- ------ 20201230 --- --- PROJET</w:t>
      </w:r>
    </w:p>
    <w:p w:rsidR="00A3740E"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282E2D" w:rsidTr="006956AB">
        <w:trPr>
          <w:cantSplit/>
        </w:trPr>
        <w:tc>
          <w:tcPr>
            <w:tcW w:w="4338" w:type="dxa"/>
            <w:gridSpan w:val="3"/>
            <w:shd w:val="clear" w:color="auto" w:fill="FFFFFF"/>
          </w:tcPr>
          <w:p w:rsidR="00DB0F74" w:rsidRPr="00282E2D" w:rsidRDefault="00DB0F74" w:rsidP="00DF56E1">
            <w:pPr>
              <w:pStyle w:val="SNREPUBLIQUE"/>
            </w:pPr>
            <w:r>
              <w:t>DEN FRANSKE REPUBLIK</w:t>
            </w:r>
          </w:p>
        </w:tc>
      </w:tr>
      <w:tr w:rsidR="00DB0F74" w:rsidRPr="00282E2D" w:rsidTr="006956AB">
        <w:trPr>
          <w:cantSplit/>
          <w:trHeight w:hRule="exact" w:val="113"/>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Pr>
        <w:tc>
          <w:tcPr>
            <w:tcW w:w="4338" w:type="dxa"/>
            <w:gridSpan w:val="3"/>
            <w:shd w:val="clear" w:color="auto" w:fill="FFFFFF"/>
          </w:tcPr>
          <w:p w:rsidR="00DF56E1" w:rsidRPr="00282E2D" w:rsidRDefault="00DB0F74" w:rsidP="006956AB">
            <w:pPr>
              <w:pStyle w:val="SNTimbre"/>
              <w:ind w:hanging="57"/>
              <w:jc w:val="center"/>
            </w:pPr>
            <w:r>
              <w:t>Ministeriet for grøn omstilling</w:t>
            </w:r>
          </w:p>
          <w:p w:rsidR="00DF56E1" w:rsidRPr="00282E2D" w:rsidRDefault="00DB0F74" w:rsidP="006956AB">
            <w:pPr>
              <w:pStyle w:val="SNTimbre"/>
              <w:ind w:hanging="57"/>
              <w:jc w:val="center"/>
            </w:pPr>
            <w:r>
              <w:t>Ministeriet for sundhed og fællesskab</w:t>
            </w:r>
          </w:p>
          <w:p w:rsidR="00DF56E1" w:rsidRPr="00282E2D" w:rsidRDefault="00DB0F74" w:rsidP="006956AB">
            <w:pPr>
              <w:pStyle w:val="SNTimbre"/>
              <w:ind w:hanging="57"/>
              <w:jc w:val="center"/>
            </w:pPr>
            <w:r>
              <w:t>Justitsministeriet</w:t>
            </w:r>
          </w:p>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shd w:val="clear" w:color="auto" w:fill="FFFFFF"/>
          </w:tcPr>
          <w:p w:rsidR="00DB0F74" w:rsidRPr="00282E2D" w:rsidRDefault="00DB0F74" w:rsidP="00DF56E1"/>
        </w:tc>
        <w:tc>
          <w:tcPr>
            <w:tcW w:w="1844" w:type="dxa"/>
            <w:shd w:val="clear" w:color="auto" w:fill="FFFFFF"/>
          </w:tcPr>
          <w:p w:rsidR="00DB0F74" w:rsidRPr="00282E2D" w:rsidRDefault="00DB0F74" w:rsidP="00DF56E1"/>
        </w:tc>
      </w:tr>
    </w:tbl>
    <w:p w:rsidR="00294A53" w:rsidRPr="00282E2D" w:rsidRDefault="00294A53" w:rsidP="00294A53">
      <w:pPr>
        <w:pStyle w:val="SNNature"/>
      </w:pPr>
      <w:r>
        <w:t>Dekret nr.                          af</w:t>
      </w:r>
    </w:p>
    <w:p w:rsidR="00294A53" w:rsidRPr="00282E2D" w:rsidRDefault="00F17BFA" w:rsidP="00294A53">
      <w:pPr>
        <w:pStyle w:val="SNtitre"/>
      </w:pPr>
      <w:r>
        <w:t>om tilvejebringelse af information til identifikation af hormonforstyrrende stoffer i et produkt</w:t>
      </w:r>
    </w:p>
    <w:p w:rsidR="00294A53" w:rsidRPr="00282E2D" w:rsidRDefault="00294A53" w:rsidP="00294A53">
      <w:pPr>
        <w:pStyle w:val="SNNORCentr"/>
      </w:pPr>
      <w:r>
        <w:t>NOR: TREP</w:t>
      </w:r>
    </w:p>
    <w:p w:rsidR="00294A53" w:rsidRPr="00282E2D" w:rsidRDefault="00294A53" w:rsidP="00294A53">
      <w:pPr>
        <w:spacing w:before="720" w:after="120"/>
        <w:ind w:firstLine="720"/>
        <w:jc w:val="both"/>
        <w:rPr>
          <w:rFonts w:ascii="Times New Roman" w:hAnsi="Times New Roman" w:cs="Times New Roman"/>
          <w:i/>
          <w:iCs/>
          <w:sz w:val="24"/>
          <w:szCs w:val="24"/>
        </w:rPr>
      </w:pPr>
      <w:r>
        <w:rPr>
          <w:rFonts w:ascii="Times New Roman" w:hAnsi="Times New Roman"/>
          <w:b/>
          <w:bCs/>
          <w:i/>
          <w:iCs/>
          <w:sz w:val="24"/>
          <w:szCs w:val="24"/>
        </w:rPr>
        <w:t>Berørte grupper:</w:t>
      </w:r>
      <w:r>
        <w:rPr>
          <w:rFonts w:ascii="Times New Roman" w:hAnsi="Times New Roman"/>
          <w:i/>
          <w:iCs/>
          <w:sz w:val="24"/>
          <w:szCs w:val="24"/>
        </w:rPr>
        <w:t xml:space="preserve"> Enhver person, der markedsfører produkter, som er beregnet til forbrugere, og som i slutningen af deres fremstilling indeholder stoffer, hvis hormonforstyrrende egenskaber er bevist, formodet eller mistænkt af den nationale levnedsmiddel-, miljø- og arbejdssundhedsstyrelse (ANSES)</w:t>
      </w:r>
    </w:p>
    <w:p w:rsidR="00294A53" w:rsidRPr="00282E2D" w:rsidRDefault="00294A53" w:rsidP="00294A53">
      <w:pPr>
        <w:spacing w:before="120"/>
        <w:ind w:firstLine="720"/>
        <w:jc w:val="both"/>
        <w:rPr>
          <w:rFonts w:ascii="Times New Roman" w:hAnsi="Times New Roman" w:cs="Times New Roman"/>
          <w:i/>
          <w:iCs/>
          <w:sz w:val="24"/>
          <w:szCs w:val="24"/>
        </w:rPr>
      </w:pPr>
      <w:r>
        <w:rPr>
          <w:rFonts w:ascii="Times New Roman" w:hAnsi="Times New Roman"/>
          <w:b/>
          <w:bCs/>
          <w:i/>
          <w:iCs/>
          <w:sz w:val="24"/>
          <w:szCs w:val="24"/>
        </w:rPr>
        <w:t>Emne:</w:t>
      </w:r>
      <w:r>
        <w:rPr>
          <w:rFonts w:ascii="Times New Roman" w:hAnsi="Times New Roman"/>
          <w:i/>
          <w:iCs/>
          <w:sz w:val="24"/>
          <w:szCs w:val="24"/>
        </w:rPr>
        <w:t xml:space="preserve"> I henhold til artikel 1 skaber dette dekret de nationale bestemmelser, der er nødvendige for at stille de oplysninger til rådighed, der muliggør identifikation af hormonforstyrrende stoffer i et produkt. </w:t>
      </w:r>
    </w:p>
    <w:p w:rsidR="00294A53" w:rsidRPr="00282E2D" w:rsidRDefault="00294A53" w:rsidP="00502224">
      <w:pPr>
        <w:pStyle w:val="SNVisa"/>
        <w:ind w:firstLine="708"/>
        <w:rPr>
          <w:i/>
          <w:iCs/>
        </w:rPr>
      </w:pPr>
      <w:r>
        <w:rPr>
          <w:b/>
          <w:bCs/>
          <w:i/>
        </w:rPr>
        <w:t>Ikrafttrædelse:</w:t>
      </w:r>
      <w:r>
        <w:rPr>
          <w:i/>
        </w:rPr>
        <w:t xml:space="preserve"> Dekretet træder i kraft den 1. januar 2022.</w:t>
      </w:r>
    </w:p>
    <w:p w:rsidR="00294A53" w:rsidRPr="00282E2D" w:rsidRDefault="00294A53" w:rsidP="00294A53">
      <w:pPr>
        <w:spacing w:after="120"/>
        <w:ind w:firstLine="720"/>
        <w:jc w:val="both"/>
        <w:rPr>
          <w:rFonts w:ascii="Times New Roman" w:hAnsi="Times New Roman" w:cs="Times New Roman"/>
          <w:i/>
          <w:iCs/>
          <w:sz w:val="24"/>
          <w:szCs w:val="24"/>
        </w:rPr>
      </w:pPr>
      <w:r>
        <w:rPr>
          <w:rFonts w:ascii="Times New Roman" w:hAnsi="Times New Roman"/>
          <w:b/>
          <w:bCs/>
          <w:i/>
          <w:iCs/>
          <w:sz w:val="24"/>
          <w:szCs w:val="24"/>
        </w:rPr>
        <w:t xml:space="preserve">Beskrivelse: </w:t>
      </w:r>
      <w:r>
        <w:rPr>
          <w:rFonts w:ascii="Times New Roman" w:hAnsi="Times New Roman"/>
          <w:bCs/>
          <w:i/>
          <w:iCs/>
          <w:sz w:val="24"/>
          <w:szCs w:val="24"/>
        </w:rPr>
        <w:t>Artikel 13-II i lov nr. 2020-105 af 10. februar 2020 om bekæmpelse af spild og om cirkulær økonomi, kaldet "AGEC", indeholder bestemmelser om, at statsrådet skal anvende et dekret til at fastsætte vilkår og betingelser til levering af information til identifikation af hormonforstyrrende stoffer i et markedsført produkt. Formålet i begrundelsen til støtte for denne artikel er "at give borgerne gennemsigtige oplysninger om tilstedeværelsen af stoffer med hormonforstyrrende egenskaber i produkterne". Således fastlægges, at enhver person, der markedsfører produkter, der indeholder stoffer med hormonforstyrrende egenskaber i henhold til ANSES, skal offentliggøre en liste over disse produkter og de stoffer, som hver af dem indeholder. Denne publikation vil være i et åbent format, der gør det muligt for samarbejdsplatforme at udnytte disse oplysninger og således bedre informere forbrugeren. De oplysninger, der kan gives, kan f.eks. være: produktkategorien, produktets handelsnavn, produktreferencen, det kemiske navn på stoffet med hormonforstyrrende egenskaber, den kemiske formel, CAS-nummer og CE-nummeret på stoffet med hormonforstyrrende egenskaber eller de sædvanlige og kommercielle navne på stoffet med hormonforstyrrende egenskaber. </w:t>
      </w:r>
      <w:r>
        <w:rPr>
          <w:rFonts w:ascii="Times New Roman" w:hAnsi="Times New Roman"/>
          <w:i/>
          <w:iCs/>
          <w:sz w:val="24"/>
          <w:szCs w:val="24"/>
        </w:rPr>
        <w:t xml:space="preserve">"Den anden nationale strategi for hormonforstyrrende stoffer (SNPE2) inkluderer fokus på forbedring af forbrugerinformation. </w:t>
      </w:r>
      <w:r>
        <w:rPr>
          <w:rFonts w:ascii="Times New Roman" w:hAnsi="Times New Roman"/>
          <w:i/>
          <w:iCs/>
          <w:sz w:val="24"/>
          <w:szCs w:val="24"/>
        </w:rPr>
        <w:lastRenderedPageBreak/>
        <w:t>ANSES er allerede stærkt mobiliseret gennem udarbejdelse af lister over stoffer med hormonforstyrrende egenskaber (tiltag nr. 3 i SNPE2). Denne bestemmelse er en del af denne dynamik og sigter mod at give borgerne gennemsigtig information om tilstedeværelsen af stoffer med hormonforstyrrende egenskaber i produkter i betydningen stoffer, blandinger, artikler og fødevarer. Artiklens anvendelsesområde omfatter også produkter i henhold til artikel L. 5232-5 i loven om folkesundhed, stoffer, blandinger og artikler som defineret i artikel 3 i forordning (EU) nr. 1907/2006 med undtagelse af lægemidler, biocidholdige produkter som defineret i artikel 3 i forordning (EU) nr. 528/2012, plantebeskyttelsesmidler som defineret i artikel 2 i forordning (EF) nr. 1107/2009, medicinsk udstyr som defineret i artikel 2 i forordning (EU) 2017/745, materialer og genstande, herunder aktive og intelligente materialer og genstande, der kommer i kontakt med fødevarer, som defineret i artikel 2 i forordning (EU) nr. 1935/2004, legetøj som defineret i artikel 2 i direktiv 2009/48/EF, kosmetiske produkter som defineret i artikel 2 i forordning (EF) nr. 1223/2009 og produkter som defineret i artikel 2 i direktiv 2001/95/EF og fødevarer som defineret i artikel 2 i forordning (EF) nr. 178/2002.</w:t>
      </w:r>
    </w:p>
    <w:p w:rsidR="007D1BA7" w:rsidRPr="00282E2D" w:rsidRDefault="007D1BA7" w:rsidP="008D5DD6">
      <w:pPr>
        <w:spacing w:before="120"/>
        <w:ind w:firstLine="720"/>
        <w:jc w:val="both"/>
        <w:rPr>
          <w:rFonts w:ascii="Times New Roman" w:hAnsi="Times New Roman" w:cs="Times New Roman"/>
          <w:b/>
          <w:bCs/>
          <w:i/>
          <w:iCs/>
          <w:sz w:val="24"/>
          <w:szCs w:val="24"/>
        </w:rPr>
      </w:pPr>
      <w:r>
        <w:rPr>
          <w:rFonts w:ascii="Times New Roman" w:hAnsi="Times New Roman"/>
          <w:b/>
          <w:bCs/>
          <w:i/>
          <w:iCs/>
          <w:sz w:val="24"/>
          <w:szCs w:val="24"/>
        </w:rPr>
        <w:t xml:space="preserve">Henvisninger: </w:t>
      </w:r>
      <w:r>
        <w:rPr>
          <w:rFonts w:ascii="Times New Roman" w:hAnsi="Times New Roman"/>
          <w:bCs/>
          <w:i/>
          <w:iCs/>
          <w:sz w:val="24"/>
          <w:szCs w:val="24"/>
        </w:rPr>
        <w:t>Teksten findes på Légifrances websted (http://www.legifrance.gouv.fr).</w:t>
      </w:r>
    </w:p>
    <w:p w:rsidR="00294A53" w:rsidRPr="00282E2D" w:rsidRDefault="00294A53" w:rsidP="00CB7E5E">
      <w:pPr>
        <w:keepNext/>
        <w:spacing w:before="720" w:after="240"/>
        <w:rPr>
          <w:rFonts w:ascii="Times New Roman" w:hAnsi="Times New Roman" w:cs="Times New Roman"/>
          <w:b/>
          <w:bCs/>
          <w:sz w:val="24"/>
          <w:szCs w:val="24"/>
        </w:rPr>
      </w:pPr>
      <w:r>
        <w:rPr>
          <w:rFonts w:ascii="Times New Roman" w:hAnsi="Times New Roman"/>
          <w:b/>
          <w:bCs/>
          <w:sz w:val="24"/>
          <w:szCs w:val="24"/>
        </w:rPr>
        <w:t>Premierministeren har</w:t>
      </w:r>
    </w:p>
    <w:p w:rsidR="00294A53" w:rsidRPr="00282E2D" w:rsidRDefault="00294A53" w:rsidP="00294A53">
      <w:pPr>
        <w:pStyle w:val="SNVisa"/>
        <w:spacing w:before="0" w:after="0"/>
        <w:ind w:firstLine="709"/>
      </w:pPr>
      <w:r>
        <w:t>på baggrund af en rapport fra ministeren for grøn omstilling</w:t>
      </w:r>
    </w:p>
    <w:p w:rsidR="006956AB" w:rsidRPr="00282E2D" w:rsidRDefault="006956AB" w:rsidP="006956AB">
      <w:pPr>
        <w:pStyle w:val="SNVisa"/>
        <w:rPr>
          <w:iCs/>
        </w:rPr>
      </w:pPr>
      <w:r>
        <w:t>under henvisning til Europa-Parlamentets og Rådets forordning (EF) nr. 178/2002 af 28. januar 2002 om generelle principper og krav i fødevarelovgivningen, om oprettelse af Den Europæiske Fødevaresikkerhedsautoritet og om procedurer vedrørende fødevaresikkerhed</w:t>
      </w:r>
    </w:p>
    <w:p w:rsidR="006956AB" w:rsidRPr="00282E2D" w:rsidRDefault="006956AB" w:rsidP="006956AB">
      <w:pPr>
        <w:pStyle w:val="SNVisa"/>
        <w:rPr>
          <w:iCs/>
        </w:rPr>
      </w:pPr>
      <w:r>
        <w:t>under henvisning til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rsidR="006956AB" w:rsidRPr="00282E2D" w:rsidRDefault="006956AB" w:rsidP="006956AB">
      <w:pPr>
        <w:pStyle w:val="SNVisa"/>
        <w:rPr>
          <w:iCs/>
        </w:rPr>
      </w:pPr>
      <w:r>
        <w:t>under henvisning til Europa-Parlamentets og Rådets forordning (EU) 2017/745 af 5. april 2017 om medicinsk udstyr, om ændring af direktiv 2001/83/EF, forordning (EF) nr. 178/2002 og forordning (EF) nr. 1223/2009 og om ophævelse af Rådets direktiv 90/385/EØF og 93/42/EØF</w:t>
      </w:r>
    </w:p>
    <w:p w:rsidR="006956AB" w:rsidRPr="00282E2D" w:rsidRDefault="006956AB" w:rsidP="006956AB">
      <w:pPr>
        <w:pStyle w:val="SNVisa"/>
      </w:pPr>
      <w:r>
        <w:t>under henvisning til Europa-Parlamentets og Rådets direktiv (EU) 2015/1535 af 9. september 2015 om en informationsprocedure med hensyn til tekniske forskrifter samt forskrifter for informationssamfundets tjenester, særlig notifikation nr. ...</w:t>
      </w:r>
    </w:p>
    <w:p w:rsidR="006956AB" w:rsidRPr="00282E2D" w:rsidRDefault="006956AB" w:rsidP="006956AB">
      <w:pPr>
        <w:pStyle w:val="SNVisa"/>
        <w:spacing w:before="0" w:after="0"/>
        <w:ind w:firstLine="709"/>
      </w:pPr>
      <w:r>
        <w:t>under henvisning til miljøloven, særlig artikel L. 541-1-1</w:t>
      </w:r>
    </w:p>
    <w:p w:rsidR="00294A53" w:rsidRPr="00282E2D" w:rsidRDefault="00294A53" w:rsidP="00294A53">
      <w:pPr>
        <w:pStyle w:val="SNVisa"/>
        <w:spacing w:before="0" w:after="0"/>
        <w:ind w:firstLine="709"/>
      </w:pPr>
    </w:p>
    <w:p w:rsidR="00294A53" w:rsidRPr="00282E2D" w:rsidRDefault="00294A53" w:rsidP="00294A53">
      <w:pPr>
        <w:pStyle w:val="SNVisa"/>
        <w:spacing w:before="0" w:after="0"/>
        <w:ind w:firstLine="709"/>
      </w:pPr>
      <w:r>
        <w:t>under henvisning til straffeloven, særlig artikel R. 610-1</w:t>
      </w:r>
    </w:p>
    <w:p w:rsidR="00CE41DF" w:rsidRPr="00282E2D" w:rsidRDefault="00CE41DF" w:rsidP="00294A53">
      <w:pPr>
        <w:pStyle w:val="SNVisa"/>
        <w:spacing w:before="0" w:after="0"/>
        <w:ind w:firstLine="709"/>
      </w:pPr>
    </w:p>
    <w:p w:rsidR="006956AB" w:rsidRPr="00282E2D" w:rsidRDefault="006956AB" w:rsidP="006956AB">
      <w:pPr>
        <w:pStyle w:val="SNVisa"/>
        <w:spacing w:before="0" w:after="0"/>
        <w:ind w:firstLine="709"/>
      </w:pPr>
      <w:r>
        <w:t>under henvisning til loven om folkesundhed, især artikel L. 5232-5, i den affattelse, der følger af artikel 13 i lov nr. 2020-105 af 10. februar 2020 om bekæmpelse af spild og om cirkulær økonomi</w:t>
      </w:r>
    </w:p>
    <w:p w:rsidR="00294A53" w:rsidRPr="00282E2D" w:rsidRDefault="00294A53" w:rsidP="00294A53">
      <w:pPr>
        <w:pStyle w:val="SNConsultation"/>
      </w:pPr>
      <w:r>
        <w:t>og efter høring af statsrådet (sektion for offentlige arbejder)</w:t>
      </w:r>
    </w:p>
    <w:p w:rsidR="00294A53" w:rsidRPr="00282E2D" w:rsidRDefault="00294A53" w:rsidP="00CB7E5E">
      <w:pPr>
        <w:pStyle w:val="SNActe"/>
        <w:keepNext/>
      </w:pPr>
      <w:r>
        <w:lastRenderedPageBreak/>
        <w:t>udstedt følgende dekret:</w:t>
      </w:r>
    </w:p>
    <w:p w:rsidR="00294A53" w:rsidRPr="00282E2D" w:rsidRDefault="00294A53" w:rsidP="00CB7E5E">
      <w:pPr>
        <w:pStyle w:val="SNArticle"/>
        <w:keepNext/>
      </w:pPr>
      <w:r>
        <w:t>Artikel 1</w:t>
      </w:r>
    </w:p>
    <w:p w:rsidR="00294A53" w:rsidRPr="00282E2D" w:rsidRDefault="00294A53" w:rsidP="00CB7E5E">
      <w:pPr>
        <w:pStyle w:val="Textbody"/>
        <w:keepNext/>
        <w:tabs>
          <w:tab w:val="left" w:pos="4448"/>
        </w:tabs>
        <w:spacing w:after="0"/>
        <w:ind w:firstLine="709"/>
      </w:pPr>
      <w:r>
        <w:t>Efter afsnit 2 i kapitel II i titel III i bind II i femte del af loven om folkesundhed (lovgivende del) tilføjes afsnit 3 med følgende ordlyd:</w:t>
      </w:r>
    </w:p>
    <w:p w:rsidR="00294A53" w:rsidRPr="00282E2D" w:rsidRDefault="00294A53" w:rsidP="00CB7E5E">
      <w:pPr>
        <w:pStyle w:val="Textbody"/>
        <w:keepNext/>
        <w:spacing w:after="0"/>
        <w:ind w:firstLine="709"/>
      </w:pPr>
    </w:p>
    <w:p w:rsidR="00294A53" w:rsidRPr="00282E2D" w:rsidRDefault="00294A53" w:rsidP="00CB7E5E">
      <w:pPr>
        <w:pStyle w:val="Textbody"/>
        <w:keepNext/>
        <w:spacing w:after="0"/>
        <w:jc w:val="center"/>
        <w:rPr>
          <w:i/>
        </w:rPr>
      </w:pPr>
      <w:r>
        <w:rPr>
          <w:i/>
        </w:rPr>
        <w:t>"Afsnit 3: Oplysninger om hormonforstyrrende stoffer i produkter</w:t>
      </w:r>
    </w:p>
    <w:p w:rsidR="00294A53" w:rsidRPr="00282E2D" w:rsidRDefault="00294A53" w:rsidP="00CB7E5E">
      <w:pPr>
        <w:pStyle w:val="Textbody"/>
        <w:keepNext/>
        <w:tabs>
          <w:tab w:val="left" w:pos="5428"/>
        </w:tabs>
        <w:spacing w:after="0"/>
        <w:ind w:firstLine="709"/>
        <w:jc w:val="center"/>
        <w:rPr>
          <w:i/>
        </w:rPr>
      </w:pPr>
    </w:p>
    <w:p w:rsidR="00294A53" w:rsidRPr="00282E2D" w:rsidRDefault="00294A53" w:rsidP="00CB7E5E">
      <w:pPr>
        <w:pStyle w:val="Textbody"/>
        <w:keepNext/>
        <w:tabs>
          <w:tab w:val="left" w:pos="5428"/>
        </w:tabs>
        <w:spacing w:after="0"/>
        <w:jc w:val="center"/>
        <w:rPr>
          <w:i/>
        </w:rPr>
      </w:pPr>
      <w:r>
        <w:rPr>
          <w:i/>
        </w:rPr>
        <w:t>Underafsnit 1: Definition af listen over stoffer med beviste, formodede eller mistænkte hormonforstyrrende egenskaber</w:t>
      </w:r>
    </w:p>
    <w:p w:rsidR="00294A53" w:rsidRPr="00282E2D" w:rsidRDefault="00294A53" w:rsidP="00CB7E5E">
      <w:pPr>
        <w:pStyle w:val="Textbody"/>
        <w:keepNext/>
        <w:spacing w:after="0"/>
        <w:ind w:firstLine="709"/>
        <w:rPr>
          <w:shd w:val="clear" w:color="auto" w:fill="FFFF00"/>
        </w:rPr>
      </w:pPr>
    </w:p>
    <w:p w:rsidR="00294A53" w:rsidRPr="00282E2D" w:rsidRDefault="00294A53" w:rsidP="00294A53">
      <w:pPr>
        <w:pStyle w:val="Textbody"/>
        <w:spacing w:after="0"/>
      </w:pPr>
      <w:r>
        <w:rPr>
          <w:i/>
        </w:rPr>
        <w:t>Artikel R.5232-19 - Dette afsnit finder anvendelse på produkter, som betragtes som sådan i henhold til artikel L.</w:t>
      </w:r>
      <w:r>
        <w:t> </w:t>
      </w:r>
      <w:r>
        <w:rPr>
          <w:i/>
        </w:rPr>
        <w:t>5232-5, stoffer, blandinger og artikler som defineret i artikel 3 i forordning (EU) nr. 1907/2006 med undtagelse af lægemidler og fødevarer som defineret i artikel 2 i forordning (EF) nr. 178/2002.</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 - En fælles bekendtgørelse fra ministrene med ansvar for sundhed og miljø fastlægger efter rådgivning fra den nationale levnedsmiddel-, miljø- og arbejdssundhedsstyrelse listen over stoffer med hormonforstyrrende egenskaber som nævnt i stk. I i artikel L. 5232-5, opdelt i to kategorier, bevist og formodet, afhængigt af niveauet af videnskabelig dokumentation.</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 - En fælles bekendtgørelse fra ministrene med ansvar for sundhed og miljø fastlægger efter rådgivning fra den nationale levnedsmiddel-, miljø- og arbejdssundhedsstyrelse listen over stoffer med mistanke om hormonforstyrrende egenskaber som nævnt i stk. II i artikel L. 5232-5.</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III. - En fælles bekendtgørelse fra ministrene med ansvar for sundhed og miljø fastlægger efter rådgivning fra den nationale levnedsmiddel-, miljø- og arbejdssundhedsstyrelse de kategorier af produkter, der udgør en særlig eksponeringsrisiko, der er nævnt i stk. II i artikel L. 5232-5, med hensyn til eksponerede folkegrupper, betingelser for anvendelse og bortskaffelse af disse produkter og andre relevante kriterier.</w:t>
      </w:r>
    </w:p>
    <w:p w:rsidR="008D5DD6" w:rsidRPr="00282E2D" w:rsidRDefault="008D5DD6" w:rsidP="00294A53">
      <w:pPr>
        <w:pStyle w:val="Textbody"/>
        <w:spacing w:after="0"/>
        <w:rPr>
          <w:i/>
        </w:rPr>
      </w:pPr>
    </w:p>
    <w:p w:rsidR="008D5DD6" w:rsidRPr="00282E2D" w:rsidRDefault="008D5DD6" w:rsidP="00CB7E5E">
      <w:pPr>
        <w:pStyle w:val="Textbody"/>
        <w:keepNext/>
        <w:tabs>
          <w:tab w:val="left" w:pos="5428"/>
        </w:tabs>
        <w:spacing w:after="0"/>
        <w:jc w:val="center"/>
        <w:rPr>
          <w:i/>
        </w:rPr>
      </w:pPr>
      <w:r>
        <w:rPr>
          <w:i/>
        </w:rPr>
        <w:t>Underafsnit 2: Tilgængeliggørelse af oplysninger for offentligheden</w:t>
      </w:r>
    </w:p>
    <w:p w:rsidR="00C41624" w:rsidRPr="00282E2D" w:rsidRDefault="00C41624" w:rsidP="00CB7E5E">
      <w:pPr>
        <w:pStyle w:val="Textbody"/>
        <w:keepNext/>
        <w:spacing w:after="0"/>
        <w:rPr>
          <w:i/>
        </w:rPr>
      </w:pPr>
    </w:p>
    <w:p w:rsidR="00294A53" w:rsidRPr="00282E2D" w:rsidRDefault="008D5DD6" w:rsidP="00294A53">
      <w:pPr>
        <w:pStyle w:val="Textbody"/>
        <w:spacing w:after="0"/>
        <w:rPr>
          <w:i/>
        </w:rPr>
      </w:pPr>
      <w:r>
        <w:rPr>
          <w:i/>
        </w:rPr>
        <w:t>Artikel R. 5232-20 - I. - Oplysningerne i stk. I og II i artikel L. 5232-5 er tilgængelige på en offentlig database med en programmeringsgrænseflade tilgængelig via internettet. En fælles bekendtgørelse fra ministrene med ansvar for sundhed og miljø præciserer indholdet og betingelserne for præsentation af disse informationer.</w:t>
      </w:r>
    </w:p>
    <w:p w:rsidR="00294A53" w:rsidRPr="00282E2D" w:rsidRDefault="00294A53" w:rsidP="00294A53">
      <w:pPr>
        <w:pStyle w:val="Textbody"/>
        <w:spacing w:after="0"/>
        <w:rPr>
          <w:i/>
        </w:rPr>
      </w:pPr>
    </w:p>
    <w:p w:rsidR="00294A53" w:rsidRPr="00282E2D" w:rsidRDefault="00D462DD" w:rsidP="00294A53">
      <w:pPr>
        <w:pStyle w:val="Textbody"/>
        <w:spacing w:after="0"/>
        <w:rPr>
          <w:i/>
        </w:rPr>
      </w:pPr>
      <w:r>
        <w:rPr>
          <w:i/>
        </w:rPr>
        <w:t>II. - Oplysningerne i stk. I og II i artikel L. 5232-5 gøres tilgængelige for offentligheden senest 18 måneder efter offentliggørelsen af de bekendtgørelser, der er nævnt i artikel R. 5232-19.". </w:t>
      </w:r>
    </w:p>
    <w:p w:rsidR="00294A53" w:rsidRPr="00282E2D" w:rsidRDefault="00294A53" w:rsidP="00294A53">
      <w:pPr>
        <w:pStyle w:val="Textbody"/>
        <w:spacing w:after="0"/>
        <w:ind w:firstLine="709"/>
      </w:pPr>
    </w:p>
    <w:p w:rsidR="00294A53" w:rsidRPr="00282E2D" w:rsidRDefault="00294A53" w:rsidP="00CB7E5E">
      <w:pPr>
        <w:pStyle w:val="Textbody"/>
        <w:keepNext/>
        <w:tabs>
          <w:tab w:val="left" w:pos="5428"/>
        </w:tabs>
        <w:spacing w:after="0"/>
        <w:jc w:val="center"/>
        <w:rPr>
          <w:i/>
        </w:rPr>
      </w:pPr>
      <w:r>
        <w:rPr>
          <w:i/>
        </w:rPr>
        <w:t>"Underafsnit 3: Strafferetlige sanktioner</w:t>
      </w:r>
    </w:p>
    <w:p w:rsidR="00856C4D" w:rsidRPr="00282E2D" w:rsidRDefault="00856C4D" w:rsidP="00CB7E5E">
      <w:pPr>
        <w:pStyle w:val="Textbody"/>
        <w:keepNext/>
        <w:spacing w:after="0"/>
        <w:rPr>
          <w:i/>
        </w:rPr>
      </w:pPr>
    </w:p>
    <w:p w:rsidR="00294A53" w:rsidRPr="00282E2D" w:rsidRDefault="00294A53" w:rsidP="00294A53">
      <w:pPr>
        <w:pStyle w:val="Textbody"/>
        <w:spacing w:after="0"/>
      </w:pPr>
      <w:r>
        <w:rPr>
          <w:i/>
        </w:rPr>
        <w:t>Artikel R. 5232-21 - Manglende tilgængelighed for offentligheden, under de betingelser der er defineret i artikel L. 5232-5, af oplysninger, der gør det muligt at identificere tilstedeværelsen af hormonforstyrrende stoffer i de produkter, der er defineret under betingelserne i artikel R. 5232-20, straffes med en bøde som fastsat for overtrædelser af femte klasse.</w:t>
      </w:r>
    </w:p>
    <w:p w:rsidR="00294A53" w:rsidRPr="00282E2D" w:rsidRDefault="00294A53" w:rsidP="00294A53">
      <w:pPr>
        <w:pStyle w:val="Textbody"/>
        <w:spacing w:after="0"/>
        <w:rPr>
          <w:bCs/>
          <w:i/>
        </w:rPr>
      </w:pPr>
    </w:p>
    <w:p w:rsidR="00294A53" w:rsidRPr="00282E2D" w:rsidRDefault="00294A53" w:rsidP="00294A53">
      <w:pPr>
        <w:pStyle w:val="Textbody"/>
        <w:spacing w:after="0"/>
      </w:pPr>
      <w:r>
        <w:rPr>
          <w:bCs/>
          <w:i/>
        </w:rPr>
        <w:lastRenderedPageBreak/>
        <w:t>Manglende overholdelse af den i stk. II i artikel R. 5232-20 nævnte tidsfrist straffes med en bøde som fastsat for overtrædelser af femte klasse.</w:t>
      </w:r>
    </w:p>
    <w:p w:rsidR="00294A53" w:rsidRPr="00282E2D" w:rsidRDefault="00294A53" w:rsidP="00294A53">
      <w:pPr>
        <w:pStyle w:val="Textbody"/>
        <w:spacing w:after="0"/>
      </w:pPr>
    </w:p>
    <w:p w:rsidR="00294A53" w:rsidRPr="00282E2D" w:rsidRDefault="00856C4D" w:rsidP="00294A53">
      <w:pPr>
        <w:pStyle w:val="Textbody"/>
        <w:spacing w:after="0"/>
      </w:pPr>
      <w:r>
        <w:rPr>
          <w:i/>
        </w:rPr>
        <w:t>Artikel R. 5232-22 – Gentagne overtrædelser i henhold til artikel R. 5232-21 straffes efter straffelovens artikel 132-11 og 132-15.".</w:t>
      </w:r>
      <w:r>
        <w:rPr>
          <w:bCs/>
          <w:i/>
        </w:rPr>
        <w:t xml:space="preserve"> </w:t>
      </w:r>
    </w:p>
    <w:p w:rsidR="00294A53" w:rsidRPr="00282E2D" w:rsidRDefault="00294A53" w:rsidP="00294A53">
      <w:pPr>
        <w:pStyle w:val="Textbody"/>
        <w:spacing w:after="0"/>
        <w:rPr>
          <w:bCs/>
          <w:i/>
        </w:rPr>
      </w:pPr>
    </w:p>
    <w:p w:rsidR="00294A53" w:rsidRPr="00282E2D" w:rsidRDefault="00294A53" w:rsidP="00294A53">
      <w:pPr>
        <w:pStyle w:val="Textbody"/>
        <w:spacing w:after="0"/>
        <w:rPr>
          <w:b/>
          <w:bCs/>
        </w:rPr>
      </w:pPr>
    </w:p>
    <w:p w:rsidR="00294A53" w:rsidRPr="00282E2D" w:rsidRDefault="00294A53" w:rsidP="00CB7E5E">
      <w:pPr>
        <w:pStyle w:val="Textbody"/>
        <w:keepNext/>
        <w:spacing w:after="0"/>
        <w:jc w:val="center"/>
        <w:rPr>
          <w:b/>
          <w:bCs/>
        </w:rPr>
      </w:pPr>
      <w:r>
        <w:rPr>
          <w:b/>
          <w:bCs/>
        </w:rPr>
        <w:t>Artikel 2</w:t>
      </w:r>
    </w:p>
    <w:p w:rsidR="00294A53" w:rsidRPr="00282E2D" w:rsidRDefault="00294A53" w:rsidP="00CB7E5E">
      <w:pPr>
        <w:pStyle w:val="Standard"/>
        <w:keepNext/>
        <w:spacing w:after="0"/>
      </w:pPr>
    </w:p>
    <w:p w:rsidR="00294A53" w:rsidRPr="00282E2D" w:rsidRDefault="00294A53" w:rsidP="00294A53">
      <w:pPr>
        <w:pStyle w:val="Standard"/>
        <w:spacing w:after="0" w:line="240" w:lineRule="auto"/>
        <w:ind w:firstLine="709"/>
        <w:jc w:val="both"/>
      </w:pPr>
      <w:r>
        <w:rPr>
          <w:rStyle w:val="StrongEmphasis"/>
          <w:rFonts w:ascii="Times New Roman" w:hAnsi="Times New Roman"/>
          <w:b w:val="0"/>
          <w:sz w:val="24"/>
          <w:szCs w:val="24"/>
        </w:rPr>
        <w:t xml:space="preserve">Ministeren for grøn omstilling, ministeren for solidaritet og sundhed samt seglbevareren, justitsministeren er, hver inden for sit område, ansvarlige for gennemførelsen af nærværende dekret </w:t>
      </w:r>
      <w:r>
        <w:rPr>
          <w:sz w:val="24"/>
        </w:rPr>
        <w:t>, som offentliggøres i Journal officiel, Den Franske Republiks statstidende.</w:t>
      </w:r>
    </w:p>
    <w:p w:rsidR="00294A53" w:rsidRPr="00282E2D" w:rsidRDefault="00294A53" w:rsidP="00294A53">
      <w:pPr>
        <w:pStyle w:val="Standard"/>
        <w:spacing w:after="0" w:line="240" w:lineRule="auto"/>
        <w:ind w:firstLine="709"/>
        <w:jc w:val="both"/>
      </w:pPr>
    </w:p>
    <w:p w:rsidR="00294A53" w:rsidRPr="00282E2D" w:rsidRDefault="00294A53" w:rsidP="00294A53">
      <w:pPr>
        <w:pStyle w:val="Textbody"/>
        <w:rPr>
          <w:shd w:val="clear" w:color="auto" w:fill="FFFF00"/>
        </w:rPr>
      </w:pPr>
    </w:p>
    <w:p w:rsidR="00294A53" w:rsidRPr="00282E2D" w:rsidRDefault="00294A53" w:rsidP="00294A53">
      <w:pPr>
        <w:pStyle w:val="SNDate"/>
      </w:pPr>
      <w:r>
        <w:t>Udfærdiget den</w:t>
      </w:r>
    </w:p>
    <w:p w:rsidR="00294A53" w:rsidRPr="00282E2D" w:rsidRDefault="00294A53" w:rsidP="00294A53">
      <w:pPr>
        <w:pStyle w:val="SNDate"/>
      </w:pPr>
      <w:r>
        <w:t>På premierministerens vegne:</w:t>
      </w:r>
    </w:p>
    <w:p w:rsidR="00294A53" w:rsidRPr="00282E2D" w:rsidRDefault="00294A53" w:rsidP="00294A53">
      <w:pPr>
        <w:pStyle w:val="SNDate"/>
      </w:pPr>
      <w:r>
        <w:t>Ministeren for grøn omstilling</w:t>
      </w:r>
    </w:p>
    <w:p w:rsidR="00294A53" w:rsidRPr="00282E2D" w:rsidRDefault="00294A53" w:rsidP="00294A53">
      <w:pPr>
        <w:pStyle w:val="SNDate"/>
      </w:pPr>
      <w:r>
        <w:t>Barbara POMPILI</w:t>
      </w:r>
    </w:p>
    <w:p w:rsidR="00294A53" w:rsidRPr="00282E2D" w:rsidRDefault="00294A53" w:rsidP="00294A53">
      <w:pPr>
        <w:pStyle w:val="SNDate"/>
      </w:pPr>
      <w:r>
        <w:t>Ministeren for solidaritet og sundhed</w:t>
      </w:r>
    </w:p>
    <w:p w:rsidR="00294A53" w:rsidRPr="00282E2D" w:rsidRDefault="00294A53" w:rsidP="00294A53">
      <w:pPr>
        <w:pStyle w:val="SNDate"/>
      </w:pPr>
      <w:r>
        <w:lastRenderedPageBreak/>
        <w:t xml:space="preserve">Olivier VERAN </w:t>
      </w:r>
    </w:p>
    <w:p w:rsidR="00294A53" w:rsidRPr="00282E2D" w:rsidRDefault="00294A53" w:rsidP="00294A53">
      <w:pPr>
        <w:pStyle w:val="SNDate"/>
      </w:pPr>
      <w:r>
        <w:t>Seglbevareren, Justitsministeren</w:t>
      </w:r>
    </w:p>
    <w:p w:rsidR="00294A53" w:rsidRPr="00282E2D" w:rsidRDefault="00294A53" w:rsidP="00294A53">
      <w:pPr>
        <w:pStyle w:val="SNDate"/>
      </w:pPr>
      <w:r>
        <w:t>Eric DUPONT-MORETTI</w:t>
      </w:r>
    </w:p>
    <w:sectPr w:rsidR="00294A53" w:rsidRPr="00282E2D"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5E7" w:rsidRDefault="000245E7" w:rsidP="006439D9">
      <w:pPr>
        <w:spacing w:after="0" w:line="240" w:lineRule="auto"/>
      </w:pPr>
      <w:r>
        <w:separator/>
      </w:r>
    </w:p>
  </w:endnote>
  <w:endnote w:type="continuationSeparator" w:id="0">
    <w:p w:rsidR="000245E7" w:rsidRDefault="000245E7"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5E7" w:rsidRDefault="000245E7" w:rsidP="006439D9">
      <w:pPr>
        <w:spacing w:after="0" w:line="240" w:lineRule="auto"/>
      </w:pPr>
      <w:r>
        <w:separator/>
      </w:r>
    </w:p>
  </w:footnote>
  <w:footnote w:type="continuationSeparator" w:id="0">
    <w:p w:rsidR="000245E7" w:rsidRDefault="000245E7"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53"/>
    <w:rsid w:val="00013A58"/>
    <w:rsid w:val="000165B6"/>
    <w:rsid w:val="000245E7"/>
    <w:rsid w:val="00030F20"/>
    <w:rsid w:val="0004143C"/>
    <w:rsid w:val="000E06A7"/>
    <w:rsid w:val="000F3F3C"/>
    <w:rsid w:val="001B569F"/>
    <w:rsid w:val="001C1799"/>
    <w:rsid w:val="001D1B71"/>
    <w:rsid w:val="001D6FD1"/>
    <w:rsid w:val="001D7575"/>
    <w:rsid w:val="00222F1E"/>
    <w:rsid w:val="00251D1A"/>
    <w:rsid w:val="00282E2D"/>
    <w:rsid w:val="00294A53"/>
    <w:rsid w:val="00335F03"/>
    <w:rsid w:val="00371980"/>
    <w:rsid w:val="00402427"/>
    <w:rsid w:val="00502224"/>
    <w:rsid w:val="00515153"/>
    <w:rsid w:val="00563D13"/>
    <w:rsid w:val="005B558E"/>
    <w:rsid w:val="006439D9"/>
    <w:rsid w:val="006956AB"/>
    <w:rsid w:val="0073037A"/>
    <w:rsid w:val="00747B7E"/>
    <w:rsid w:val="0077797E"/>
    <w:rsid w:val="007D1BA7"/>
    <w:rsid w:val="00840F72"/>
    <w:rsid w:val="00856C4D"/>
    <w:rsid w:val="00881E97"/>
    <w:rsid w:val="00884D07"/>
    <w:rsid w:val="008A1273"/>
    <w:rsid w:val="008A6D47"/>
    <w:rsid w:val="008C485B"/>
    <w:rsid w:val="008D5DD6"/>
    <w:rsid w:val="009D0F51"/>
    <w:rsid w:val="009D5655"/>
    <w:rsid w:val="00A27370"/>
    <w:rsid w:val="00A3740E"/>
    <w:rsid w:val="00A82D3A"/>
    <w:rsid w:val="00A8799E"/>
    <w:rsid w:val="00A93713"/>
    <w:rsid w:val="00AC0350"/>
    <w:rsid w:val="00AE1254"/>
    <w:rsid w:val="00AE527C"/>
    <w:rsid w:val="00B734F1"/>
    <w:rsid w:val="00B913FD"/>
    <w:rsid w:val="00BB11B6"/>
    <w:rsid w:val="00BC2C42"/>
    <w:rsid w:val="00BF3118"/>
    <w:rsid w:val="00C35B22"/>
    <w:rsid w:val="00C41624"/>
    <w:rsid w:val="00C627FE"/>
    <w:rsid w:val="00C66084"/>
    <w:rsid w:val="00CA2A93"/>
    <w:rsid w:val="00CB7E5E"/>
    <w:rsid w:val="00CC2BF2"/>
    <w:rsid w:val="00CE41DF"/>
    <w:rsid w:val="00D45656"/>
    <w:rsid w:val="00D462DD"/>
    <w:rsid w:val="00D61627"/>
    <w:rsid w:val="00DB0F74"/>
    <w:rsid w:val="00DC7261"/>
    <w:rsid w:val="00DD53E9"/>
    <w:rsid w:val="00DF56E1"/>
    <w:rsid w:val="00E55C23"/>
    <w:rsid w:val="00EF79C2"/>
    <w:rsid w:val="00F17BFA"/>
    <w:rsid w:val="00FA09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1CF926-CE68-49D5-B446-6935836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09D4-8C72-437F-8E40-84A8B308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7561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JENSEN, Per Apel</cp:lastModifiedBy>
  <cp:revision>2</cp:revision>
  <dcterms:created xsi:type="dcterms:W3CDTF">2020-12-30T12:10:00Z</dcterms:created>
  <dcterms:modified xsi:type="dcterms:W3CDTF">2020-12-30T12:10:00Z</dcterms:modified>
</cp:coreProperties>
</file>