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Decreto N.º 2021-1110 de 23 de agosto de 2021 relativo à disponibilização de informações que permitam identificar os desreguladores endócrinos num produto</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Público abrangido: Qualquer pessoa que coloque no mercado produtos destinados aos consumidores que, no final do seu fabrico, incluam substâncias cujas propriedades de desregulação endócrina são qualificadas pela Agência Nacional de Segurança Sanitária da Alimentação, do Ambiente e do Trabalho (ANSES) como «comprovadas», «presumidas» ou «suspeitas».</w:t>
      </w:r>
      <w:r>
        <w:rPr>
          <w:rFonts w:ascii="Times New Roman" w:hAnsi="Times New Roman"/>
          <w:color w:val="000000"/>
          <w:sz w:val="27"/>
        </w:rPr>
        <w:br/>
        <w:t>Objeto: Através do seu artigo 1.º, o presente decreto cria as disposições nacionais necessárias para disponibilizar as informações que permitam identificar os desreguladores endócrinos num produto.</w:t>
      </w:r>
      <w:r>
        <w:rPr>
          <w:rFonts w:ascii="Times New Roman" w:hAnsi="Times New Roman"/>
          <w:color w:val="000000"/>
          <w:sz w:val="27"/>
        </w:rPr>
        <w:br/>
        <w:t>Entrada em vigor: O decreto entra em vigor em 1 de janeiro de 2022.</w:t>
      </w:r>
      <w:r>
        <w:rPr>
          <w:rFonts w:ascii="Times New Roman" w:hAnsi="Times New Roman"/>
          <w:color w:val="000000"/>
          <w:sz w:val="27"/>
        </w:rPr>
        <w:br/>
        <w:t>Nota explicativa: A Lei n.º 2020-105, de 10 de fevereiro de 2020, relativa à luta contra o desperdício e à economia circular, denominada «AGEC», prevê, no artigo 13.º-II, o recurso a um decreto do Conselho de Estado para fixar as modalidades de aplicação da disponibilização das informações que permitam identificar os desreguladores endócrinos num produto colocado no mercado. O objetivo recordado na exposição de motivos de apoio ao referido artigo consiste em «fornecer aos cidadãos informações transparentes sobre a presença de substâncias que apresentam propriedades desreguladoras endócrinas nos produtos. Assim, prevê que qualquer pessoa que coloque no mercado produtos que contenham substâncias que apresentam propriedades desreguladoras endócrinas de acordo com a ANSES publique a lista dos produtos em causa e das substâncias que cada um deles contém. A publicação em causa será realizada num formato aberto que permita que as plataformas colaborativas explorem as referidas informações e, assim, melhor informem o consumidor.</w:t>
      </w:r>
      <w:r>
        <w:rPr>
          <w:rFonts w:ascii="Times New Roman" w:hAnsi="Times New Roman"/>
          <w:color w:val="000000"/>
          <w:sz w:val="27"/>
        </w:rPr>
        <w:br/>
        <w:t xml:space="preserve">A segunda Estratégia nacional sobre os desreguladores endócrinos (SNPE2) inclui um eixo sobre a melhoria da informação dos consumidores. A Anses já está fortemente mobilizada através da constituição de listas de substâncias que apresentam propriedades desreguladoras endócrinas (ação n.º 3 da SNPE2). A presente disposição insere-se na referida dinâmica e visa fornecer aos cidadãos informações transparentes sobre a presença de substâncias que apresentam propriedades desreguladoras endócrinas nos produtos, na aceção de substâncias, misturas, artigos e géneros alimentícios. De igual modo, para a aplicação do artigo, consideram-se produtos nos termos do artigo L. 5232-5 do Código da Saúde Pública substâncias, misturas e artigos, conforme definidos no artigo 3.º do Regulamento (CE) n.º 1907/2006, à exceção dos medicamentos, produtos biocidas, conforme definidos no artigo 3.º do Regulamento (UE) n.º 528/2012, produtos fitofarmacêuticos na aceção do artigo 2.º do Regulamento (CE) n.º 1107/2009, dispositivos médicos, conforme definidos no artigo 2.º do Regulamento (UE) 2017/745, materiais e objetos, incluindo os materiais e objetos ativos e inteligentes, destinados a entrar em contacto com os alimentos, conforme definidos no artigo 2.º </w:t>
      </w:r>
      <w:r>
        <w:rPr>
          <w:rFonts w:ascii="Times New Roman" w:hAnsi="Times New Roman"/>
          <w:color w:val="000000"/>
          <w:sz w:val="27"/>
        </w:rPr>
        <w:lastRenderedPageBreak/>
        <w:t>do Regulamento (CE) n.º 1935/2004, brinquedos na aceção do artigo 2.º da Diretiva 2009/48/CE, produtos cosméticos, conforme definidos no artigo 2.º do Regulamento (CE) n.º 1223/2009, e produtos definidos no artigo 2.º da Diretiva 2001/95/CE e géneros alimentícios, conforme definidos no artigo 2.º do Regulamento (CE) n.º 178/2002.</w:t>
      </w:r>
      <w:r>
        <w:rPr>
          <w:rFonts w:ascii="Times New Roman" w:hAnsi="Times New Roman"/>
          <w:color w:val="000000"/>
          <w:sz w:val="27"/>
        </w:rPr>
        <w:br/>
        <w:t>A obrigação de disponibilizar informações que identifiquem os desreguladores endócrinos de um produto colocado no mercado é aplicável o mais tardar seis meses após a publicação do despacho que enumera substâncias com propriedades desreguladoras do sistema endócrino qualificadas, de acordo com o nível de provas científicas de pessoas verificadas, presumidas ou suspeitas e a lista de categorias de produtos que apresentam um risco específico de exposição. A obrigação de fornecer informações sobre a presença de substâncias desreguladoras do sistema endócrino classificadas como suspeitas aplica-se apenas às categorias de produtos com um risco específico de exposição previsto no referido decreto.</w:t>
      </w:r>
      <w:r>
        <w:rPr>
          <w:rFonts w:ascii="Times New Roman" w:hAnsi="Times New Roman"/>
          <w:color w:val="000000"/>
          <w:sz w:val="27"/>
        </w:rPr>
        <w:br/>
        <w:t>Referências: o código de saúde pública corrigido pelo decreto pode ser consultado, nesta versão resultante da respetiva alteração, no sítio da Web da Légifrance (https://www.legifrance.gouv.fr).</w:t>
      </w:r>
    </w:p>
    <w:p w14:paraId="2F5541DF"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O primeiro-ministro,</w:t>
      </w:r>
      <w:r>
        <w:rPr>
          <w:rFonts w:ascii="Times New Roman" w:hAnsi="Times New Roman"/>
          <w:color w:val="000000"/>
          <w:sz w:val="27"/>
        </w:rPr>
        <w:br/>
        <w:t>Relativamente ao relatório da ministra da Transição Ecológica,</w:t>
      </w:r>
      <w:r>
        <w:rPr>
          <w:rFonts w:ascii="Times New Roman" w:hAnsi="Times New Roman"/>
          <w:color w:val="000000"/>
          <w:sz w:val="27"/>
        </w:rPr>
        <w:br/>
        <w:t>Tendo em conta o Regulamento (CE) n.º 178/2002 do Parlamento Europeu e do Conselho, de 28 de janeiro de 2002, que determina os princípios e normas gerais da legislação alimentar, cria a Autoridade Europeia para a Segurança dos Alimentos e estabelece procedimentos em matéria de segurança dos géneros alimentícios,</w:t>
      </w:r>
      <w:r>
        <w:rPr>
          <w:rFonts w:ascii="Times New Roman" w:hAnsi="Times New Roman"/>
          <w:color w:val="000000"/>
          <w:sz w:val="27"/>
        </w:rPr>
        <w:br/>
        <w:t>Tendo em conta o Regulamento (CE) n.º 1907/2006 do Parlamento Europeu e do Conselho, de 18 de dezembro de 2006, relativo ao registo, avaliação, autorização e restrição dos produtos químicos (REACH), que cria a Agência Europeia dos Produtos Químicos, que altera a Diretiva 1999/45/CE e revoga o Regulamento (CEE) n.º 793/93 do Conselho e o Regulamento (CE) n.º 1488/94 da Comissão, bem como a Diretiva 76/769/CEE do Conselho e as Diretivas 91/155/CEE, 93/67/CEE, 93/105/CE e 2000/21/CE da Comissão,</w:t>
      </w:r>
      <w:r>
        <w:rPr>
          <w:rFonts w:ascii="Times New Roman" w:hAnsi="Times New Roman"/>
          <w:color w:val="000000"/>
          <w:sz w:val="27"/>
        </w:rPr>
        <w:br/>
        <w:t>Tendo em conta o Regulamento (UE) 2017/745 do Parlamento Europeu e do Conselho, de 5 de abril de 2017, relativo aos dispositivos médicos, que altera a Diretiva 2001/83/CE, o Regulamento (CE) n.º 178/2002 e o Regulamento (CE) n.º 1223/2009 e que revoga as Diretivas 90/385/CEE e 93/42/CEE do Conselho,</w:t>
      </w:r>
      <w:r>
        <w:rPr>
          <w:rFonts w:ascii="Times New Roman" w:hAnsi="Times New Roman"/>
          <w:color w:val="000000"/>
          <w:sz w:val="27"/>
        </w:rPr>
        <w:br/>
        <w:t>Tendo em conta a Diretiva (UE) 2015/1535 do Parlamento Europeu e do Conselho, de 9 de setembro de 2015, relativa a um procedimento de informação no domínio das regulamentações técnicas e das regras relativas aos serviços da sociedade da informação, nomeadamente a Notificação N.º 2020/832/F;</w:t>
      </w:r>
      <w:r>
        <w:rPr>
          <w:rFonts w:ascii="Times New Roman" w:hAnsi="Times New Roman"/>
          <w:color w:val="000000"/>
          <w:sz w:val="27"/>
        </w:rPr>
        <w:br/>
        <w:t>Tendo em conta o Código do Ambiente, nomeadamente o artigo L. 541-9-1;</w:t>
      </w:r>
      <w:r>
        <w:rPr>
          <w:rFonts w:ascii="Times New Roman" w:hAnsi="Times New Roman"/>
          <w:color w:val="000000"/>
          <w:sz w:val="27"/>
        </w:rPr>
        <w:br/>
        <w:t>Tendo em conta o Código Penal, nomeadamente o artigo R. 610-1,</w:t>
      </w:r>
      <w:r>
        <w:rPr>
          <w:rFonts w:ascii="Times New Roman" w:hAnsi="Times New Roman"/>
          <w:color w:val="000000"/>
          <w:sz w:val="27"/>
        </w:rPr>
        <w:br/>
        <w:t>Tendo em conta o Código da Saúde Pública, nomeadamente o artigo L. 5232-5;</w:t>
      </w:r>
      <w:r>
        <w:rPr>
          <w:rFonts w:ascii="Times New Roman" w:hAnsi="Times New Roman"/>
          <w:color w:val="000000"/>
          <w:sz w:val="27"/>
        </w:rPr>
        <w:br/>
        <w:t>Tendo em conta a Lei N.º 2020-105, de 10 de fevereiro de 2020, relativa à luta contra o desperdício e à economia circular, em particular os artigos 13 e 130;</w:t>
      </w:r>
      <w:r>
        <w:rPr>
          <w:rFonts w:ascii="Times New Roman" w:hAnsi="Times New Roman"/>
          <w:color w:val="000000"/>
          <w:sz w:val="27"/>
        </w:rPr>
        <w:br/>
      </w:r>
      <w:r>
        <w:rPr>
          <w:rFonts w:ascii="Times New Roman" w:hAnsi="Times New Roman"/>
          <w:color w:val="000000"/>
          <w:sz w:val="27"/>
        </w:rPr>
        <w:lastRenderedPageBreak/>
        <w:t>Tendo em conta a notificação n.º 2020/0832/F enviada à Comissão Europeia em 21 de dezembro de 2020 e as suas respostas de 25 de janeiro e 22 de março de 2021;</w:t>
      </w:r>
      <w:r>
        <w:rPr>
          <w:rFonts w:ascii="Times New Roman" w:hAnsi="Times New Roman"/>
          <w:color w:val="000000"/>
          <w:sz w:val="27"/>
        </w:rPr>
        <w:br/>
        <w:t>Ouvido o Conselho de Estado (departamento social),</w:t>
      </w:r>
      <w:r>
        <w:rPr>
          <w:rFonts w:ascii="Times New Roman" w:hAnsi="Times New Roman"/>
          <w:color w:val="000000"/>
          <w:sz w:val="27"/>
        </w:rPr>
        <w:br/>
        <w:t>Decreta:</w:t>
      </w: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1.º</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 seguir ao Livro II, Título III, Capítulo II, Secção 2, da Parte 5 do Código da Saúde Pública, a Secção 3 é inserida com a seguinte redação:</w:t>
      </w:r>
    </w:p>
    <w:p w14:paraId="372A921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‘Secção 3</w:t>
      </w:r>
      <w:r>
        <w:rPr>
          <w:rFonts w:ascii="Times New Roman" w:hAnsi="Times New Roman"/>
          <w:color w:val="000000"/>
          <w:sz w:val="27"/>
        </w:rPr>
        <w:br/>
        <w:t>‘Informações sobre os desreguladores endócrinos nos produtos</w:t>
      </w:r>
    </w:p>
    <w:p w14:paraId="77342C7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‘Subsection 1</w:t>
      </w:r>
      <w:r>
        <w:rPr>
          <w:rFonts w:ascii="Times New Roman" w:hAnsi="Times New Roman"/>
          <w:color w:val="000000"/>
          <w:sz w:val="27"/>
        </w:rPr>
        <w:br/>
        <w:t>‘Definição da lista das substâncias que apresentam propriedades desreguladoras endócrinas comprovadas, presumidas ou suspeitas e das categorias de produtos que apresentam um determinado risco de exposição</w:t>
      </w:r>
    </w:p>
    <w:p w14:paraId="279B9BF7"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‘Artigo R. 5232-19 - Para a aplicação da presente secção, os produtos alimentares conforme definido no Artigo 2 da Regulamentação (EC) n.º 178/2002 e substâncias, misturas e artigos, conforme definidos no Artigo 3 da Regulamentação (CE) n.º 1907/2006, à exceção dos medicamentos, serão considerados produtos na aceção do Artigo L. 5232-5.</w:t>
      </w:r>
      <w:r>
        <w:rPr>
          <w:rFonts w:ascii="Times New Roman" w:hAnsi="Times New Roman"/>
          <w:color w:val="000000"/>
          <w:sz w:val="27"/>
        </w:rPr>
        <w:br/>
        <w:t>‘Um despacho conjunto dos ministros da Saúde e do Ambiente, após consulta da Agência Francesa para a Alimentação, o Ambiente e a Saúde no Trabalho:</w:t>
      </w:r>
      <w:r>
        <w:rPr>
          <w:rFonts w:ascii="Times New Roman" w:hAnsi="Times New Roman"/>
          <w:color w:val="000000"/>
          <w:sz w:val="27"/>
        </w:rPr>
        <w:br/>
        <w:t>‘1. A lista das substâncias que apresentam propriedades desreguladoras endócrinas mencionadas no Artigo L. 5232-5, n.º I, divididas em duas categorias (comprovadas e presumidas), consoante o nível de prova científica;</w:t>
      </w:r>
      <w:r>
        <w:rPr>
          <w:rFonts w:ascii="Times New Roman" w:hAnsi="Times New Roman"/>
          <w:color w:val="000000"/>
          <w:sz w:val="27"/>
        </w:rPr>
        <w:br/>
        <w:t>‘2. A lista das substâncias que apresentam propriedades desreguladoras endócrinas suspeitas, mencionadas no artigo L. 5232-5, n.º II;</w:t>
      </w:r>
      <w:r>
        <w:rPr>
          <w:rFonts w:ascii="Times New Roman" w:hAnsi="Times New Roman"/>
          <w:color w:val="000000"/>
          <w:sz w:val="27"/>
        </w:rPr>
        <w:br/>
        <w:t>‘3. As categorias de produtos que apresentam um risco de exposição específico mencionadas no Artigo L. 5232-5, n.º II, no que diz respeito às populações expostas, às condições de utilização e eliminação dos produtos em causa e outros critérios pertinentes.</w:t>
      </w:r>
    </w:p>
    <w:p w14:paraId="17BB239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‘Subsecção 2</w:t>
      </w:r>
      <w:r>
        <w:rPr>
          <w:rFonts w:ascii="Times New Roman" w:hAnsi="Times New Roman"/>
          <w:color w:val="000000"/>
          <w:sz w:val="27"/>
        </w:rPr>
        <w:br/>
        <w:t>‘Disponibilização das informações ao público</w:t>
      </w:r>
    </w:p>
    <w:p w14:paraId="0150BE3C"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‘Artigo R. 5232-20 - I. – As informações previstas no artigo L. 5232-5, I e II, </w:t>
      </w:r>
      <w:r>
        <w:rPr>
          <w:rFonts w:ascii="Times New Roman" w:hAnsi="Times New Roman"/>
          <w:color w:val="000000"/>
          <w:sz w:val="27"/>
        </w:rPr>
        <w:lastRenderedPageBreak/>
        <w:t>estão disponíveis em formato digital, gratuitamente e de forma reutilizável de modo a permitir a agregação. Para o efeito, qualquer pessoa que coloque produtos no mercado na aceção do artigo L. 5232-5 deve disponibilizar as informações numa página da Web específica que contenha uma interface de programação de aplicações ou através de um pedido designado por despacho conjunto dos ministros responsáveis pela saúde e pelo ambiente.</w:t>
      </w:r>
      <w:r>
        <w:rPr>
          <w:rFonts w:ascii="Times New Roman" w:hAnsi="Times New Roman"/>
          <w:color w:val="000000"/>
          <w:sz w:val="27"/>
        </w:rPr>
        <w:br/>
        <w:t>‘Se o produto em causa for igualmente sujeito à obrigação de informar os consumidores nos termos do artigo L. 541-9-1 do Código do Ambiente, as informações previstas em I e II do artigo L. 5332-5 do presente Código devem ser disponibilizadas nos mesmos suportes que os previstos para o fornecimento de informações sobre as qualidades e características ambientais desses produtos ou categorias de produtos definidas nos termos do artigo L. 541-9-1 do Código do Ambiente.</w:t>
      </w:r>
      <w:r>
        <w:rPr>
          <w:rFonts w:ascii="Times New Roman" w:hAnsi="Times New Roman"/>
          <w:color w:val="000000"/>
          <w:sz w:val="27"/>
        </w:rPr>
        <w:br/>
        <w:t>‘Uma portaria conjunta dos Ministros da Saúde e do Ambiente definirão os procedimentos relacionados ao conteúdo e às condições de apresentação das informações disponibilizadas em I e II do Artigo L. 5232-5 do presente Código.</w:t>
      </w:r>
      <w:r>
        <w:rPr>
          <w:rFonts w:ascii="Times New Roman" w:hAnsi="Times New Roman"/>
          <w:color w:val="000000"/>
          <w:sz w:val="27"/>
        </w:rPr>
        <w:br/>
        <w:t>‘A disponibilização ao público das informações previstas no artigo L. 5232-5, N.ºs I e II, é realizada, o mais tardar, seis meses após a publicação do decreto mencionada no artigo R. 5232-19.</w:t>
      </w:r>
    </w:p>
    <w:p w14:paraId="119EB2A1"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‘Subsecção 3: ‘Sanções penais</w:t>
      </w:r>
    </w:p>
    <w:p w14:paraId="10379220"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‘Artigo R. 5232-21. -O facto de não disponibilizar ao público, nos termos definidos no Artigo L. 5232-5, N.ºs I e II as informações de acordo com os termos do Artigo R. 5232-20 é punido com a coima prevista para as infrações de quinta classe.</w:t>
      </w:r>
      <w:r>
        <w:rPr>
          <w:rFonts w:ascii="Times New Roman" w:hAnsi="Times New Roman"/>
          <w:color w:val="000000"/>
          <w:sz w:val="27"/>
        </w:rPr>
        <w:br/>
        <w:t>‘O incumprimento do prazo previsto no artigo R. 5232-20, é punido com a coima prevista para as infrações de quinta classe.</w:t>
      </w:r>
    </w:p>
    <w:p w14:paraId="3EED871E"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Artigo R.5232-22 - A reincidência das infrações previstas no artigo R.5232-21 é reprimida nos termos dos artigos 132-11 e 132-15 do Código Penal.»</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2.º</w:t>
      </w:r>
    </w:p>
    <w:p w14:paraId="7EA96E2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Este Decreto entra em vigor em 1 de janeiro de 2022.</w:t>
      </w: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 Ministra da Transição Ecológica, o Guarda-Selos, Ministro da Justiça e o </w:t>
      </w:r>
      <w:r>
        <w:rPr>
          <w:rFonts w:ascii="Times New Roman" w:hAnsi="Times New Roman"/>
          <w:color w:val="000000"/>
          <w:sz w:val="27"/>
        </w:rPr>
        <w:lastRenderedPageBreak/>
        <w:t>Ministro da Solidariedade e da Saúde serão responsáveis, no âmbito das respetivas competências, pela execução do presente decreto que será publicado no Diário Oficial da República Francesa.</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Feito em 23 de agosto de 2021.</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Jean Castex</w:t>
      </w:r>
      <w:r>
        <w:rPr>
          <w:rFonts w:ascii="Times New Roman" w:hAnsi="Times New Roman"/>
          <w:color w:val="000000"/>
          <w:sz w:val="27"/>
        </w:rPr>
        <w:br/>
        <w:t>Pelo primeiro-ministro:</w:t>
      </w:r>
    </w:p>
    <w:p w14:paraId="61B53AD3" w14:textId="1A899CAA"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A ministra da Transição Ecológica,</w:t>
      </w:r>
      <w:r>
        <w:rPr>
          <w:rFonts w:ascii="Times New Roman" w:hAnsi="Times New Roman"/>
          <w:color w:val="000000"/>
          <w:sz w:val="27"/>
        </w:rPr>
        <w:br/>
        <w:t xml:space="preserve">Barbara </w:t>
      </w:r>
      <w:r w:rsidR="00B458DC" w:rsidRPr="00D8319D">
        <w:rPr>
          <w:rFonts w:ascii="Times New Roman" w:eastAsia="Times New Roman" w:hAnsi="Times New Roman" w:cs="Times New Roman"/>
          <w:color w:val="000000"/>
          <w:sz w:val="27"/>
          <w:szCs w:val="27"/>
          <w:lang w:eastAsia="fr-FR"/>
        </w:rPr>
        <w:t>Pompili</w:t>
      </w:r>
    </w:p>
    <w:p w14:paraId="009E9B9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O Guarda-Selos, Ministro da Justiça,</w:t>
      </w:r>
      <w:r>
        <w:rPr>
          <w:rFonts w:ascii="Times New Roman" w:hAnsi="Times New Roman"/>
          <w:color w:val="000000"/>
          <w:sz w:val="27"/>
        </w:rPr>
        <w:br/>
        <w:t>Éric Dupond-Moretti</w:t>
      </w:r>
    </w:p>
    <w:p w14:paraId="5FC337F5" w14:textId="62F122C4"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O ministro da Solidariedade e da Saúde</w:t>
      </w:r>
      <w:r>
        <w:rPr>
          <w:rFonts w:ascii="Times New Roman" w:hAnsi="Times New Roman"/>
          <w:color w:val="000000"/>
          <w:sz w:val="27"/>
        </w:rPr>
        <w:br/>
        <w:t xml:space="preserve">Olivier </w:t>
      </w:r>
      <w:r w:rsidR="00B458DC" w:rsidRPr="00D8319D">
        <w:rPr>
          <w:rFonts w:ascii="Times New Roman" w:eastAsia="Times New Roman" w:hAnsi="Times New Roman" w:cs="Times New Roman"/>
          <w:color w:val="000000"/>
          <w:sz w:val="27"/>
          <w:szCs w:val="27"/>
          <w:lang w:eastAsia="fr-FR"/>
        </w:rPr>
        <w:t>Véran</w:t>
      </w:r>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840AF1"/>
    <w:rsid w:val="00B026BB"/>
    <w:rsid w:val="00B458DC"/>
    <w:rsid w:val="00D83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1564</Words>
  <Characters>8920</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2021-09-01T08:41:00Z</dcterms:created>
  <dcterms:modified xsi:type="dcterms:W3CDTF">2022-03-04T11:07:00Z</dcterms:modified>
</cp:coreProperties>
</file>