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8EB1" w14:textId="7642D454" w:rsidR="00D8319D" w:rsidRPr="00D8319D" w:rsidRDefault="00D8319D" w:rsidP="00D8319D">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Uredba št. 2021-1110 z dne 23. avgusta 2021</w:t>
      </w:r>
      <w:r>
        <w:rPr>
          <w:rFonts w:ascii="Times New Roman" w:hAnsi="Times New Roman"/>
          <w:b/>
          <w:color w:val="000000"/>
          <w:sz w:val="36"/>
        </w:rPr>
        <w:br/>
        <w:t>o dajanju na razpolago informacij, ki omogočajo identifikacijo endokrinih motilcev v izdelku</w:t>
      </w:r>
    </w:p>
    <w:p w14:paraId="04AB011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Ciljna javnost: vse osebe, ki dajejo na trg izdelke, ki so namenjeni potrošnikom in ob koncu svoje proizvodnje vsebujejo snovi, za katere je Nacionalna agencija za zdravstveno varnost na področju prehrane, okolja in dela (ANSES) opredelila, da imajo dokazane, verjetne ali domnevne lastnosti endokrinih motilcev Zadeva: Ta uredba s členom 1 uvaja nacionalne določbe, potrebne za zagotovitev razpoložljivosti informacij, ki omogočajo identifikacijo endokrinih motilcev v izdelku.</w:t>
      </w:r>
      <w:r>
        <w:rPr>
          <w:rFonts w:ascii="Times New Roman" w:hAnsi="Times New Roman"/>
          <w:color w:val="000000"/>
          <w:sz w:val="27"/>
        </w:rPr>
        <w:br/>
        <w:t xml:space="preserve">Začetek veljavnosti: besedilo začne veljati 1. januarja 2022. </w:t>
      </w:r>
      <w:r>
        <w:rPr>
          <w:rFonts w:ascii="Times New Roman" w:hAnsi="Times New Roman"/>
          <w:color w:val="000000"/>
          <w:sz w:val="27"/>
        </w:rPr>
        <w:br/>
        <w:t>Obvestilo: Člen 13(II) Zakona št. 2020-105 z dne 10. februarja 2020 o preprečevanju nastajanja odpadkov in krožnem gospodarstvu (AGEC) določa, da se način dajanja na razpolago informacij, ki omogočajo identifikacijo endokrinih motilcev v izdelku, danem na trg, določi v uredbi Državnega sveta. Namen, naveden v pojasnilu razlogov za ta člen, je državljanom zagotoviti pregledne informacije o prisotnosti snovi z lastnostmi endokrinih motilcev v izdelkih. Tako določa, da vsaka oseba, ki daje na trg izdelke, ki v skladu z mnenjem agencije ANSES vsebujejo snovi z lastnostmi endokrinih motilcev, objavi seznam teh izdelkov in snovi, ki jih vsebujejo posamezni izdelki. Ta objava je v odprtem formatu, ki sodelujočim platformam omogoča uporabo informacij, pa tudi boljše obveščanje potrošnika.</w:t>
      </w:r>
      <w:r>
        <w:rPr>
          <w:rFonts w:ascii="Times New Roman" w:hAnsi="Times New Roman"/>
          <w:color w:val="000000"/>
          <w:sz w:val="27"/>
        </w:rPr>
        <w:br/>
        <w:t>Druga nacionalna strategija o endokrinih motilcih (SNPE2) vključuje poudarek na izboljšanju obveščanja potrošnikov. Agencija ANSES si že močno prizadeva za izdelavo seznamov snovi z lastnostmi endokrinih motilcev (ukrep št. 3 SNPE2). Ta ukrep je v skladu s to dinamiko in državljanom zagotavlja pregledne informacije o prisotnosti snovi z lastnostmi endokrinih motilcev v izdelkih v smislu snovi, zmesi, izdelkov in živil. Tako za izvajanje člena izdelki v okviru člena L. 5232-5 Zakonika o javnem zdravju pomenijo snovi, zmesi in izdelke, opredeljene v členu 3 Uredbe (EU) št. 1907/2006, razen zdravil, biocidne proizvode, opredeljene v členu 3 Uredbe (EU) št. 528/2012, fitofarmacevtska sredstva v smislu člena 2 Uredbe (ES) št. 1107/2009, medicinske pripomočke, opredeljene v členu 2 Uredbe (EU) 2017/745, materiale in izdelke, vključno z aktivnimi materiali in izdelki, namenjenimi za stik z živili, opredeljenimi v členu 2 Uredbe (ES) št. 1935/2004, igrače v smislu člena 2 Direktive 2009/48/ES, kozmetične izdelke, opredeljene v členu 2 Uredbe (ES) št. 1223/2009, proizvode, opredeljene v členu 2 Direktive 2001/95/ES, ter živila, opredeljena v členu 2 Uredbe (ES) št. 178/2002.</w:t>
      </w:r>
      <w:r>
        <w:rPr>
          <w:rFonts w:ascii="Times New Roman" w:hAnsi="Times New Roman"/>
          <w:color w:val="000000"/>
          <w:sz w:val="27"/>
        </w:rPr>
        <w:br/>
        <w:t xml:space="preserve">Obveznost dajanja na voljo informacij o endokrinih motilcih v proizvodu, danem na trg, velja najpozneje šest mesecev po objavi odredbe, v katerem so navedene snovi s kvalificiranimi lastnostmi endokrinih motilcev, glede na raven znanstvenih dokazov o preverjenih, domnevnih ali domnevnih osebah ter seznam kategorij proizvodov, ki predstavljajo posebno tveganje za izpostavljenost. Obveznost </w:t>
      </w:r>
      <w:r>
        <w:rPr>
          <w:rFonts w:ascii="Times New Roman" w:hAnsi="Times New Roman"/>
          <w:color w:val="000000"/>
          <w:sz w:val="27"/>
        </w:rPr>
        <w:lastRenderedPageBreak/>
        <w:t>zagotavljanja informacij o prisotnosti snovi, ki povzročajo endokrine motnje in so razvrščene kot snovi, za katere obstaja sum, velja samo za kategorije proizvodov s posebnim tveganjem izpostavljenosti iz navedene odredbe.</w:t>
      </w:r>
      <w:r>
        <w:rPr>
          <w:rFonts w:ascii="Times New Roman" w:hAnsi="Times New Roman"/>
          <w:color w:val="000000"/>
          <w:sz w:val="27"/>
        </w:rPr>
        <w:br/>
        <w:t>Referenčna besedila: Zakonik o javnem zdravju, spremenjen z odlokom, je v različici, ki izhaja iz te spremembe, na voljo na spletni strani Légifrance (https://www.legifrance.fr).</w:t>
      </w:r>
    </w:p>
    <w:p w14:paraId="2F5541DF"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Predsednik vlade –</w:t>
      </w:r>
      <w:r>
        <w:rPr>
          <w:rFonts w:ascii="Times New Roman" w:hAnsi="Times New Roman"/>
          <w:color w:val="000000"/>
          <w:sz w:val="27"/>
        </w:rPr>
        <w:br/>
        <w:t>na podlagi poročila ministrice za ekološki prehod;</w:t>
      </w:r>
      <w:r>
        <w:rPr>
          <w:rFonts w:ascii="Times New Roman" w:hAnsi="Times New Roman"/>
          <w:color w:val="000000"/>
          <w:sz w:val="27"/>
        </w:rPr>
        <w:br/>
        <w:t>ob upoštevanju Uredbe (ES) št. 178/2002 Evropskega parlamenta in Sveta z dne 28. januarja 2002 o določitvi splošnih načel in zahtevah živilske zakonodaje, ustanovitvi Evropske agencije za varnost hrane in postopkih, ki zadevajo varnost hrane;</w:t>
      </w:r>
      <w:r>
        <w:rPr>
          <w:rFonts w:ascii="Times New Roman" w:hAnsi="Times New Roman"/>
          <w:color w:val="000000"/>
          <w:sz w:val="27"/>
        </w:rPr>
        <w:br/>
        <w:t>ob upoštevanju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w:t>
      </w:r>
      <w:r>
        <w:rPr>
          <w:rFonts w:ascii="Times New Roman" w:hAnsi="Times New Roman"/>
          <w:color w:val="000000"/>
          <w:sz w:val="27"/>
        </w:rPr>
        <w:br/>
        <w:t>ob upoštevanju Uredbe (EU) 2017/745 Evropskega parlamenta in Sveta z dne 5. aprila 2017 o medicinskih pripomočkih, spremembi Direktive 2001/83/ES, Uredbe (ES) št. 178/2002 in Uredbe (ES) št. 1223/2009 ter razveljavitvi direktiv Sveta 90/385/EGS in 93/42/EGS;</w:t>
      </w:r>
      <w:r>
        <w:rPr>
          <w:rFonts w:ascii="Times New Roman" w:hAnsi="Times New Roman"/>
          <w:color w:val="000000"/>
          <w:sz w:val="27"/>
        </w:rPr>
        <w:br/>
        <w:t>ob upoštevanju Direktive (EU) 2015/1535 Evropskega parlamenta in Sveta z dne 9. septembra 2015 o določitvi postopka za zbiranje informacij na področju tehničnih predpisov in pravil za storitve informacijske družbe, zlasti uradnega obvestila št. 2020/832/F;</w:t>
      </w:r>
      <w:r>
        <w:rPr>
          <w:rFonts w:ascii="Times New Roman" w:hAnsi="Times New Roman"/>
          <w:color w:val="000000"/>
          <w:sz w:val="27"/>
        </w:rPr>
        <w:br/>
        <w:t>ob upoštevanju Okoljskega zakonika, zlasti člena L. 541-9-1;</w:t>
      </w:r>
      <w:r>
        <w:rPr>
          <w:rFonts w:ascii="Times New Roman" w:hAnsi="Times New Roman"/>
          <w:color w:val="000000"/>
          <w:sz w:val="27"/>
        </w:rPr>
        <w:br/>
        <w:t>ob upoštevanju Kazenskega zakonika, zlasti člena R. 610-1;</w:t>
      </w:r>
      <w:r>
        <w:rPr>
          <w:rFonts w:ascii="Times New Roman" w:hAnsi="Times New Roman"/>
          <w:color w:val="000000"/>
          <w:sz w:val="27"/>
        </w:rPr>
        <w:br/>
        <w:t>ob upoštevanju Zakonika o javnem zdravju, zlasti člena L. 5232-5;</w:t>
      </w:r>
      <w:r>
        <w:rPr>
          <w:rFonts w:ascii="Times New Roman" w:hAnsi="Times New Roman"/>
          <w:color w:val="000000"/>
          <w:sz w:val="27"/>
        </w:rPr>
        <w:br/>
        <w:t>ob upoštevanju Zakona št. 2020-105 z dne 10. februarja 2020 o preprečevanju nastajanja odpadkov in krožnem gospodarstvu, zlasti člena 13 in 130;</w:t>
      </w:r>
      <w:r>
        <w:rPr>
          <w:rFonts w:ascii="Times New Roman" w:hAnsi="Times New Roman"/>
          <w:color w:val="000000"/>
          <w:sz w:val="27"/>
        </w:rPr>
        <w:br/>
        <w:t>ob upoštevanju uradnega obvestila št. 2020/0832/F, poslanega Evropski komisiji 21. decembra 2020, in njenih odgovorov z dne 25. januarja in 22. marca 2021;</w:t>
      </w:r>
      <w:r>
        <w:rPr>
          <w:rFonts w:ascii="Times New Roman" w:hAnsi="Times New Roman"/>
          <w:color w:val="000000"/>
          <w:sz w:val="27"/>
        </w:rPr>
        <w:br/>
        <w:t>ob upoštevanju mnenja Državnega sveta (socialni oddelek) –</w:t>
      </w:r>
      <w:r>
        <w:rPr>
          <w:rFonts w:ascii="Times New Roman" w:hAnsi="Times New Roman"/>
          <w:color w:val="000000"/>
          <w:sz w:val="27"/>
        </w:rPr>
        <w:br/>
        <w:t>odreja:</w:t>
      </w:r>
    </w:p>
    <w:p w14:paraId="74CCC72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w:t>
      </w:r>
    </w:p>
    <w:p w14:paraId="6F01E7E8"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Za oddelkom 2 poglavja II naslova III zvezka II petega dela Zakonika o javnem zdravju se doda oddelek 3, ki se glasi:</w:t>
      </w:r>
    </w:p>
    <w:p w14:paraId="372A921D" w14:textId="5606A18B" w:rsidR="00D8319D" w:rsidRPr="00DB72ED" w:rsidRDefault="00D8319D" w:rsidP="00DB72ED">
      <w:pPr>
        <w:spacing w:before="100" w:beforeAutospacing="1" w:after="100" w:afterAutospacing="1" w:line="240" w:lineRule="auto"/>
        <w:ind w:left="450"/>
        <w:rPr>
          <w:rFonts w:ascii="Times New Roman" w:hAnsi="Times New Roman"/>
          <w:color w:val="000000"/>
          <w:sz w:val="27"/>
        </w:rPr>
      </w:pPr>
      <w:r>
        <w:rPr>
          <w:rFonts w:ascii="Times New Roman" w:hAnsi="Times New Roman"/>
          <w:color w:val="000000"/>
          <w:sz w:val="27"/>
        </w:rPr>
        <w:lastRenderedPageBreak/>
        <w:br/>
        <w:t xml:space="preserve">„Oddelek 3. </w:t>
      </w:r>
      <w:r w:rsidR="00DB72ED">
        <w:rPr>
          <w:rFonts w:ascii="Times New Roman" w:hAnsi="Times New Roman"/>
          <w:color w:val="000000"/>
          <w:sz w:val="27"/>
        </w:rPr>
        <w:t xml:space="preserve">                                                                                         </w:t>
      </w:r>
      <w:r>
        <w:rPr>
          <w:rFonts w:ascii="Times New Roman" w:hAnsi="Times New Roman"/>
          <w:color w:val="000000"/>
          <w:sz w:val="27"/>
        </w:rPr>
        <w:t>„Informacije o endokrinih motilcih v izdelkih</w:t>
      </w:r>
    </w:p>
    <w:p w14:paraId="77342C7D" w14:textId="334FDDF5"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 xml:space="preserve">„Pododdelek 1 </w:t>
      </w:r>
      <w:r w:rsidR="00DB72ED">
        <w:rPr>
          <w:rFonts w:ascii="Times New Roman" w:hAnsi="Times New Roman"/>
          <w:color w:val="000000"/>
          <w:sz w:val="27"/>
        </w:rPr>
        <w:t xml:space="preserve">                                                                                          </w:t>
      </w:r>
      <w:r>
        <w:rPr>
          <w:rFonts w:ascii="Times New Roman" w:hAnsi="Times New Roman"/>
          <w:color w:val="000000"/>
          <w:sz w:val="27"/>
        </w:rPr>
        <w:t>„Določitev seznama snovi z dokazanimi, verjetnimi ali domnevnimi lastnostmi endokrinih motilcev in o kategorijah izdelkov, ki predstavljajo posebno tveganje izpostavljenosti</w:t>
      </w:r>
    </w:p>
    <w:p w14:paraId="279B9BF7" w14:textId="0F74A25D"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DB72ED" w:rsidRPr="00DB72ED">
        <w:rPr>
          <w:rFonts w:ascii="Times New Roman" w:hAnsi="Times New Roman"/>
          <w:color w:val="000000"/>
          <w:sz w:val="27"/>
        </w:rPr>
        <w:t>„</w:t>
      </w:r>
      <w:r>
        <w:rPr>
          <w:rFonts w:ascii="Times New Roman" w:hAnsi="Times New Roman"/>
          <w:color w:val="000000"/>
          <w:sz w:val="27"/>
        </w:rPr>
        <w:t>Člen R. 5232-19. Za namene tega oddelka živila, kot so opredeljena v členu 2 Uredbe (ES) No 178/2002 in snovi, zmesi in izdelke, opredeljene v členu 3 Uredbe (EU) št. 1907/2006, razen zdravil, se štejejo za izdelke v smislu člena L. 5232-5.</w:t>
      </w:r>
      <w:r>
        <w:rPr>
          <w:rFonts w:ascii="Times New Roman" w:hAnsi="Times New Roman"/>
          <w:color w:val="000000"/>
          <w:sz w:val="27"/>
        </w:rPr>
        <w:br/>
        <w:t>„Skupni odlok ministrov za zdravje in okolje po posvetovanju s Francosko agencijo za prehrano, okolje in zdravje pri delu in varnost določi:</w:t>
      </w:r>
      <w:r>
        <w:rPr>
          <w:rFonts w:ascii="Times New Roman" w:hAnsi="Times New Roman"/>
          <w:color w:val="000000"/>
          <w:sz w:val="27"/>
        </w:rPr>
        <w:br/>
        <w:t>„1. Seznam snovi z lastnostmi endokrinih motilcev iz odstavka I člena L. 5232-5, razdeljenih v skupino snovi z dokazanimi in skupino snovi z verjetnimi tovrstnimi lastnostmi v skladu s stopnjo znanstvenih dokazov;</w:t>
      </w:r>
      <w:r>
        <w:rPr>
          <w:rFonts w:ascii="Times New Roman" w:hAnsi="Times New Roman"/>
          <w:color w:val="000000"/>
          <w:sz w:val="27"/>
        </w:rPr>
        <w:br/>
        <w:t>„2. Seznam snovi z domnevnimi lastnostmi endokrinih motilcev iz odstavka II člena L. 5232-5;</w:t>
      </w:r>
      <w:r>
        <w:rPr>
          <w:rFonts w:ascii="Times New Roman" w:hAnsi="Times New Roman"/>
          <w:color w:val="000000"/>
          <w:sz w:val="27"/>
        </w:rPr>
        <w:br/>
        <w:t>„3. Kategorije izdelkov, ki predstavljajo posebno tveganje, iz odstavka II člena L. 5232-5, glede izpostavljenih populacij, pogojev za uporabo in odstranjevanje teh izdelkov ter drugih ustreznih meril.</w:t>
      </w:r>
    </w:p>
    <w:p w14:paraId="17BB2395" w14:textId="504B81AA"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 xml:space="preserve">„Pododdelek 2. </w:t>
      </w:r>
      <w:r w:rsidR="00DB72ED">
        <w:rPr>
          <w:rFonts w:ascii="Times New Roman" w:hAnsi="Times New Roman"/>
          <w:color w:val="000000"/>
          <w:sz w:val="27"/>
        </w:rPr>
        <w:t xml:space="preserve">                                                                                          </w:t>
      </w:r>
      <w:r>
        <w:rPr>
          <w:rFonts w:ascii="Times New Roman" w:hAnsi="Times New Roman"/>
          <w:color w:val="000000"/>
          <w:sz w:val="27"/>
        </w:rPr>
        <w:t>„Dajanje informacij na razpolago javnosti</w:t>
      </w:r>
    </w:p>
    <w:p w14:paraId="0150BE3C"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„Člen R. 5232-20 – I. Informacije iz odstavkov I in II člena L. 5232-5 so na voljo v brezpapirni obliki, brezplačno dostopni in ponovno uporabni na način, ki omogoča združevanje. V ta namen vsaka oseba, ki daje proizvode na trg v smislu člena L. 5232–5, omogoči dostop do informacij bodisi na posebni spletni strani, ki vsebuje vmesnik za programiranje aplikacij, bodisi z aplikacijo, ki jo določi skupni odlok ministrov, pristojnih za zdravje in okolje.</w:t>
      </w:r>
      <w:r>
        <w:rPr>
          <w:rFonts w:ascii="Times New Roman" w:hAnsi="Times New Roman"/>
          <w:color w:val="000000"/>
          <w:sz w:val="27"/>
        </w:rPr>
        <w:br/>
        <w:t>„Če za zadevni proizvod velja tudi obveznost obveščanja potrošnikov v skladu s členom L. 541–9-1 okoljskega zakonika, so informacije iz I in II člena L. 5332–5 tega zakonika na voljo na istih nosilcih, kot so predvideni za zagotavljanje informacij o okoljskih lastnostih in značilnostih teh proizvodov ali kategorij proizvodov, opredeljenih v skladu s členom L. 541–9-1 okoljskega zakonika.</w:t>
      </w:r>
      <w:r>
        <w:rPr>
          <w:rFonts w:ascii="Times New Roman" w:hAnsi="Times New Roman"/>
          <w:color w:val="000000"/>
          <w:sz w:val="27"/>
        </w:rPr>
        <w:br/>
        <w:t xml:space="preserve">„V skupni odredbi ministrov, odgovornih za zdravje in okolje, se določi postopke v zvezi z vsebino in pogoji za predložitev informacij iz odstavka I in </w:t>
      </w:r>
      <w:r>
        <w:rPr>
          <w:rFonts w:ascii="Times New Roman" w:hAnsi="Times New Roman"/>
          <w:color w:val="000000"/>
          <w:sz w:val="27"/>
        </w:rPr>
        <w:lastRenderedPageBreak/>
        <w:t>II člena L. 5232-5 tega zakonika.</w:t>
      </w:r>
      <w:r>
        <w:rPr>
          <w:rFonts w:ascii="Times New Roman" w:hAnsi="Times New Roman"/>
          <w:color w:val="000000"/>
          <w:sz w:val="27"/>
        </w:rPr>
        <w:br/>
        <w:t>„Informacije iz odstavkov I in II člena L. 5232-5 se dajo na razpolago javnosti za vsak izdelek najpozneje 6 mesecev po objavi odredb, navedenih v členu R. 5232-19 vključene na seznam.</w:t>
      </w:r>
    </w:p>
    <w:p w14:paraId="119EB2A1" w14:textId="2882BCA0"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 xml:space="preserve">„Pododdelek 3 </w:t>
      </w:r>
      <w:r w:rsidR="00DB72ED">
        <w:rPr>
          <w:rFonts w:ascii="Times New Roman" w:hAnsi="Times New Roman"/>
          <w:color w:val="000000"/>
          <w:sz w:val="27"/>
        </w:rPr>
        <w:t xml:space="preserve">                                                                                                       </w:t>
      </w:r>
      <w:r>
        <w:rPr>
          <w:rFonts w:ascii="Times New Roman" w:hAnsi="Times New Roman"/>
          <w:color w:val="000000"/>
          <w:sz w:val="27"/>
        </w:rPr>
        <w:t>„Kazenske sankcije</w:t>
      </w:r>
    </w:p>
    <w:p w14:paraId="10379220" w14:textId="4D895930"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DB72ED" w:rsidRPr="00DB72ED">
        <w:rPr>
          <w:rFonts w:ascii="Times New Roman" w:hAnsi="Times New Roman"/>
          <w:color w:val="000000"/>
          <w:sz w:val="27"/>
        </w:rPr>
        <w:t>„</w:t>
      </w:r>
      <w:r>
        <w:rPr>
          <w:rFonts w:ascii="Times New Roman" w:hAnsi="Times New Roman"/>
          <w:color w:val="000000"/>
          <w:sz w:val="27"/>
        </w:rPr>
        <w:t>Člen R. 5232-21. - Nezagotavljanje informacij javnosti iz odstavka I in II člena L. 5232-5, pod pogoji, opredeljenimi v členu R. 5232-20, se kaznuje z globo, določeno za kazniva dejanja pete stopnje.</w:t>
      </w:r>
      <w:r>
        <w:rPr>
          <w:rFonts w:ascii="Times New Roman" w:hAnsi="Times New Roman"/>
          <w:color w:val="000000"/>
          <w:sz w:val="27"/>
        </w:rPr>
        <w:br/>
        <w:t>„Neupoštevanje roka iz odstavka II člena R. 5232-20 se kaznuje z globo, določeno za kršitve pete stopnje.</w:t>
      </w:r>
    </w:p>
    <w:p w14:paraId="3EED871E" w14:textId="308EE669"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r>
      <w:r w:rsidR="00DB72ED" w:rsidRPr="00DB72ED">
        <w:rPr>
          <w:rFonts w:ascii="Times New Roman" w:hAnsi="Times New Roman"/>
          <w:color w:val="000000"/>
          <w:sz w:val="27"/>
        </w:rPr>
        <w:t>„</w:t>
      </w:r>
      <w:r>
        <w:rPr>
          <w:rFonts w:ascii="Times New Roman" w:hAnsi="Times New Roman"/>
          <w:color w:val="000000"/>
          <w:sz w:val="27"/>
        </w:rPr>
        <w:t>Člen R. 5232-22. Ponovitev kršitev iz člena R. 5232-21 se kaznuje v skladu s členoma 132-11 in 132-15 Kazenskega zakonika.“</w:t>
      </w:r>
    </w:p>
    <w:p w14:paraId="39654F8C"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w:t>
      </w:r>
    </w:p>
    <w:p w14:paraId="7EA96E25"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Ta uredba začne veljati 1. januarja 2022.</w:t>
      </w:r>
    </w:p>
    <w:p w14:paraId="44F37BCD" w14:textId="77777777" w:rsidR="00D8319D" w:rsidRPr="00D8319D" w:rsidRDefault="00D8319D" w:rsidP="00D8319D">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w:t>
      </w:r>
    </w:p>
    <w:p w14:paraId="4BE132C6" w14:textId="77777777" w:rsidR="00D8319D" w:rsidRPr="00D8319D" w:rsidRDefault="00D8319D" w:rsidP="00D8319D">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Ministrica za ekološki prehod, varuh pečatov, minister za pravosodje in minister za solidarnost in zdravje so vsak v skladu s svojimi pristojnostmi odgovorni za izvajanje te uredbe, ki bo objavljena v Uradnem listu Francoske republike.</w:t>
      </w:r>
    </w:p>
    <w:p w14:paraId="1965C4D4"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Dne 23. avgusta 2021.</w:t>
      </w:r>
    </w:p>
    <w:p w14:paraId="703CA5E5" w14:textId="77777777"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Jean Castex</w:t>
      </w:r>
      <w:r>
        <w:rPr>
          <w:rFonts w:ascii="Times New Roman" w:hAnsi="Times New Roman"/>
          <w:color w:val="000000"/>
          <w:sz w:val="27"/>
        </w:rPr>
        <w:br/>
        <w:t>Predsednik vlade:</w:t>
      </w:r>
    </w:p>
    <w:p w14:paraId="61B53AD3" w14:textId="752A1838"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ministrica za ekološki prehod</w:t>
      </w:r>
      <w:r w:rsidR="00DB72ED">
        <w:rPr>
          <w:rFonts w:ascii="Times New Roman" w:hAnsi="Times New Roman"/>
          <w:color w:val="000000"/>
          <w:sz w:val="27"/>
        </w:rPr>
        <w:t>,</w:t>
      </w:r>
      <w:r>
        <w:rPr>
          <w:rFonts w:ascii="Times New Roman" w:hAnsi="Times New Roman"/>
          <w:color w:val="000000"/>
          <w:sz w:val="27"/>
        </w:rPr>
        <w:br/>
        <w:t>Barbara POMPILI</w:t>
      </w:r>
    </w:p>
    <w:p w14:paraId="009E9B94" w14:textId="30EBE9DF"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br/>
        <w:t xml:space="preserve">Varuh pečatov, minister za pravosodje, </w:t>
      </w:r>
      <w:r w:rsidR="00DB72ED">
        <w:rPr>
          <w:rFonts w:ascii="Times New Roman" w:hAnsi="Times New Roman"/>
          <w:color w:val="000000"/>
          <w:sz w:val="27"/>
        </w:rPr>
        <w:t xml:space="preserve">                                                                 </w:t>
      </w:r>
      <w:r>
        <w:rPr>
          <w:rFonts w:ascii="Times New Roman" w:hAnsi="Times New Roman"/>
          <w:color w:val="000000"/>
          <w:sz w:val="27"/>
        </w:rPr>
        <w:t>Éric Dupond-Moretti</w:t>
      </w:r>
    </w:p>
    <w:p w14:paraId="5FC337F5" w14:textId="6577D4DE" w:rsidR="00D8319D" w:rsidRPr="00D8319D" w:rsidRDefault="00D8319D" w:rsidP="00D8319D">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za solidarnost in zdravje</w:t>
      </w:r>
      <w:r w:rsidR="00DB72ED">
        <w:rPr>
          <w:rFonts w:ascii="Times New Roman" w:hAnsi="Times New Roman"/>
          <w:color w:val="000000"/>
          <w:sz w:val="27"/>
        </w:rPr>
        <w:t>,</w:t>
      </w:r>
      <w:r>
        <w:rPr>
          <w:rFonts w:ascii="Times New Roman" w:hAnsi="Times New Roman"/>
          <w:color w:val="000000"/>
          <w:sz w:val="27"/>
        </w:rPr>
        <w:br/>
        <w:t>Olivier VÉRAN</w:t>
      </w:r>
    </w:p>
    <w:p w14:paraId="5F469EE0" w14:textId="77777777" w:rsidR="00B026BB" w:rsidRDefault="00B026BB"/>
    <w:sectPr w:rsidR="00B02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9D"/>
    <w:rsid w:val="00840AF1"/>
    <w:rsid w:val="00B026BB"/>
    <w:rsid w:val="00D8319D"/>
    <w:rsid w:val="00DB72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ADE9"/>
  <w15:chartTrackingRefBased/>
  <w15:docId w15:val="{43535567-19CF-442F-AF98-2A79B77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1350</Words>
  <Characters>7876</Characters>
  <Application>Microsoft Office Word</Application>
  <DocSecurity>0</DocSecurity>
  <Lines>167</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2022-02-11T12:20:00Z</dcterms:created>
  <dcterms:modified xsi:type="dcterms:W3CDTF">2022-02-11T12:20:00Z</dcterms:modified>
</cp:coreProperties>
</file>