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D1" w:rsidRPr="00C928F9" w:rsidRDefault="00A138D1" w:rsidP="00A138D1">
      <w:pPr>
        <w:autoSpaceDE w:val="0"/>
        <w:autoSpaceDN w:val="0"/>
        <w:adjustRightInd w:val="0"/>
        <w:spacing w:line="360" w:lineRule="auto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0567 RO- CS- ------ 20191125 --- --- PROJECT</w:t>
      </w:r>
    </w:p>
    <w:p w:rsidR="00A05052" w:rsidRPr="00C852BE" w:rsidRDefault="00A05052" w:rsidP="00A05052">
      <w:pPr>
        <w:jc w:val="center"/>
        <w:rPr>
          <w:b/>
          <w:rFonts w:ascii="Tahoma" w:hAnsi="Tahoma" w:cs="Tahoma"/>
        </w:rPr>
      </w:pPr>
      <w:r>
        <w:rPr>
          <w:b/>
          <w:rFonts w:ascii="Tahoma" w:hAnsi="Tahoma"/>
        </w:rPr>
        <w:t xml:space="preserve">Nařízení o povinnosti hospodářských subjektů zajistit, aby spotřebitelé byli informováni o čerstvosti ryb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05052" w:rsidRPr="00A05052" w:rsidRDefault="00A05052" w:rsidP="00A05052">
      <w:pPr>
        <w:rPr>
          <w:rFonts w:ascii="Tahoma" w:hAnsi="Tahoma" w:cs="Tahoma"/>
        </w:rPr>
      </w:pPr>
    </w:p>
    <w:p w:rsidR="00A05052" w:rsidRPr="00A05052" w:rsidRDefault="00A05052" w:rsidP="007F3971">
      <w:pPr>
        <w:tabs>
          <w:tab w:val="left" w:pos="270"/>
        </w:tabs>
        <w:ind w:firstLine="270"/>
        <w:jc w:val="both"/>
        <w:rPr>
          <w:rStyle w:val="preambul1"/>
          <w:i w:val="0"/>
          <w:rFonts w:ascii="Tahoma" w:hAnsi="Tahoma" w:cs="Tahoma"/>
        </w:rPr>
      </w:pPr>
      <w:r>
        <w:rPr>
          <w:rStyle w:val="preambul1"/>
          <w:i w:val="0"/>
          <w:rFonts w:ascii="Tahoma" w:hAnsi="Tahoma"/>
        </w:rPr>
        <w:t xml:space="preserve">S ohledem na ustanovení: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článek 1, článek 8, článek 9 a článek 18 vládního nařízení </w:t>
      </w:r>
      <w:hyperlink r:id="rId7" w:tooltip="nařízení č. 21/1992 – vláda Rumunska">
        <w:r>
          <w:rPr>
            <w:rFonts w:ascii="Tahoma" w:hAnsi="Tahoma"/>
          </w:rPr>
          <w:t xml:space="preserve">č. 21/1992</w:t>
        </w:r>
      </w:hyperlink>
      <w:r>
        <w:rPr>
          <w:rFonts w:ascii="Tahoma" w:hAnsi="Tahoma"/>
        </w:rPr>
        <w:t xml:space="preserve"> o ochraně spotřebitelů, znovu zveřejněné, ve znění pozdějších změn a dodatků;</w:t>
      </w:r>
      <w:r>
        <w:rPr>
          <w:rFonts w:ascii="Tahoma" w:hAnsi="Tahoma"/>
        </w:rPr>
        <w:t xml:space="preserve"> 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rozhodnutí vlády </w:t>
      </w:r>
      <w:hyperlink r:id="rId8">
        <w:r>
          <w:rPr>
            <w:rFonts w:ascii="Tahoma" w:hAnsi="Tahoma"/>
          </w:rPr>
          <w:t xml:space="preserve">č. 700/201</w:t>
        </w:r>
      </w:hyperlink>
      <w:r>
        <w:rPr>
          <w:rFonts w:ascii="Tahoma" w:hAnsi="Tahoma"/>
        </w:rPr>
        <w:t xml:space="preserve">2 o organizaci a provozu Národního úřadu na ochranu spotřebitelů, ve znění pozdějších změn a dodatků;</w:t>
      </w:r>
    </w:p>
    <w:p w:rsidR="00A05052" w:rsidRPr="00A05052" w:rsidRDefault="00A05052" w:rsidP="007F397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zpráva vypracovaná generálním ředitelstvím pro tržní dohled a kontrolu a evropskou harmonizaci;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05052" w:rsidRPr="00A05052" w:rsidRDefault="00A05052" w:rsidP="00A05052">
      <w:pPr>
        <w:jc w:val="both"/>
        <w:rPr>
          <w:rFonts w:ascii="Tahoma" w:hAnsi="Tahoma" w:cs="Tahoma"/>
        </w:rPr>
      </w:pPr>
    </w:p>
    <w:p w:rsidR="00A05052" w:rsidRPr="00A05052" w:rsidRDefault="00A05052" w:rsidP="007F3971">
      <w:pPr>
        <w:ind w:firstLine="270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předseda Národního úřadu pro ochranu spotřebitelů tímto vydává následující nařízení:</w:t>
      </w:r>
      <w:r>
        <w:rPr>
          <w:rFonts w:ascii="Tahoma" w:hAnsi="Tahoma"/>
        </w:rPr>
        <w:t xml:space="preserve"> 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color w:val="auto"/>
          <w:rFonts w:ascii="Tahoma" w:hAnsi="Tahoma"/>
        </w:rPr>
        <w:t xml:space="preserve">Článek 1.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Toto nařízení stanoví podmínky, které musí splňovat hospodářské subjekty s cílem zajistit, aby spotřebitelé byli informováni o čerstvosti ryb.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b/>
          <w:rFonts w:ascii="Tahoma" w:hAnsi="Tahoma"/>
        </w:rPr>
        <w:t xml:space="preserve">Článek 2.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Hospodářské subjekty jsou povinny informovat spotřebitele uvedením níže uvedených informací bezprostředně vedle daného výrobku tak, aby si mohli vybírat na základě správných informací: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color w:val="000000"/>
          <w:rFonts w:ascii="Tahoma" w:hAnsi="Tahoma" w:cs="Tahoma"/>
        </w:rPr>
      </w:pPr>
      <w:r>
        <w:rPr>
          <w:color w:val="000000"/>
          <w:rFonts w:ascii="Tahoma" w:hAnsi="Tahoma"/>
        </w:rPr>
        <w:t xml:space="preserve">tato ryba byla ulovena před 0–2 dny;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color w:val="000000"/>
          <w:rFonts w:ascii="Tahoma" w:hAnsi="Tahoma" w:cs="Tahoma"/>
        </w:rPr>
      </w:pPr>
      <w:r>
        <w:rPr>
          <w:color w:val="000000"/>
          <w:rFonts w:ascii="Tahoma" w:hAnsi="Tahoma"/>
        </w:rPr>
        <w:t xml:space="preserve">tato ryba byla ulovena před 2–3 dny;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color w:val="000000"/>
          <w:rFonts w:ascii="Tahoma" w:hAnsi="Tahoma" w:cs="Tahoma"/>
        </w:rPr>
      </w:pPr>
      <w:r>
        <w:rPr>
          <w:color w:val="000000"/>
          <w:rFonts w:ascii="Tahoma" w:hAnsi="Tahoma"/>
        </w:rPr>
        <w:t xml:space="preserve">tato ryba byla ulovena před 3–4 dny;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color w:val="000000"/>
          <w:rFonts w:ascii="Tahoma" w:hAnsi="Tahoma" w:cs="Tahoma"/>
        </w:rPr>
      </w:pPr>
      <w:r>
        <w:rPr>
          <w:color w:val="000000"/>
          <w:rFonts w:ascii="Tahoma" w:hAnsi="Tahoma"/>
        </w:rPr>
        <w:t xml:space="preserve">tato ryba byla ulovena před více než 5 dny.</w:t>
      </w:r>
    </w:p>
    <w:p w:rsidR="00A05052" w:rsidRPr="00A05052" w:rsidRDefault="00A05052" w:rsidP="00A05052">
      <w:pPr>
        <w:ind w:firstLine="708"/>
        <w:jc w:val="both"/>
        <w:rPr>
          <w:color w:val="000000"/>
          <w:rFonts w:ascii="Tahoma" w:hAnsi="Tahoma" w:cs="Tahoma"/>
        </w:rPr>
      </w:pPr>
      <w:r>
        <w:rPr>
          <w:rStyle w:val="Strong"/>
          <w:color w:val="181818"/>
          <w:shd w:val="clear" w:color="auto" w:fill="FFFFFF"/>
          <w:rFonts w:ascii="Tahoma" w:hAnsi="Tahoma"/>
        </w:rPr>
        <w:t xml:space="preserve">Článek 3.</w:t>
      </w:r>
      <w:r>
        <w:rPr>
          <w:color w:val="000000"/>
          <w:rFonts w:ascii="Tahoma" w:hAnsi="Tahoma"/>
        </w:rPr>
        <w:t xml:space="preserve"> </w:t>
      </w:r>
      <w:r>
        <w:rPr>
          <w:color w:val="000000"/>
          <w:rFonts w:ascii="Tahoma" w:hAnsi="Tahoma"/>
        </w:rPr>
        <w:t xml:space="preserve">1) Provozovatelé poskytují tyto spotřebitelské informace uvedením informací stanovených v článku 2 podle data odlovu, bezprostředně vedle výrobků v prostorách, v nichž jsou prodávány.</w:t>
      </w:r>
      <w:r>
        <w:rPr>
          <w:color w:val="000000"/>
          <w:rFonts w:ascii="Tahoma" w:hAnsi="Tahoma"/>
        </w:rPr>
        <w:t xml:space="preserve"> </w:t>
      </w:r>
    </w:p>
    <w:p w:rsidR="00A05052" w:rsidRPr="00A05052" w:rsidRDefault="00A05052" w:rsidP="00A05052">
      <w:pPr>
        <w:ind w:firstLine="708"/>
        <w:jc w:val="both"/>
        <w:rPr>
          <w:color w:val="000000"/>
          <w:rFonts w:ascii="Tahoma" w:hAnsi="Tahoma" w:cs="Tahoma"/>
        </w:rPr>
      </w:pPr>
      <w:r>
        <w:rPr>
          <w:color w:val="000000"/>
          <w:rFonts w:ascii="Tahoma" w:hAnsi="Tahoma"/>
        </w:rPr>
        <w:t xml:space="preserve">2) Informace týkající se data odlovu musí být napsány stejným typem písma jako název druhu ryby.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color w:val="auto"/>
          <w:rFonts w:ascii="Tahoma" w:hAnsi="Tahoma"/>
        </w:rPr>
        <w:t xml:space="preserve">Článek 4.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Toto nařízení vstupuje v platnost 30 dní po dni zveřejnění v části I Úředního věstníku Rumunska.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05052" w:rsidRPr="00A05052" w:rsidRDefault="00A05052" w:rsidP="00A05052">
      <w:pPr>
        <w:rPr>
          <w:rFonts w:ascii="Tahoma" w:hAnsi="Tahoma" w:cs="Tahoma"/>
        </w:rPr>
      </w:pPr>
    </w:p>
    <w:p w:rsidR="00403E21" w:rsidRPr="00C24575" w:rsidRDefault="00403E21" w:rsidP="00403E21">
      <w:pPr>
        <w:jc w:val="both"/>
        <w:rPr>
          <w:i/>
          <w:iCs/>
          <w:rFonts w:ascii="Tahoma" w:hAnsi="Tahoma" w:cs="Tahoma"/>
        </w:rPr>
      </w:pPr>
      <w:r>
        <w:rPr>
          <w:i/>
          <w:rFonts w:ascii="Tahoma" w:hAnsi="Tahoma"/>
        </w:rPr>
        <w:t xml:space="preserve">Toto nařízení bylo přijato v souladu s oznamovacím postupem stanoveným ve směrnici Evropského parlamentu a Rady (EU) 2015/1535 o postupu při poskytování informací v oblasti technických předpisů a předpisů pro služby informační společnosti.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03E21" w:rsidRPr="00C24575" w:rsidSect="00780DF1">
      <w:headerReference w:type="default" r:id="rId9"/>
      <w:footerReference w:type="default" r:id="rId10"/>
      <w:pgSz w:w="11907" w:h="16840" w:code="9"/>
      <w:pgMar w:top="851" w:right="1134" w:bottom="284" w:left="1418" w:header="567" w:footer="284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7A1E82" w:rsidRDefault="007A1E82">
      <w:pPr/>
      <w:r>
        <w:separator/>
      </w:r>
    </w:p>
  </w:endnote>
  <w:endnote xmlns:w15="http://schemas.microsoft.com/office/word/2012/wordml" w:type="continuationSeparator" w:id="0">
    <w:p w:rsidR="007A1E82" w:rsidRDefault="007A1E8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noProof/>
        <w:color w:val="404040"/>
        <w:sz w:val="20"/>
        <w:szCs w:val="20"/>
        <w:rFonts w:ascii="Tahoma" w:hAnsi="Tahoma" w:cs="Tahoma"/>
      </w:rPr>
    </w:pPr>
    <w:r>
      <w:rPr>
        <w:color w:val="404040"/>
        <w:sz w:val="20"/>
        <w:rFonts w:ascii="Tahoma" w:hAnsi="Tahoma"/>
      </w:rPr>
      <w:t xml:space="preserve">Kancelář předsedy</w:t>
    </w:r>
  </w:p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noProof/>
        <w:color w:val="404040"/>
        <w:sz w:val="20"/>
        <w:szCs w:val="20"/>
        <w:rFonts w:ascii="Tahoma" w:hAnsi="Tahoma" w:cs="Tahoma"/>
      </w:rPr>
    </w:pPr>
    <w:r>
      <w:rPr>
        <w:color w:val="404040"/>
        <w:sz w:val="20"/>
        <w:rFonts w:ascii="Tahoma" w:hAnsi="Tahoma"/>
      </w:rPr>
      <w:t xml:space="preserve">Blvd Aviatorilor 72, PSČ:</w:t>
    </w:r>
    <w:r>
      <w:rPr>
        <w:color w:val="404040"/>
        <w:sz w:val="20"/>
        <w:rFonts w:ascii="Tahoma" w:hAnsi="Tahoma"/>
      </w:rPr>
      <w:t xml:space="preserve"> </w:t>
    </w:r>
    <w:r>
      <w:rPr>
        <w:color w:val="404040"/>
        <w:sz w:val="20"/>
        <w:rFonts w:ascii="Tahoma" w:hAnsi="Tahoma"/>
      </w:rPr>
      <w:t xml:space="preserve">011865, sektor 1, Bukurešť</w:t>
    </w:r>
  </w:p>
  <w:p w:rsidR="00780DF1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noProof/>
        <w:color w:val="404040"/>
        <w:sz w:val="20"/>
        <w:szCs w:val="20"/>
        <w:rFonts w:ascii="Tahoma" w:hAnsi="Tahoma" w:cs="Tahoma"/>
      </w:rPr>
    </w:pPr>
    <w:r>
      <w:rPr>
        <w:color w:val="404040"/>
        <w:sz w:val="20"/>
        <w:rFonts w:ascii="Tahoma" w:hAnsi="Tahoma"/>
      </w:rPr>
      <w:t xml:space="preserve">Tel:</w:t>
    </w:r>
    <w:r>
      <w:rPr>
        <w:color w:val="404040"/>
        <w:sz w:val="20"/>
        <w:rFonts w:ascii="Tahoma" w:hAnsi="Tahoma"/>
      </w:rPr>
      <w:t xml:space="preserve"> </w:t>
    </w:r>
    <w:r>
      <w:rPr>
        <w:color w:val="404040"/>
        <w:sz w:val="20"/>
        <w:rFonts w:ascii="Tahoma" w:hAnsi="Tahoma"/>
      </w:rPr>
      <w:t xml:space="preserve">+40 213 121275, Fax:</w:t>
    </w:r>
    <w:r>
      <w:rPr>
        <w:color w:val="404040"/>
        <w:sz w:val="20"/>
        <w:rFonts w:ascii="Tahoma" w:hAnsi="Tahoma"/>
      </w:rPr>
      <w:t xml:space="preserve"> </w:t>
    </w:r>
    <w:r>
      <w:rPr>
        <w:color w:val="404040"/>
        <w:sz w:val="20"/>
        <w:rFonts w:ascii="Tahoma" w:hAnsi="Tahoma"/>
      </w:rPr>
      <w:t xml:space="preserve">+40 213 143462, E-mail:</w:t>
    </w:r>
    <w:r>
      <w:rPr>
        <w:color w:val="404040"/>
        <w:sz w:val="20"/>
        <w:rFonts w:ascii="Tahoma" w:hAnsi="Tahoma"/>
      </w:rPr>
      <w:t xml:space="preserve"> </w:t>
    </w:r>
    <w:r>
      <w:rPr>
        <w:color w:val="404040"/>
        <w:sz w:val="20"/>
        <w:u w:val="single"/>
        <w:rFonts w:ascii="Tahoma" w:hAnsi="Tahoma"/>
      </w:rPr>
      <w:t xml:space="preserve">cabinet@anpc.ro</w:t>
    </w:r>
    <w:r>
      <w:rPr>
        <w:color w:val="404040"/>
        <w:sz w:val="20"/>
        <w:rFonts w:ascii="Tahoma" w:hAnsi="Tahoma"/>
      </w:rPr>
      <w:t xml:space="preserve">, www.anpc.gov.ro</w:t>
    </w:r>
    <w:r>
      <w:rPr>
        <w:color w:val="404040"/>
        <w:sz w:val="20"/>
        <w:rFonts w:ascii="Tahoma" w:hAnsi="Tahoma"/>
      </w:rPr>
      <w:t xml:space="preserve"> </w:t>
    </w:r>
  </w:p>
  <w:p w:rsidR="00780DF1" w:rsidRDefault="00780DF1" w:rsidP="007F3971">
    <w:pPr>
      <w:pStyle w:val="Footer"/>
      <w:jc w:val="right"/>
    </w:pPr>
    <w:r>
      <w:rPr>
        <w:sz w:val="14"/>
        <w:rFonts w:ascii="Tahoma" w:hAnsi="Tahoma"/>
      </w:rPr>
      <w:t xml:space="preserve">Strana </w:t>
    </w:r>
    <w:r w:rsidRPr="00364CFF">
      <w:rPr>
        <w:b/>
        <w:bCs/>
        <w:sz w:val="14"/>
        <w:szCs w:val="14"/>
        <w:rFonts w:ascii="Tahoma" w:hAnsi="Tahoma" w:cs="Tahoma"/>
      </w:rPr>
      <w:fldChar w:fldCharType="begin"/>
    </w:r>
    <w:r w:rsidRPr="00364CFF">
      <w:rPr>
        <w:b/>
        <w:bCs/>
        <w:sz w:val="14"/>
        <w:szCs w:val="14"/>
        <w:rFonts w:ascii="Tahoma" w:hAnsi="Tahoma" w:cs="Tahoma"/>
      </w:rPr>
      <w:instrText xml:space="preserve"> PAGE </w:instrText>
    </w:r>
    <w:r w:rsidRPr="00364CFF">
      <w:rPr>
        <w:b/>
        <w:bCs/>
        <w:sz w:val="14"/>
        <w:szCs w:val="14"/>
        <w:rFonts w:ascii="Tahoma" w:hAnsi="Tahoma" w:cs="Tahoma"/>
      </w:rPr>
      <w:fldChar w:fldCharType="separate"/>
    </w:r>
    <w:r w:rsidR="009F3E0B">
      <w:rPr>
        <w:b/>
        <w:bCs/>
        <w:sz w:val="14"/>
        <w:szCs w:val="14"/>
        <w:rFonts w:ascii="Tahoma" w:hAnsi="Tahoma" w:cs="Tahoma"/>
      </w:rPr>
      <w:t>1</w:t>
    </w:r>
    <w:r w:rsidRPr="00364CFF">
      <w:rPr>
        <w:b/>
        <w:bCs/>
        <w:sz w:val="14"/>
        <w:szCs w:val="14"/>
        <w:rFonts w:ascii="Tahoma" w:hAnsi="Tahoma" w:cs="Tahoma"/>
      </w:rPr>
      <w:fldChar w:fldCharType="end"/>
    </w:r>
    <w:r>
      <w:rPr>
        <w:sz w:val="14"/>
        <w:rFonts w:ascii="Tahoma" w:hAnsi="Tahoma"/>
      </w:rPr>
      <w:t xml:space="preserve"> z </w:t>
    </w:r>
    <w:r w:rsidRPr="00364CFF">
      <w:rPr>
        <w:b/>
        <w:bCs/>
        <w:sz w:val="14"/>
        <w:szCs w:val="14"/>
        <w:rFonts w:ascii="Tahoma" w:hAnsi="Tahoma" w:cs="Tahoma"/>
      </w:rPr>
      <w:fldChar w:fldCharType="begin" w:dirty="true"/>
    </w:r>
    <w:r w:rsidRPr="00364CFF">
      <w:rPr>
        <w:b/>
        <w:bCs/>
        <w:sz w:val="14"/>
        <w:szCs w:val="14"/>
        <w:rFonts w:ascii="Tahoma" w:hAnsi="Tahoma" w:cs="Tahoma"/>
      </w:rPr>
      <w:instrText xml:space="preserve"> NUMPAGES  </w:instrText>
    </w:r>
    <w:r w:rsidRPr="00364CFF">
      <w:rPr>
        <w:b/>
        <w:bCs/>
        <w:sz w:val="14"/>
        <w:szCs w:val="14"/>
        <w:rFonts w:ascii="Tahoma" w:hAnsi="Tahoma" w:cs="Tahoma"/>
      </w:rPr>
      <w:fldChar w:fldCharType="separate"/>
    </w:r>
    <w:r w:rsidR="009F3E0B">
      <w:rPr>
        <w:b/>
        <w:bCs/>
        <w:sz w:val="14"/>
        <w:szCs w:val="14"/>
        <w:rFonts w:ascii="Tahoma" w:hAnsi="Tahoma" w:cs="Tahoma"/>
      </w:rPr>
      <w:t>1</w:t>
    </w:r>
    <w:r w:rsidRPr="00364CFF">
      <w:rPr>
        <w:b/>
        <w:bCs/>
        <w:sz w:val="14"/>
        <w:szCs w:val="14"/>
        <w:rFonts w:ascii="Tahoma" w:hAnsi="Tahoma" w:cs="Tahoma"/>
      </w:rPr>
      <w:fldChar w:fldCharType="end"/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7A1E82" w:rsidRDefault="007A1E82">
      <w:pPr/>
      <w:r>
        <w:separator/>
      </w:r>
    </w:p>
  </w:footnote>
  <w:footnote xmlns:w15="http://schemas.microsoft.com/office/word/2012/wordml" w:type="continuationSeparator" w:id="0">
    <w:p w:rsidR="007A1E82" w:rsidRDefault="007A1E82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F1" w:rsidRDefault="009F3E0B" w:rsidP="007F3971">
    <w:pPr>
      <w:tabs>
        <w:tab w:val="right" w:pos="9355"/>
      </w:tabs>
      <w:rPr>
        <w:b/>
        <w:bCs/>
        <w:color w:val="365F91"/>
        <w:rFonts w:ascii="Arial" w:hAnsi="Arial" w:cs="Arial"/>
      </w:rPr>
    </w:pPr>
    <w:r>
      <mc:AlternateContent xmlns:mc="http://schemas.openxmlformats.org/markup-compatibility/2006">
        <mc:Choice Requires="wps">
          <w:drawing>
            <wp:anchor xmlns:wp="http://schemas.openxmlformats.org/drawingml/2006/wordprocessingDrawing"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177165</wp:posOffset>
              </wp:positionV>
              <wp:extent cx="1717040" cy="1316355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040" cy="1316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521" w:rsidRPr="00426521" w:rsidRDefault="00426521" w:rsidP="00426521">
                          <w:pPr>
                            <w:jc w:val="center"/>
                            <w:rPr>
                              <w:b/>
                              <w:color w:val="2A3E81"/>
                              <w:sz w:val="72"/>
                              <w:rFonts w:ascii="Arial" w:hAnsi="Arial" w:cs="Arial"/>
                            </w:rPr>
                          </w:pPr>
                          <w:r>
                            <w:rPr>
                              <w:b/>
                              <w:color w:val="2A3E81"/>
                              <w:sz w:val="72"/>
                              <w:rFonts w:ascii="Arial" w:hAnsi="Arial"/>
                            </w:rPr>
                            <w:t xml:space="preserve">ANPC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b/>
                              <w:color w:val="2A3E81"/>
                              <w:sz w:val="14"/>
                              <w:rFonts w:ascii="Arial" w:hAnsi="Arial" w:cs="Arial"/>
                            </w:rPr>
                          </w:pPr>
                          <w:r>
                            <w:rPr>
                              <w:b/>
                              <w:color w:val="2A3E81"/>
                              <w:sz w:val="14"/>
                              <w:rFonts w:ascii="Arial" w:hAnsi="Arial"/>
                            </w:rPr>
                            <w:t xml:space="preserve">NÁRODNÍ ÚŘAD NA OCHRANU SPOTŘEBITELŮ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b/>
                              <w:color w:val="2A3E81"/>
                              <w:sz w:val="44"/>
                              <w:rFonts w:ascii="Calibri" w:hAnsi="Calibri" w:cs="Arial"/>
                            </w:rPr>
                          </w:pPr>
                          <w:r>
                            <w:rPr>
                              <w:b/>
                              <w:color w:val="2A3E81"/>
                              <w:sz w:val="44"/>
                              <w:rFonts w:ascii="Calibri" w:hAnsi="Calibri"/>
                            </w:rPr>
                            <w:t xml:space="preserve">Vás má v úctě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6" type="#_x0000_t202" style="position:absolute;margin-left:84.75pt;margin-top:13.95pt;width:135.2pt;height:10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FtewIAAAA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" stroked="f">
              <v:textbox inset="0,0,0,0">
                <w:txbxContent>
                  <w:p w:rsidR="00426521" w:rsidRPr="00426521" w:rsidRDefault="00426521" w:rsidP="00426521">
                    <w:pPr>
                      <w:jc w:val="center"/>
                      <w:rPr>
                        <w:b/>
                        <w:color w:val="2A3E81"/>
                        <w:sz w:val="72"/>
                        <w:rFonts w:ascii="Arial" w:hAnsi="Arial" w:cs="Arial"/>
                      </w:rPr>
                    </w:pPr>
                    <w:r>
                      <w:rPr>
                        <w:b/>
                        <w:color w:val="2A3E81"/>
                        <w:sz w:val="72"/>
                        <w:rFonts w:ascii="Arial" w:hAnsi="Arial"/>
                      </w:rPr>
                      <w:t xml:space="preserve">ANPC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b/>
                        <w:color w:val="2A3E81"/>
                        <w:sz w:val="14"/>
                        <w:rFonts w:ascii="Arial" w:hAnsi="Arial" w:cs="Arial"/>
                      </w:rPr>
                    </w:pPr>
                    <w:r>
                      <w:rPr>
                        <w:b/>
                        <w:color w:val="2A3E81"/>
                        <w:sz w:val="14"/>
                        <w:rFonts w:ascii="Arial" w:hAnsi="Arial"/>
                      </w:rPr>
                      <w:t xml:space="preserve">NÁRODNÍ ÚŘAD NA OCHRANU SPOTŘEBITELŮ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b/>
                        <w:color w:val="2A3E81"/>
                        <w:sz w:val="44"/>
                        <w:rFonts w:ascii="Calibri" w:hAnsi="Calibri" w:cs="Arial"/>
                      </w:rPr>
                    </w:pPr>
                    <w:r>
                      <w:rPr>
                        <w:b/>
                        <w:color w:val="2A3E81"/>
                        <w:sz w:val="44"/>
                        <w:rFonts w:ascii="Calibri" w:hAnsi="Calibri"/>
                      </w:rPr>
                      <w:t xml:space="preserve">Vás má v úctě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0"/>
        <w:szCs w:val="20"/>
        <w:rFonts w:ascii="Arial" w:hAnsi="Arial"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1500505</wp:posOffset>
              </wp:positionV>
              <wp:extent cx="6038215" cy="0"/>
              <wp:effectExtent l="11430" t="14605" r="825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21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>
          <w:pict>
            <v:line xmlns:o="urn:schemas-microsoft-com:office:office" xmlns:w14="http://schemas.microsoft.com/office/word/2010/wordml" xmlns:v="urn:schemas-microsoft-com:vml" w14:anchorId="1C4414B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18.15pt" to="474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" strokecolor="#36f" strokeweight="1.25pt"/>
          </w:pict>
        </mc:Fallback>
      </mc:AlternateContent>
    </w:r>
    <w:r>
      <w:drawing>
        <wp:inline xmlns:wp="http://schemas.openxmlformats.org/drawingml/2006/wordprocessingDrawing" distT="0" distB="0" distL="0" distR="0">
          <wp:extent cx="2800350" cy="1466850"/>
          <wp:effectExtent l="0" t="0" r="0" b="0"/>
          <wp:docPr id="1" name="Picture 1" descr="Sigla ANPC noua - FINAL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NPC noua - FINAL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  <w:r>
      <w:tab/>
    </w:r>
    <w:r>
      <w:rPr>
        <w:b/>
        <w:color w:val="365F91"/>
        <w:rFonts w:ascii="Tahoma" w:hAnsi="Tahoma"/>
      </w:rPr>
      <w:t xml:space="preserve">Nepodléhá utajení</w:t>
    </w:r>
  </w:p>
  <w:p w:rsidR="00780DF1" w:rsidRPr="00914BA9" w:rsidRDefault="00780DF1" w:rsidP="00780DF1">
    <w:pPr>
      <w:rPr>
        <w:sz w:val="20"/>
        <w:szCs w:val="20"/>
        <w:rFonts w:ascii="Tahoma" w:hAnsi="Tahoma" w:cs="Tahoma"/>
      </w:rPr>
    </w:pPr>
    <w:r>
      <w:rPr>
        <w:sz w:val="20"/>
        <w:rFonts w:ascii="Tahoma" w:hAnsi="Tahoma"/>
      </w:rPr>
      <w:t xml:space="preserve">Správce osobních údajů č. 31753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52BD6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E43AF0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52"/>
    <w:rsid w:val="001734D2"/>
    <w:rsid w:val="00176FF6"/>
    <w:rsid w:val="0023197F"/>
    <w:rsid w:val="0025717A"/>
    <w:rsid w:val="002B4A79"/>
    <w:rsid w:val="003157E3"/>
    <w:rsid w:val="003415B6"/>
    <w:rsid w:val="00365244"/>
    <w:rsid w:val="003761F8"/>
    <w:rsid w:val="003973B9"/>
    <w:rsid w:val="00403E21"/>
    <w:rsid w:val="00426521"/>
    <w:rsid w:val="00472905"/>
    <w:rsid w:val="004A284A"/>
    <w:rsid w:val="004B6184"/>
    <w:rsid w:val="004E3DB0"/>
    <w:rsid w:val="005D0D28"/>
    <w:rsid w:val="005F49B7"/>
    <w:rsid w:val="006D1C39"/>
    <w:rsid w:val="00702662"/>
    <w:rsid w:val="0071306D"/>
    <w:rsid w:val="0071557E"/>
    <w:rsid w:val="00780DF1"/>
    <w:rsid w:val="007A1E82"/>
    <w:rsid w:val="007E0FE9"/>
    <w:rsid w:val="007E6DA4"/>
    <w:rsid w:val="007F3971"/>
    <w:rsid w:val="0082248E"/>
    <w:rsid w:val="0090175D"/>
    <w:rsid w:val="0091693D"/>
    <w:rsid w:val="009412DD"/>
    <w:rsid w:val="009F3E0B"/>
    <w:rsid w:val="00A05052"/>
    <w:rsid w:val="00A138D1"/>
    <w:rsid w:val="00A33E47"/>
    <w:rsid w:val="00B16C77"/>
    <w:rsid w:val="00B30C91"/>
    <w:rsid w:val="00C112A4"/>
    <w:rsid w:val="00C852BE"/>
    <w:rsid w:val="00D16883"/>
    <w:rsid w:val="00DF7D6C"/>
    <w:rsid w:val="00E62507"/>
    <w:rsid w:val="00F01F5F"/>
    <w:rsid w:val="00F24B98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39E5312-F6D1-43FF-A73B-C06BFE4DDBA1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Calibri" w:eastAsia="Calibri" w:hAnsi="Calibri" w:cs="Times New Roman"/>
        <w:lang w:val="cs-CZ" w:eastAsia="en-GB" w:bidi="en-GB"/>
      </w:rPr>
    </w:rPrDefault>
    <w:pPrDefault/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  <w:lang w:val="cs-CZ" w:eastAsia="en-GB"/>
    </w:rPr>
  </w:style>
  <w:style xmlns:w15="http://schemas.microsoft.com/office/word/2012/wordml"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en-GB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en-GB"/>
    </w:rPr>
  </w:style>
  <w:style xmlns:w15="http://schemas.microsoft.com/office/word/2012/wordml"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  <w:rPr>
      <w:lang w:val="cs-CZ" w:eastAsia="en-GB"/>
    </w:rPr>
  </w:style>
  <w:style xmlns:w15="http://schemas.microsoft.com/office/word/2012/wordml"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cs-CZ" w:eastAsia="en-GB"/>
    </w:rPr>
  </w:style>
  <w:style xmlns:w15="http://schemas.microsoft.com/office/word/2012/wordml" w:type="character" w:styleId="Strong">
    <w:name w:val="Strong"/>
    <w:uiPriority w:val="22"/>
    <w:qFormat/>
    <w:rsid w:val="00A05052"/>
    <w:rPr>
      <w:b/>
      <w:bCs/>
    </w:rPr>
  </w:style>
  <w:style xmlns:w15="http://schemas.microsoft.com/office/word/2012/wordml" w:type="paragraph" w:styleId="BodyText">
    <w:name w:val="Body Text"/>
    <w:basedOn w:val="Normal"/>
    <w:link w:val="BodyTextChar"/>
    <w:rsid w:val="00A05052"/>
    <w:rPr>
      <w:sz w:val="28"/>
      <w:szCs w:val="20"/>
      <w:lang w:val="cs-CZ" w:eastAsia="en-GB"/>
    </w:rPr>
  </w:style>
  <w:style xmlns:w15="http://schemas.microsoft.com/office/word/2012/wordml"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cs-CZ" w:eastAsia="en-GB"/>
    </w:rPr>
  </w:style>
  <w:style xmlns:w15="http://schemas.microsoft.com/office/word/2012/wordml"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xmlns:w15="http://schemas.microsoft.com/office/word/2012/wordml"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xmlns:w15="http://schemas.microsoft.com/office/word/2012/wordml" w:type="character" w:styleId="Hyperlink">
    <w:name w:val="Hyperlink"/>
    <w:rsid w:val="00A05052"/>
    <w:rPr>
      <w:color w:val="0000FF"/>
      <w:u w:val="single"/>
    </w:rPr>
  </w:style>
  <w:style xmlns:w15="http://schemas.microsoft.com/office/word/2012/wordml" w:type="character" w:customStyle="1" w:styleId="preambul1">
    <w:name w:val="preambul1"/>
    <w:rsid w:val="00A05052"/>
    <w:rPr>
      <w:i/>
      <w:iCs/>
      <w:color w:val="000000"/>
    </w:rPr>
  </w:style>
  <w:style xmlns:w15="http://schemas.microsoft.com/office/word/2012/wordml" w:type="character" w:customStyle="1" w:styleId="linie1">
    <w:name w:val="linie1"/>
    <w:rsid w:val="00A05052"/>
    <w:rPr>
      <w:b/>
      <w:bCs/>
      <w:color w:val="000000"/>
    </w:rPr>
  </w:style>
  <w:style xmlns:w15="http://schemas.microsoft.com/office/word/2012/wordml" w:type="character" w:customStyle="1" w:styleId="paragraf1">
    <w:name w:val="paragraf1"/>
    <w:rsid w:val="00A05052"/>
    <w:rPr>
      <w:shd w:val="clear" w:color="auto" w:fill="auto"/>
    </w:rPr>
  </w:style>
  <w:style xmlns:w15="http://schemas.microsoft.com/office/word/2012/wordml" w:type="character" w:customStyle="1" w:styleId="articol1">
    <w:name w:val="articol1"/>
    <w:rsid w:val="00A05052"/>
    <w:rPr>
      <w:b/>
      <w:bCs/>
      <w:color w:val="009500"/>
    </w:rPr>
  </w:style>
  <w:style xmlns:w15="http://schemas.microsoft.com/office/word/2012/wordml"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xmlns:w15="http://schemas.microsoft.com/office/word/2012/wordml"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8" Type="http://schemas.openxmlformats.org/officeDocument/2006/relationships/hyperlink" Target="http://www.legestart.ro/Hotararea-755-2003-organizarea-functionarea-Autoritatii-Nationale-Protectia-Consumatorilor-(MjA1Mzg-).htm" TargetMode="External" /><Relationship Id="rId3" Type="http://schemas.openxmlformats.org/officeDocument/2006/relationships/settings" Target="settings.xml" /><Relationship Id="rId7" Type="http://schemas.openxmlformats.org/officeDocument/2006/relationships/hyperlink" Target="lnk:ORD%20GUV%2021%201992%200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&#65279;<?xml version="1.0" encoding="utf-8"?><Relationships xmlns="http://schemas.openxmlformats.org/package/2006/relationships"><Relationship Id="rId2" Type="http://schemas.openxmlformats.org/officeDocument/2006/relationships/hyperlink" Target="javascript:self.close()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2349</CharactersWithSpaces>
  <SharedDoc>false</SharedDoc>
  <HLinks>
    <vt:vector size="18" baseType="variant"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http://www.legestart.ro/Hotararea-755-2003-organizarea-functionarea-Autoritatii-Nationale-Protectia-Consumatorilor-(MjA1Mzg-).htm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lnk:ORD GUV 21 1992 0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javascript:self.close()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Varga, Eszter</cp:lastModifiedBy>
  <cp:revision>2</cp:revision>
  <cp:lastPrinted>2019-11-01T08:36:00Z</cp:lastPrinted>
  <dcterms:created xsi:type="dcterms:W3CDTF">2019-11-19T09:20:00Z</dcterms:created>
  <dcterms:modified xsi:type="dcterms:W3CDTF">2019-11-19T09:20:00Z</dcterms:modified>
</cp:coreProperties>
</file>