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E18" w:rsidRPr="00BC2E09" w:rsidRDefault="00483E18" w:rsidP="00483E18">
      <w:pPr>
        <w:spacing w:line="360" w:lineRule="auto"/>
        <w:ind w:right="-1065"/>
        <w:jc w:val="center"/>
        <w:rPr>
          <w:sz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------IND- 2019 0520 DK- PL- ------ 20191106 --- --- PROJET</w:t>
      </w:r>
    </w:p>
    <w:bookmarkEnd w:id="0"/>
    <w:p w:rsidR="00483E18" w:rsidRPr="00186765" w:rsidRDefault="00483E18" w:rsidP="00483E18">
      <w:pPr>
        <w:shd w:val="clear" w:color="auto" w:fill="316529"/>
        <w:spacing w:after="150" w:line="240" w:lineRule="auto"/>
        <w:jc w:val="center"/>
        <w:rPr>
          <w:b/>
          <w:bCs/>
          <w:color w:val="FFFFFF"/>
          <w:sz w:val="17"/>
          <w:szCs w:val="17"/>
          <w:rFonts w:ascii="Tahoma" w:eastAsia="Times New Roman" w:hAnsi="Tahoma" w:cs="Tahoma"/>
        </w:rPr>
      </w:pPr>
      <w:r>
        <w:rPr>
          <w:b/>
          <w:bCs/>
          <w:color w:val="FFFFFF"/>
          <w:sz w:val="17"/>
          <w:szCs w:val="17"/>
          <w:rFonts w:ascii="Tahoma" w:hAnsi="Tahoma"/>
        </w:rPr>
        <w:t xml:space="preserve">Zarys (spis treści)</w:t>
      </w:r>
    </w:p>
    <w:tbl>
      <w:tblPr>
        <w:tblW w:w="0" w:type="auto"/>
        <w:tblCellSpacing w:w="15" w:type="dxa"/>
        <w:tblInd w:w="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8239"/>
      </w:tblGrid>
      <w:tr w:rsidR="00483E18" w:rsidRPr="00186765" w:rsidTr="00981A23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10" w:anchor="id685d588d-ae10-40bd-9311-7b00c97823a1" w:history="1">
              <w:r>
                <w:rPr>
                  <w:color w:val="000000"/>
                  <w:sz w:val="17"/>
                  <w:szCs w:val="17"/>
                  <w:u w:val="single"/>
                  <w:rFonts w:ascii="Tahoma" w:hAnsi="Tahoma"/>
                </w:rPr>
                <w:t xml:space="preserve">Rozdział 1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szCs w:val="17"/>
                <w:rFonts w:ascii="Tahoma" w:hAnsi="Tahoma"/>
              </w:rPr>
              <w:t xml:space="preserve">Zakres i pojęcia</w:t>
            </w:r>
          </w:p>
        </w:tc>
      </w:tr>
      <w:tr w:rsidR="00483E18" w:rsidRPr="00186765" w:rsidTr="00981A23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11" w:anchor="id5917f88d-42d6-4bb9-8f93-427401eba0f1" w:history="1">
              <w:r>
                <w:rPr>
                  <w:color w:val="000000"/>
                  <w:sz w:val="17"/>
                  <w:szCs w:val="17"/>
                  <w:u w:val="single"/>
                  <w:rFonts w:ascii="Tahoma" w:hAnsi="Tahoma"/>
                </w:rPr>
                <w:t xml:space="preserve">Rozdział 2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szCs w:val="17"/>
                <w:rFonts w:ascii="Tahoma" w:hAnsi="Tahoma"/>
              </w:rPr>
              <w:t xml:space="preserve">Wprowadzanie do obrotu, stosowanie i wycofywanie</w:t>
            </w:r>
          </w:p>
        </w:tc>
      </w:tr>
      <w:tr w:rsidR="00483E18" w:rsidRPr="00186765" w:rsidTr="00981A23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12" w:anchor="idd3a105ef-f0af-459c-958d-b1608c138d28" w:history="1">
              <w:r>
                <w:rPr>
                  <w:color w:val="000000"/>
                  <w:sz w:val="17"/>
                  <w:szCs w:val="17"/>
                  <w:u w:val="single"/>
                  <w:rFonts w:ascii="Tahoma" w:hAnsi="Tahoma"/>
                </w:rPr>
                <w:t xml:space="preserve">Rozdział 3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szCs w:val="17"/>
                <w:rFonts w:ascii="Tahoma" w:hAnsi="Tahoma"/>
              </w:rPr>
              <w:t xml:space="preserve">Specjalne warunki produkcji, stosowania i testowania określonych materiałów przeznaczonych do kontaktu z żywnością</w:t>
            </w:r>
          </w:p>
        </w:tc>
      </w:tr>
      <w:tr w:rsidR="00483E18" w:rsidRPr="00186765" w:rsidTr="00981A23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13" w:anchor="idb693be80-d842-43d8-b163-057dbb430e68" w:history="1">
              <w:r>
                <w:rPr>
                  <w:color w:val="000000"/>
                  <w:sz w:val="17"/>
                  <w:szCs w:val="17"/>
                  <w:u w:val="single"/>
                  <w:rFonts w:ascii="Tahoma" w:hAnsi="Tahoma"/>
                </w:rPr>
                <w:t xml:space="preserve">Rozdział 4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szCs w:val="17"/>
                <w:rFonts w:ascii="Tahoma" w:hAnsi="Tahoma"/>
              </w:rPr>
              <w:t xml:space="preserve">Szczególne wymagania dotyczące dokumentacji i deklaracji</w:t>
            </w:r>
          </w:p>
        </w:tc>
      </w:tr>
      <w:tr w:rsidR="00483E18" w:rsidRPr="00186765" w:rsidTr="00981A23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14" w:anchor="idf5eb7174-34f8-4210-8397-01c92b549260" w:history="1">
              <w:r>
                <w:rPr>
                  <w:color w:val="000000"/>
                  <w:sz w:val="17"/>
                  <w:szCs w:val="17"/>
                  <w:u w:val="single"/>
                  <w:rFonts w:ascii="Tahoma" w:hAnsi="Tahoma"/>
                </w:rPr>
                <w:t xml:space="preserve">Rozdział 5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szCs w:val="17"/>
                <w:rFonts w:ascii="Tahoma" w:hAnsi="Tahoma"/>
              </w:rPr>
              <w:t xml:space="preserve">Badanie migracji</w:t>
            </w:r>
          </w:p>
        </w:tc>
      </w:tr>
      <w:tr w:rsidR="00483E18" w:rsidRPr="00186765" w:rsidTr="00981A23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15" w:anchor="id63dc768c-1caa-4703-b098-01c250a0df74" w:history="1">
              <w:r>
                <w:rPr>
                  <w:color w:val="000000"/>
                  <w:sz w:val="17"/>
                  <w:szCs w:val="17"/>
                  <w:u w:val="single"/>
                  <w:rFonts w:ascii="Tahoma" w:hAnsi="Tahoma"/>
                </w:rPr>
                <w:t xml:space="preserve">Rozdział 6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szCs w:val="17"/>
                <w:rFonts w:ascii="Tahoma" w:hAnsi="Tahoma"/>
              </w:rPr>
              <w:t xml:space="preserve">Kary i wejście w życie</w:t>
            </w:r>
          </w:p>
        </w:tc>
      </w:tr>
      <w:tr w:rsidR="00483E18" w:rsidRPr="00186765" w:rsidTr="00981A23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16" w:anchor="ideec75add-8f90-409f-8c95-2860d550aa81" w:history="1">
              <w:r>
                <w:rPr>
                  <w:color w:val="000000"/>
                  <w:sz w:val="17"/>
                  <w:szCs w:val="17"/>
                  <w:u w:val="single"/>
                  <w:rFonts w:ascii="Tahoma" w:hAnsi="Tahoma"/>
                </w:rPr>
                <w:t xml:space="preserve">Załącznik 1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szCs w:val="17"/>
                <w:rFonts w:ascii="Tahoma" w:hAnsi="Tahoma"/>
              </w:rPr>
              <w:t xml:space="preserve">Wykaz substancji dodatkowych, które działają wyłącznie jako biocydy powłokowe i które są przeznaczone do pozostawania w gotowym wyrobie, zob. § 9</w:t>
            </w:r>
          </w:p>
        </w:tc>
      </w:tr>
      <w:tr w:rsidR="00483E18" w:rsidRPr="00186765" w:rsidTr="00981A23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17" w:anchor="id9ecab0af-61a6-40f7-a1d9-ea09862dcaea" w:history="1">
              <w:r>
                <w:rPr>
                  <w:color w:val="000000"/>
                  <w:sz w:val="17"/>
                  <w:szCs w:val="17"/>
                  <w:u w:val="single"/>
                  <w:rFonts w:ascii="Tahoma" w:hAnsi="Tahoma"/>
                </w:rPr>
                <w:t xml:space="preserve">Załącznik 2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szCs w:val="17"/>
                <w:rFonts w:ascii="Tahoma" w:hAnsi="Tahoma"/>
              </w:rPr>
              <w:t xml:space="preserve">Kryteria stosowane w odniesieniu do metody określania poziomu chlorku winylu w materiałach przeznaczonych do kontaktu z żywnością oraz określania chlorku winylu uwalnianego z materiałów przeznaczonych do kontaktu z żywnością, zob. § 10</w:t>
            </w:r>
          </w:p>
        </w:tc>
      </w:tr>
      <w:tr w:rsidR="00483E18" w:rsidRPr="00186765" w:rsidTr="00981A23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18" w:anchor="idc951062f-f17d-41a9-b6b7-0384edf5831e" w:history="1">
              <w:r>
                <w:rPr>
                  <w:color w:val="000000"/>
                  <w:sz w:val="17"/>
                  <w:szCs w:val="17"/>
                  <w:u w:val="single"/>
                  <w:rFonts w:ascii="Tahoma" w:hAnsi="Tahoma"/>
                </w:rPr>
                <w:t xml:space="preserve">Załącznik 3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szCs w:val="17"/>
                <w:rFonts w:ascii="Tahoma" w:hAnsi="Tahoma"/>
              </w:rPr>
              <w:t xml:space="preserve">Wykaz substancji dozwolonych do produkcji folii z regenerowanej celulozy, zob. z § 11</w:t>
            </w:r>
          </w:p>
        </w:tc>
      </w:tr>
      <w:tr w:rsidR="00483E18" w:rsidRPr="00186765" w:rsidTr="00981A23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19" w:anchor="id0bc76272-e565-4695-a7a1-05c8af7a9145" w:history="1">
              <w:r>
                <w:rPr>
                  <w:color w:val="000000"/>
                  <w:sz w:val="17"/>
                  <w:szCs w:val="17"/>
                  <w:u w:val="single"/>
                  <w:rFonts w:ascii="Tahoma" w:hAnsi="Tahoma"/>
                </w:rPr>
                <w:t xml:space="preserve">Załącznik 4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szCs w:val="17"/>
                <w:rFonts w:ascii="Tahoma" w:hAnsi="Tahoma"/>
              </w:rPr>
              <w:t xml:space="preserve">Dopuszczalne poziomy migracji ołowiu i kadmu z wyrobów ceramicznych, emaliowanych i szklanych, zob. § 14</w:t>
            </w:r>
          </w:p>
        </w:tc>
      </w:tr>
      <w:tr w:rsidR="00483E18" w:rsidRPr="00186765" w:rsidTr="00981A23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20" w:anchor="id679f1ca0-54c0-4f66-8372-8024df5c051c" w:history="1">
              <w:r>
                <w:rPr>
                  <w:color w:val="000000"/>
                  <w:sz w:val="17"/>
                  <w:szCs w:val="17"/>
                  <w:u w:val="single"/>
                  <w:rFonts w:ascii="Tahoma" w:hAnsi="Tahoma"/>
                </w:rPr>
                <w:t xml:space="preserve">Załącznik 5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szCs w:val="17"/>
                <w:rFonts w:ascii="Tahoma" w:hAnsi="Tahoma"/>
              </w:rPr>
              <w:t xml:space="preserve">Wymagania dotyczące dokumentacji dla przedsiębiorstw, które wprowadzają do obrotu materiały przeznaczone do kontaktu z żywnością, zob. z § 15</w:t>
            </w:r>
          </w:p>
        </w:tc>
      </w:tr>
      <w:tr w:rsidR="00483E18" w:rsidRPr="00186765" w:rsidTr="00981A23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21" w:anchor="idc43903f4-acaf-4979-bb13-ca48ddc7ae9d" w:history="1">
              <w:r>
                <w:rPr>
                  <w:color w:val="000000"/>
                  <w:sz w:val="17"/>
                  <w:szCs w:val="17"/>
                  <w:u w:val="single"/>
                  <w:rFonts w:ascii="Tahoma" w:hAnsi="Tahoma"/>
                </w:rPr>
                <w:t xml:space="preserve">Załącznik 6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981A23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szCs w:val="17"/>
                <w:rFonts w:ascii="Tahoma" w:hAnsi="Tahoma"/>
              </w:rPr>
              <w:t xml:space="preserve">Wyroby ceramiczne, emaliowane i szklane, zob. z § 16</w:t>
            </w:r>
          </w:p>
        </w:tc>
      </w:tr>
    </w:tbl>
    <w:p w:rsidR="00483E18" w:rsidRPr="00186765" w:rsidRDefault="00483E18" w:rsidP="00483E18">
      <w:pPr>
        <w:shd w:val="clear" w:color="auto" w:fill="316529"/>
        <w:spacing w:after="150" w:line="240" w:lineRule="auto"/>
        <w:jc w:val="center"/>
        <w:rPr>
          <w:b/>
          <w:bCs/>
          <w:color w:val="FFFFFF"/>
          <w:sz w:val="17"/>
          <w:szCs w:val="17"/>
          <w:rFonts w:ascii="Tahoma" w:eastAsia="Times New Roman" w:hAnsi="Tahoma" w:cs="Tahoma"/>
        </w:rPr>
      </w:pPr>
      <w:r>
        <w:rPr>
          <w:b/>
          <w:bCs/>
          <w:color w:val="FFFFFF"/>
          <w:sz w:val="17"/>
          <w:szCs w:val="17"/>
          <w:rFonts w:ascii="Tahoma" w:hAnsi="Tahoma"/>
        </w:rPr>
        <w:t xml:space="preserve">Pełny tekst dokumentu</w:t>
      </w:r>
    </w:p>
    <w:p w:rsidR="00B10085" w:rsidRPr="00186765" w:rsidRDefault="00B10085" w:rsidP="00EC4A7B">
      <w:pPr>
        <w:keepNext/>
        <w:spacing w:before="200" w:after="200" w:line="240" w:lineRule="auto"/>
        <w:jc w:val="center"/>
        <w:rPr>
          <w:color w:val="000000"/>
          <w:sz w:val="28"/>
          <w:szCs w:val="28"/>
          <w:rFonts w:ascii="Tahoma" w:eastAsia="Times New Roman" w:hAnsi="Tahoma" w:cs="Tahoma"/>
        </w:rPr>
      </w:pPr>
      <w:r>
        <w:rPr>
          <w:color w:val="000000"/>
          <w:sz w:val="28"/>
          <w:szCs w:val="28"/>
          <w:rFonts w:ascii="Tahoma" w:hAnsi="Tahoma"/>
        </w:rPr>
        <w:t xml:space="preserve">Rozporządzenie w sprawie materiałów przeznaczonych do kontaktu z żywnością oraz przepisów przewidujących kary za naruszanie powiązanego prawa UE</w:t>
      </w:r>
      <w:hyperlink r:id="rId22" w:anchor="id1f4c3218-9ee3-46b4-a215-7b17fdf58f29" w:history="1">
        <w:r>
          <w:rPr>
            <w:color w:val="000000"/>
            <w:sz w:val="14"/>
            <w:szCs w:val="14"/>
            <w:u w:val="single"/>
            <w:vertAlign w:val="superscript"/>
            <w:rFonts w:ascii="Tahoma" w:hAnsi="Tahoma"/>
          </w:rPr>
          <w:t xml:space="preserve">1</w:t>
        </w:r>
      </w:hyperlink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W oparciu o § 25, § 25 a, § 49 ust. 1 i § 60 ust. 3 ustawy o środkach spożywczych, zob. akt ujednolicający nr 999 z dnia 2 lipca 2018 r., oraz na podstawie upoważnienia zawartego w § 7 pkt 3 rozporządzenia nr 1614 z dnia 18 grudnia 2018 r. w sprawie obowiązków i uprawnień duńskiego Urzędu ds. Weterynarii i Żywności zarządza się, co następuje:</w:t>
      </w:r>
    </w:p>
    <w:p w:rsidR="00B10085" w:rsidRPr="00186765" w:rsidRDefault="00B10085" w:rsidP="00EC4A7B">
      <w:pPr>
        <w:keepNext/>
        <w:spacing w:before="400" w:after="10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Rozdział 1</w:t>
      </w:r>
    </w:p>
    <w:p w:rsidR="00B10085" w:rsidRPr="00186765" w:rsidRDefault="00B10085" w:rsidP="00EC4A7B">
      <w:pPr>
        <w:keepNext/>
        <w:spacing w:after="100" w:line="240" w:lineRule="auto"/>
        <w:jc w:val="center"/>
        <w:rPr>
          <w:i/>
          <w:iCs/>
          <w:color w:val="000000"/>
          <w:sz w:val="17"/>
          <w:szCs w:val="17"/>
          <w:rFonts w:ascii="Tahoma" w:eastAsia="Times New Roman" w:hAnsi="Tahoma" w:cs="Tahoma"/>
        </w:rPr>
      </w:pPr>
      <w:r>
        <w:rPr>
          <w:i/>
          <w:iCs/>
          <w:color w:val="000000"/>
          <w:sz w:val="17"/>
          <w:szCs w:val="17"/>
          <w:rFonts w:ascii="Tahoma" w:hAnsi="Tahoma"/>
        </w:rPr>
        <w:t xml:space="preserve">Zakres i pojęcia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 1.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Niniejsze rozporządzenie ma zastosowanie do materiałów przeznaczonych do kontaktu z żywnością, które są objęte zakresem obowiązywania rozporządzenia (WE) nr 1935/2004 Parlamentu Europejskiego i Rady w sprawie materiałów i wyrobów przeznaczonych do kontaktu z żywnością oraz uchylającego dyrektywy 80/590/EWG i 89/109/EWG.</w:t>
      </w:r>
    </w:p>
    <w:p w:rsidR="00B10085" w:rsidRPr="00186765" w:rsidRDefault="00B10085" w:rsidP="00EC4A7B">
      <w:pPr>
        <w:keepNext/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 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Do celów niniejszego rozporządzenia stosuje się następujące definicje:</w:t>
      </w:r>
    </w:p>
    <w:p w:rsidR="00B10085" w:rsidRPr="00186765" w:rsidRDefault="00B10085" w:rsidP="00EC4A7B">
      <w:pPr>
        <w:keepNext/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1) Folia z regenerowanej celulozy: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cienki arkusz materiału otrzymany z oczyszczonej celulozy uzyskanej z drewna lub bawełny, uprzednio nieprzetwarzanych.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Zgodnie z wymaganiami technicznymi odpowiednie substancje mogą być dodawane do masy lub na powierzchnię.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Folia z regenerowanej celulozy może być powlekana jedno- lub dwustronnie.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Folia z regenerowanej celulozy należy do jednego z następujących rodzajów:</w:t>
      </w:r>
    </w:p>
    <w:p w:rsidR="00B10085" w:rsidRPr="00186765" w:rsidRDefault="00B10085" w:rsidP="00B10085">
      <w:pPr>
        <w:spacing w:after="0" w:line="240" w:lineRule="auto"/>
        <w:ind w:left="56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a) niepowlekana folia z regenerowanej celulozy,</w:t>
      </w:r>
    </w:p>
    <w:p w:rsidR="00B10085" w:rsidRPr="00186765" w:rsidRDefault="00B10085" w:rsidP="00B10085">
      <w:pPr>
        <w:spacing w:after="0" w:line="240" w:lineRule="auto"/>
        <w:ind w:left="56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b) powlekana folia z regenerowanej celulozy z powłoką uzyskaną z celulozy; lub</w:t>
      </w:r>
    </w:p>
    <w:p w:rsidR="00B10085" w:rsidRPr="00186765" w:rsidRDefault="00B10085" w:rsidP="00B10085">
      <w:pPr>
        <w:spacing w:after="0" w:line="240" w:lineRule="auto"/>
        <w:ind w:left="56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c) powlekana folia z regenerowanej celulozy z powłoką składającą się z tworzyw sztucznych.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2) Wyroby ceramiczne: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wyroby wyprodukowane z mieszaniny substancji nieorganicznych o ogólnej wysokiej zawartości glin lub krzemianów, do których mogły zostać dodane niewielkie ilości substancji organicznych.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Wyroby te są najpierw formowane, a uzyskany kształt jest utrwalany poprzez wypalanie.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Mogą one być szkliwione, emaliowane i/lub zdobione.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3) Papier i tektura: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materiały i wyroby produkowane z naturalnych włókien na bazie celulozy, zarówno bielone, jak i niebielone, ze źródeł pierwotnych i wtórnych.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Papier i tektura mogą ponadto zawierać sztuczne włókna, środki funkcjonalne i inne dodatki przetwórcze, polimerowe substancje wiążące pigmenty organiczne i nieorganiczne oraz folię z tworzywa sztucznego.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Papier i tektura mogą również zawierać tusze, lakiery, powłoki, kleje i folię z tworzywa sztucznego wykorzystywane w procesie przetwarzania.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 3.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Do celów niniejszego rozporządzenia materiały przeznaczone do kontaktu z żywnością definiuje się jako materiały i wyroby zgodnie z art. 1 ust. 2 rozporządzenia (WE) nr 1935/2004 Parlamentu Europejskiego i Rady w sprawie materiałów i wyrobów przeznaczonych do kontaktu z żywnością oraz uchylającego dyrektywy 80/590/EWG i 89/109/EWG.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 4.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Do celów niniejszego rozporządzenia tworzywa sztuczne definiuje się zgodnie z art. 3 pkt 1 lit. a) i b) rozporządzenia Komisji (UE) nr 10/2011 z dnia 14 stycznia 2011 r. w sprawie materiałów i wyrobów z tworzyw sztucznych przeznaczonych do kontaktu z żywnością, oraz zgodnie z art. 3 pkt 2 tego samego rozporządzenia.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Do celów niniejszego rozporządzenia stosuje się również odnośne definicje zawarte w art. 3 rozporządzenia Komisji (UE) nr 10/2011 z dnia 14 stycznia 2011 r. w sprawie materiałów i wyrobów z tworzyw sztucznych przeznaczonych do kontaktu z żywnością.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 5.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Oprócz definicji wskazanych w § 2–4 stosuje się definicje podane w rozporządzeniu (WE) nr 1935/2004 Parlamentu Europejskiego i Rady w sprawie materiałów i wyrobów przeznaczonych do kontaktu z żywnością oraz uchylającym dyrektywy 80/590/EWG i 89/109/EWG.</w:t>
      </w:r>
    </w:p>
    <w:p w:rsidR="00B10085" w:rsidRPr="00186765" w:rsidRDefault="00B10085" w:rsidP="00EC4A7B">
      <w:pPr>
        <w:keepNext/>
        <w:spacing w:before="400" w:after="10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Rozdział 2</w:t>
      </w:r>
    </w:p>
    <w:p w:rsidR="00B10085" w:rsidRPr="00186765" w:rsidRDefault="00B10085" w:rsidP="00EC4A7B">
      <w:pPr>
        <w:keepNext/>
        <w:spacing w:after="100" w:line="240" w:lineRule="auto"/>
        <w:jc w:val="center"/>
        <w:rPr>
          <w:i/>
          <w:iCs/>
          <w:color w:val="000000"/>
          <w:sz w:val="17"/>
          <w:szCs w:val="17"/>
          <w:rFonts w:ascii="Tahoma" w:eastAsia="Times New Roman" w:hAnsi="Tahoma" w:cs="Tahoma"/>
        </w:rPr>
      </w:pPr>
      <w:r>
        <w:rPr>
          <w:i/>
          <w:iCs/>
          <w:color w:val="000000"/>
          <w:sz w:val="17"/>
          <w:szCs w:val="17"/>
          <w:rFonts w:ascii="Tahoma" w:hAnsi="Tahoma"/>
        </w:rPr>
        <w:t xml:space="preserve">Wprowadzanie do obrotu, stosowanie i wycofywanie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 6.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Materiały przeznaczone do kontaktu z żywnością nie mogą być wprowadzane do obrotu, jeżeli nie spełniają ogólnych wymagań rozporządzenia (WE) nr 1935/2004 Parlamentu Europejskiego i Rady w sprawie materiałów i wyrobów przeznaczonych do kontaktu z żywnością oraz uchylającego dyrektywy 80/590/EWG i 89/109/EWG oraz przepisów ustanowionych zgodnie z tym rozporządzeniem.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Przedsiębiorstwa, które sprowadzają, wytwarzają i/lub pakują żywność, nie mogą stosować materiałów przeznaczonych do kontaktu z żywnością, jeżeli te nie spełniają ogólnych wymagań rozporządzenia (WE) nr 1935/2004 Parlamentu Europejskiego i Rady w sprawie materiałów i wyrobów przeznaczonych do kontaktu z żywnością oraz uchylającego dyrektywy 80/590/EWG i 89/109/EWG oraz przepisów ustanowionych zgodnie z tym rozporządzeniem.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Równocześnie przedsiębiorstwo musi zapewnić, że stosuje materiały przeznaczone do kontaktu z żywnością wyłącznie do celów, do jakich są przewidziane.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 7.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Materiały z papieru i tektury przeznaczone do kontaktu z żywnością, w których zastosowano substancje per-i polifluoroalkilowe (PFAS), nie mogą być wprowadzane do obrotu.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Niezależnie od przepisów zawartych w ust. 1 materiały z papieru i tektury przeznaczone do kontaktu z żywnością, w których zastosowano substancje substancje per-i polifluoroalkilowe (PFAS), mogą zostać wprowadzone do obrotu, jeżeli w produkcie zastosowano barierę funkcjonalną, która gwarantuje izolację produktu od migracji tych substancji.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 8.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Jeżeli podmiot działający na rynku, producent lub importer materiałów przeznaczonych do kontaktu z żywnością przypuszcza lub ma podstawy, aby przypuszczać, że materiały przeznaczone do kontaktu z żywnością, które przedsiębiorstwo wyprodukowało, sprowadziło lub rozprowadziło, są niezgodne z wymogami w zakresie bezpieczeństwa żywności, a produkty nie są już objęte kontrolą podmiotu działającego na rynku, producenta lub importera, musi podjąć środki mające na celu wycofanie tych materiałów z rynków.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W przypadkach, o których mowa w ust. 1, podmiot działający na rynku, producent lub importer musi niezwłocznie zawiadomić o tym Urząd ds. Weterynarii i Żywności.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3.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Jeżeli materiały przeznaczone do kontaktu z żywnością dotarł do konsumentów, podmiot działający na rynku, producent lub importer musi należycie i dokładnie poinformować użytkowników tych materiałów o przyczynach ich wycofania.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W razie konieczności przedsiębiorstwo odbierze od konsumentów produkty już im dostarczone.</w:t>
      </w:r>
    </w:p>
    <w:p w:rsidR="00B10085" w:rsidRPr="00186765" w:rsidRDefault="00B10085" w:rsidP="00EC4A7B">
      <w:pPr>
        <w:keepNext/>
        <w:spacing w:before="400" w:after="10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Rozdział 3</w:t>
      </w:r>
    </w:p>
    <w:p w:rsidR="00B10085" w:rsidRPr="00186765" w:rsidRDefault="00B10085" w:rsidP="00EC4A7B">
      <w:pPr>
        <w:keepNext/>
        <w:spacing w:after="100" w:line="240" w:lineRule="auto"/>
        <w:jc w:val="center"/>
        <w:rPr>
          <w:i/>
          <w:iCs/>
          <w:color w:val="000000"/>
          <w:sz w:val="17"/>
          <w:szCs w:val="17"/>
          <w:rFonts w:ascii="Tahoma" w:eastAsia="Times New Roman" w:hAnsi="Tahoma" w:cs="Tahoma"/>
        </w:rPr>
      </w:pPr>
      <w:r>
        <w:rPr>
          <w:i/>
          <w:iCs/>
          <w:color w:val="000000"/>
          <w:sz w:val="17"/>
          <w:szCs w:val="17"/>
          <w:rFonts w:ascii="Tahoma" w:hAnsi="Tahoma"/>
        </w:rPr>
        <w:t xml:space="preserve">Specjalne warunki produkcji, stosowania i testowania określonych materiałów przeznaczonych do kontaktu z żywnością</w:t>
      </w:r>
    </w:p>
    <w:p w:rsidR="00B10085" w:rsidRPr="00186765" w:rsidRDefault="00B10085" w:rsidP="00EC4A7B">
      <w:pPr>
        <w:keepNext/>
        <w:spacing w:before="300" w:after="100" w:line="240" w:lineRule="auto"/>
        <w:jc w:val="center"/>
        <w:rPr>
          <w:i/>
          <w:iCs/>
          <w:color w:val="000000"/>
          <w:sz w:val="17"/>
          <w:szCs w:val="17"/>
          <w:rFonts w:ascii="Tahoma" w:eastAsia="Times New Roman" w:hAnsi="Tahoma" w:cs="Tahoma"/>
        </w:rPr>
      </w:pPr>
      <w:r>
        <w:rPr>
          <w:i/>
          <w:iCs/>
          <w:color w:val="000000"/>
          <w:sz w:val="17"/>
          <w:szCs w:val="17"/>
          <w:rFonts w:ascii="Tahoma" w:hAnsi="Tahoma"/>
        </w:rPr>
        <w:t xml:space="preserve">Tworzywa sztuczne i tworzywa sztuczne pochodzące z recyklingu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 9.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W przypadku substancji dodatkowych, które działają wyłącznie jako biocydy powłokowe i są przeznaczone do pozostawania w gotowym materiale lub gotowym wyrobie, można stosować tylko biocydy podane w załączniku 1 i tylko zgodnie z ograniczeniami i/lub wymaganiami określonymi w załączniku.</w:t>
      </w:r>
    </w:p>
    <w:p w:rsidR="00B10085" w:rsidRPr="00186765" w:rsidRDefault="00B10085" w:rsidP="00EC4A7B">
      <w:pPr>
        <w:keepNext/>
        <w:spacing w:before="300" w:after="100" w:line="240" w:lineRule="auto"/>
        <w:jc w:val="center"/>
        <w:rPr>
          <w:i/>
          <w:iCs/>
          <w:color w:val="000000"/>
          <w:sz w:val="17"/>
          <w:szCs w:val="17"/>
          <w:rFonts w:ascii="Tahoma" w:eastAsia="Times New Roman" w:hAnsi="Tahoma" w:cs="Tahoma"/>
        </w:rPr>
      </w:pPr>
      <w:r>
        <w:rPr>
          <w:i/>
          <w:iCs/>
          <w:color w:val="000000"/>
          <w:sz w:val="17"/>
          <w:szCs w:val="17"/>
          <w:rFonts w:ascii="Tahoma" w:hAnsi="Tahoma"/>
        </w:rPr>
        <w:t xml:space="preserve">Chlorek winylu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 10.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Materiały przeznaczone do kontaktu z żywnością nie mogą uwalniać chlorku winylu wykrywalnego metodą, która spełnia określone w załączniku 2 kryteria dla żywności, która ma lub miała kontakt z tymi materiałami.</w:t>
      </w:r>
    </w:p>
    <w:p w:rsidR="00B10085" w:rsidRPr="00186765" w:rsidRDefault="00B10085" w:rsidP="00EC4A7B">
      <w:pPr>
        <w:keepNext/>
        <w:spacing w:before="300" w:after="100" w:line="240" w:lineRule="auto"/>
        <w:jc w:val="center"/>
        <w:rPr>
          <w:i/>
          <w:iCs/>
          <w:color w:val="000000"/>
          <w:sz w:val="17"/>
          <w:szCs w:val="17"/>
          <w:rFonts w:ascii="Tahoma" w:eastAsia="Times New Roman" w:hAnsi="Tahoma" w:cs="Tahoma"/>
        </w:rPr>
      </w:pPr>
      <w:r>
        <w:rPr>
          <w:i/>
          <w:iCs/>
          <w:color w:val="000000"/>
          <w:sz w:val="17"/>
          <w:szCs w:val="17"/>
          <w:rFonts w:ascii="Tahoma" w:hAnsi="Tahoma"/>
        </w:rPr>
        <w:t xml:space="preserve">Folia z regenerowanej celulozy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 11.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Folia z regenerowanej celulozy, o której mowa w § 2 pkt 1 lit. a) i b), może być produkowana wyłącznie z substancji lub grup substancji wymienionych w załączniku 3 oraz wyłącznie na zasadach w nim określonych.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Folia z regenerowanej celulozy, o której mowa w § 2 pkt 1 lit. c), przeznaczona do powleczenia może być wyprodukowana wyłącznie z substancji lub grup substancji wymienionych w załączniku 3 oraz wyłącznie na zasadach w nim określonych.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Powłoka do pokrywania folii określonych w § 2 pkt 1 lit. c) może być wyprodukowana wyłącznie z substancji lub grup substancji wymienionych w załącznikach do rozporządzenia (UE) nr 10/2011 w sprawie materiałów i wyrobów z tworzyw sztucznych przeznaczonych do kontaktu z żywnością oraz wyłącznie na zasadach w nim określonych, z uwzględnieniem art. 6 rozporządzenia (UE) nr 10/2011 w sprawie materiałów i wyrobów z tworzyw sztucznych przeznaczonych do kontaktu z żywnością.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3.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Niezależnie od przepisów zawartych w ust. 1 i 2 dozwolone jest stosowanie innych substancji jako barwników lub środków wiążących, jeżeli nie powodują one przenikania do żywności substancji szkodliwych.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4.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Materiały przeznaczone do kontaktu z żywnością wyprodukowane z folii z regenerowanej celulozy, o której mowa w § 2 pkt 1 lit. c), muszą być zgodne z przepisami dotyczącymi tworzyw sztucznych, zob. rozporządzenie (UE) nr 10/2011 w sprawie materiałów i wyrobów z tworzyw sztucznych przeznaczonych do kontaktu z żywnością.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 12.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Powierzchnie folii z regenerowanej celulozy pokryte nadrukiem nie mogą mieć kontaktu z żywnością.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 13.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Przepisy § 11 nie mają zastosowania do syntetycznych osłonek z regenerowanej celulozy.</w:t>
      </w:r>
    </w:p>
    <w:p w:rsidR="00B10085" w:rsidRPr="00186765" w:rsidRDefault="00B10085" w:rsidP="00EC4A7B">
      <w:pPr>
        <w:keepNext/>
        <w:spacing w:before="300" w:after="100" w:line="240" w:lineRule="auto"/>
        <w:jc w:val="center"/>
        <w:rPr>
          <w:i/>
          <w:iCs/>
          <w:color w:val="000000"/>
          <w:sz w:val="17"/>
          <w:szCs w:val="17"/>
          <w:rFonts w:ascii="Tahoma" w:eastAsia="Times New Roman" w:hAnsi="Tahoma" w:cs="Tahoma"/>
        </w:rPr>
      </w:pPr>
      <w:r>
        <w:rPr>
          <w:i/>
          <w:iCs/>
          <w:color w:val="000000"/>
          <w:sz w:val="17"/>
          <w:szCs w:val="17"/>
          <w:rFonts w:ascii="Tahoma" w:hAnsi="Tahoma"/>
        </w:rPr>
        <w:t xml:space="preserve">Wyroby ceramiczne, emaliowane i szklane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 14.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Wyroby ceramiczne, emaliowane i szklane nie mogą uwalniać ołowiu lub kadmu w ilościach większych niż określone w załączniku 4, z zastrzeżeniem ust. 2.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Jeśli wyroby ceramiczne, emaliowane lub szklane uwalniają ołów lub kadm w ilości przekraczającej limity określone w załączniku 4 lecz o nie więcej niż 50 %, wyrób taki może być sprzedawany legalnie, o ile co najmniej trzy inne wyroby o takim samym kształcie, wymiarach, ozdobach i szkliwie zostaną poddane badaniu i średnie ilości ołowiu i/lub kadmu uwolnione z powyższych wyrobów nie przekraczają limitów ustalonych w załączniku 4, przy czym dla żadnego z powyższych wyrobów limity nie mogą zostać przekroczone o więcej niż 50 %.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3.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Wyroby ceramiczne, emaliowane lub szklane muszą spełniać podstawowe zasady dotyczące badania migracji specyficznej i globalnej określone w § 16 niniejszego rozporządzenia.</w:t>
      </w:r>
    </w:p>
    <w:p w:rsidR="00B10085" w:rsidRPr="00186765" w:rsidRDefault="00B10085" w:rsidP="00EC4A7B">
      <w:pPr>
        <w:keepNext/>
        <w:spacing w:before="400" w:after="10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Rozdział 4</w:t>
      </w:r>
    </w:p>
    <w:p w:rsidR="00B10085" w:rsidRPr="00186765" w:rsidRDefault="00B10085" w:rsidP="00EC4A7B">
      <w:pPr>
        <w:keepNext/>
        <w:spacing w:after="100" w:line="240" w:lineRule="auto"/>
        <w:jc w:val="center"/>
        <w:rPr>
          <w:i/>
          <w:iCs/>
          <w:color w:val="000000"/>
          <w:sz w:val="17"/>
          <w:szCs w:val="17"/>
          <w:rFonts w:ascii="Tahoma" w:eastAsia="Times New Roman" w:hAnsi="Tahoma" w:cs="Tahoma"/>
        </w:rPr>
      </w:pPr>
      <w:r>
        <w:rPr>
          <w:i/>
          <w:iCs/>
          <w:color w:val="000000"/>
          <w:sz w:val="17"/>
          <w:szCs w:val="17"/>
          <w:rFonts w:ascii="Tahoma" w:hAnsi="Tahoma"/>
        </w:rPr>
        <w:t xml:space="preserve">Szczególne wymagania dotyczące dokumentacji i deklaracji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 15.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Materiały przeznaczone do kontaktu z żywnością muszą posiadać deklaracje zgodności zgodnie z wymogami określonymi w załączniku 5.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Ponadto podmiot działający na rynku ma obowiązek okazać na żądanie odnośną dokumentację uzupełniającą, zob. załącznik 5.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Wymóg określony w ust. 1 pkt 1 uznaje się za spełniony, jeśli deklaracje zgodności są dostępne na stronie internetowej producenta lub importera i następny podmiot w łańcuchu został o tym poinformowany.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3.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Przedsiębiorstwa prowadzące działalność związaną z materiałami przeznaczonymi do kontaktu z żywnością są zobowiązane udokumentować zgodnie z art. 7 rozporządzenia Komisji (WE) nr 2023/2006 z dnia 22 grudnia 2006 r. w sprawie dobrej praktyki produkcyjnej w odniesieniu do materiałów i wyrobów przeznaczonych do kontaktu z żywnością, że materiały przeznaczone do kontaktu z żywnością są wytwarzane zgodnie z zasadami określonymi w tym samym rozporządzeniu, zob. § 25 rozporządzenia nr 1404 z dnia 29 listopada 2018 r. w sprawie zatwierdzania i rejestracji przedsiębiorstw spożywczych.</w:t>
      </w:r>
    </w:p>
    <w:p w:rsidR="00B10085" w:rsidRPr="00186765" w:rsidRDefault="00B10085" w:rsidP="00EC4A7B">
      <w:pPr>
        <w:keepNext/>
        <w:spacing w:before="400" w:after="10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Rozdział 5</w:t>
      </w:r>
    </w:p>
    <w:p w:rsidR="00B10085" w:rsidRPr="00186765" w:rsidRDefault="00B10085" w:rsidP="00EC4A7B">
      <w:pPr>
        <w:keepNext/>
        <w:spacing w:after="100" w:line="240" w:lineRule="auto"/>
        <w:jc w:val="center"/>
        <w:rPr>
          <w:i/>
          <w:iCs/>
          <w:color w:val="000000"/>
          <w:sz w:val="17"/>
          <w:szCs w:val="17"/>
          <w:rFonts w:ascii="Tahoma" w:eastAsia="Times New Roman" w:hAnsi="Tahoma" w:cs="Tahoma"/>
        </w:rPr>
      </w:pPr>
      <w:r>
        <w:rPr>
          <w:i/>
          <w:iCs/>
          <w:color w:val="000000"/>
          <w:sz w:val="17"/>
          <w:szCs w:val="17"/>
          <w:rFonts w:ascii="Tahoma" w:hAnsi="Tahoma"/>
        </w:rPr>
        <w:t xml:space="preserve">Badanie migracji</w:t>
      </w:r>
    </w:p>
    <w:p w:rsidR="00B10085" w:rsidRPr="00186765" w:rsidRDefault="00B10085" w:rsidP="00EC4A7B">
      <w:pPr>
        <w:keepNext/>
        <w:spacing w:before="300" w:after="100" w:line="240" w:lineRule="auto"/>
        <w:jc w:val="center"/>
        <w:rPr>
          <w:i/>
          <w:iCs/>
          <w:color w:val="000000"/>
          <w:sz w:val="17"/>
          <w:szCs w:val="17"/>
          <w:rFonts w:ascii="Tahoma" w:eastAsia="Times New Roman" w:hAnsi="Tahoma" w:cs="Tahoma"/>
        </w:rPr>
      </w:pPr>
      <w:r>
        <w:rPr>
          <w:i/>
          <w:iCs/>
          <w:color w:val="000000"/>
          <w:sz w:val="17"/>
          <w:szCs w:val="17"/>
          <w:rFonts w:ascii="Tahoma" w:hAnsi="Tahoma"/>
        </w:rPr>
        <w:t xml:space="preserve">Wyroby ceramiczne, emaliowane i szklane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 16.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Metoda oznaczania ilości ołowiu i kadmu uwalnianych z wyrobów ceramicznych, emaliowanych lub szklanych, została opisana w załączniku 6.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i/>
          <w:iCs/>
          <w:rFonts w:ascii="Tahoma" w:hAnsi="Tahoma"/>
        </w:rPr>
        <w:t xml:space="preserve">Ust. 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W przypadku, kiedy wyrób ceramiczny stanowi naczynie zamykane ceramiczną pokrywą, limit ołowiu i kadmu (mg/dm</w:t>
      </w:r>
      <w:r>
        <w:rPr>
          <w:color w:val="000000"/>
          <w:sz w:val="12"/>
          <w:szCs w:val="12"/>
          <w:vertAlign w:val="superscript"/>
          <w:rFonts w:ascii="Tahoma" w:hAnsi="Tahoma"/>
        </w:rPr>
        <w:t xml:space="preserve">2</w:t>
      </w:r>
      <w:r>
        <w:rPr>
          <w:color w:val="000000"/>
          <w:sz w:val="17"/>
          <w:szCs w:val="17"/>
          <w:rFonts w:ascii="Tahoma" w:hAnsi="Tahoma"/>
        </w:rPr>
        <w:t xml:space="preserve"> lub mg/l), który nie może zostać przekroczony, jest taki sam jak w przypadku samego naczynia.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3.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Samo naczynie oraz powierzchnia wewnętrzna pokrywy badane są oddzielnie w takich samych warunkach.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Suma dwóch poziomów ekstrakcyjnych ołowiu i/lub kadmu otrzymanych w wyniku takich badań zostaje odniesiona odpowiednio do powierzchni lub objętości samego naczynia.</w:t>
      </w:r>
    </w:p>
    <w:p w:rsidR="00B10085" w:rsidRPr="00186765" w:rsidRDefault="00B10085" w:rsidP="00EC4A7B">
      <w:pPr>
        <w:keepNext/>
        <w:spacing w:before="400" w:after="10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Rozdział 6</w:t>
      </w:r>
    </w:p>
    <w:p w:rsidR="00B10085" w:rsidRPr="00186765" w:rsidRDefault="00B10085" w:rsidP="00EC4A7B">
      <w:pPr>
        <w:keepNext/>
        <w:spacing w:after="100" w:line="240" w:lineRule="auto"/>
        <w:jc w:val="center"/>
        <w:rPr>
          <w:i/>
          <w:iCs/>
          <w:color w:val="000000"/>
          <w:sz w:val="17"/>
          <w:szCs w:val="17"/>
          <w:rFonts w:ascii="Tahoma" w:eastAsia="Times New Roman" w:hAnsi="Tahoma" w:cs="Tahoma"/>
        </w:rPr>
      </w:pPr>
      <w:r>
        <w:rPr>
          <w:i/>
          <w:iCs/>
          <w:color w:val="000000"/>
          <w:sz w:val="17"/>
          <w:szCs w:val="17"/>
          <w:rFonts w:ascii="Tahoma" w:hAnsi="Tahoma"/>
        </w:rPr>
        <w:t xml:space="preserve">Kary i wejście w życie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 17.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O ile obowiązujące przepisy prawa nie przewidują wyższej kary, karze grzywny podlega ten, kto narusza przepisy §§ 6-8, §§ 9-12 lub §§ 14-15.</w:t>
      </w:r>
    </w:p>
    <w:p w:rsidR="00B10085" w:rsidRPr="00186765" w:rsidRDefault="00B10085" w:rsidP="00EC4A7B">
      <w:pPr>
        <w:keepNext/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Kara może wzrosnąć do dwóch lat pozbawienia wolności, jeśli naruszenie lub zaniedbanie zostało popełnione umyślnie lub wskutek rażącego zaniedbania i jeśli w wyniku tego naruszenia: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1) doszło do powstania szkody dla zdrowia lub wystąpiło zagrożenie szkodą dla zdrowia, lub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2) sprawca osiągnął lub zamierzał osiągnąć korzyść majątkową dla siebie lub innych osób.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3.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Przedsiębiorstwa itp. (osoby prawne) mogą podlegać odpowiedzialności karnej zgodnie z przepisami rozdziału 5 kodeksu karnego.</w:t>
      </w:r>
    </w:p>
    <w:p w:rsidR="00B10085" w:rsidRPr="00186765" w:rsidRDefault="00B10085" w:rsidP="00EC4A7B">
      <w:pPr>
        <w:keepNext/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 18.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O ile pozostałe przepisy prawa nie przewidują wyższej kary, karze grzywny podlega ten, kto narusza następujące przepisy rozporządzenia (WE) nr 1935/2004 Parlamentu Europejskiego i Rady z dnia 27 października 2004 r. w sprawie materiałów i wyrobów przeznaczonych do kontaktu z żywnością oraz uchylającego dyrektywy 80/590/EWG i 89/109/EWG: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1) Artykuł 3.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2) Artykuł 4 ust. 1 lub ust. 3–6.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3) Artykuł 11 ust. 5.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4) Artykuł 15.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5) Artykuł 17.</w:t>
      </w:r>
    </w:p>
    <w:p w:rsidR="00B10085" w:rsidRPr="00186765" w:rsidRDefault="00B10085" w:rsidP="00EC4A7B">
      <w:pPr>
        <w:keepNext/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Kara może wzrosnąć do dwóch lat pozbawienia wolności, jeśli naruszenie lub zaniedbanie zostało popełnione umyślnie lub wskutek rażącego zaniedbania i jeśli w wyniku tego naruszenia: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1) doszło do powstania szkody dla zdrowia lub wystąpiło zagrożenie szkodą dla zdrowia, lub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2) sprawca osiągnął lub zamierzał osiągnąć korzyść majątkową dla siebie lub innych osób.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3.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Przedsiębiorstwa itp. (osoby prawne) mogą podlegać odpowiedzialności karnej zgodnie z przepisami rozdziału 5 kodeksu karnego.</w:t>
      </w:r>
    </w:p>
    <w:p w:rsidR="00B10085" w:rsidRPr="00186765" w:rsidRDefault="00B10085" w:rsidP="00EC4A7B">
      <w:pPr>
        <w:keepNext/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 19.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O ile pozostałe przepisy prawa nie przewidują wyższej kary, karze grzywny podlega ten, kto narusza następujące przepisy rozporządzenia Komisji (WE) nr 2023/2006 z dnia 22 grudnia 2006 r. w sprawie dobrej praktyki produkcyjnej w odniesieniu do materiałów i wyrobów przeznaczonych do kontaktu z żywnością: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1) Artykuł 4.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2) Artykuł 5.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3) Artykuł 6.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4) Artykuł 7.</w:t>
      </w:r>
    </w:p>
    <w:p w:rsidR="00B10085" w:rsidRPr="00186765" w:rsidRDefault="00B10085" w:rsidP="00EC4A7B">
      <w:pPr>
        <w:keepNext/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Kara może wzrosnąć do dwóch lat pozbawienia wolności, jeśli naruszenie lub zaniedbanie zostało popełnione umyślnie lub wskutek rażącego zaniedbania i jeśli w wyniku tego naruszenia: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1) doszło do powstania szkody dla zdrowia lub wystąpiło zagrożenie szkodą dla zdrowia, lub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2) sprawca osiągnął lub zamierzał osiągnąć korzyść majątkową dla siebie lub innych osób.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3.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Przedsiębiorstwa itp. (osoby prawne) mogą podlegać odpowiedzialności karnej zgodnie z przepisami rozdziału 5 kodeksu karnego.</w:t>
      </w:r>
    </w:p>
    <w:p w:rsidR="00B10085" w:rsidRPr="00186765" w:rsidRDefault="00B10085" w:rsidP="00EC4A7B">
      <w:pPr>
        <w:keepNext/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 20.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O ile pozostałe przepisy prawa nie przewidują wyższej kary, karze grzywny podlega ten, kto narusza następujące przepisy rozporządzenia Komisji (WE) nr 1895/2005 z dnia 18 listopada 2005 r. w sprawie ograniczenia wykorzystania niektórych pochodnych epoksydowych w materiałach i wyrobach przeznaczonych do kontaktu z żywnością: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1) Artykuł 2.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2) Artykuł 3.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3) Artykuł 4.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4) Artykuł 5.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5) Artykuł 6 ust. 4.</w:t>
      </w:r>
    </w:p>
    <w:p w:rsidR="00B10085" w:rsidRPr="00186765" w:rsidRDefault="00B10085" w:rsidP="00EC4A7B">
      <w:pPr>
        <w:keepNext/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Kara może wzrosnąć do dwóch lat pozbawienia wolności, jeśli naruszenie lub zaniedbanie zostało popełnione umyślnie lub wskutek rażącego zaniedbania i jeśli w wyniku tego naruszenia: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1) doszło do powstania szkody dla zdrowia lub wystąpiło zagrożenie szkodą dla zdrowia, lub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2) sprawca osiągnął lub zamierzał osiągnąć korzyść majątkową dla siebie lub innych osób.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3.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Przedsiębiorstwa itp. (osoby prawne) mogą podlegać odpowiedzialności karnej zgodnie z przepisami rozdziału 5 kodeksu karnego.</w:t>
      </w:r>
    </w:p>
    <w:p w:rsidR="00B10085" w:rsidRPr="00186765" w:rsidRDefault="00B10085" w:rsidP="00EC4A7B">
      <w:pPr>
        <w:keepNext/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 21.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O ile pozostałe przepisy prawa nie przewidują wyższej kary, karze grzywny podlega ten, kto narusza następujące przepisy rozporządzenia Komisji (WE) nr 282/2008 z dnia 27 marca 2008 r. w sprawie materiałów i wyrobów z tworzyw sztucznych pochodzących z recyklingu przeznaczonych do kontaktu z żywnością oraz zmieniającego rozporządzenie (WE) nr 2023/2006: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1) Artykuł 3 ust. 1.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2) Artykuł 7 ust. 1–2.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3) Artykuł 11.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4) Artykuł 12.</w:t>
      </w:r>
    </w:p>
    <w:p w:rsidR="00B10085" w:rsidRPr="00186765" w:rsidRDefault="00B10085" w:rsidP="00EC4A7B">
      <w:pPr>
        <w:keepNext/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Kara może wzrosnąć do dwóch lat pozbawienia wolności, jeśli naruszenie lub zaniedbanie zostało popełnione umyślnie lub wskutek rażącego zaniedbania i jeśli w wyniku tego naruszenia: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1) doszło do powstania szkody dla zdrowia lub wystąpiło zagrożenie szkodą dla zdrowia, lub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2) sprawca osiągnął lub zamierzał osiągnąć korzyść majątkową dla siebie lub innych osób.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3.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Przedsiębiorstwa itp. (osoby prawne) mogą podlegać odpowiedzialności karnej zgodnie z przepisami rozdziału 5 kodeksu karnego.</w:t>
      </w:r>
    </w:p>
    <w:p w:rsidR="00B10085" w:rsidRPr="00186765" w:rsidRDefault="00B10085" w:rsidP="00EC4A7B">
      <w:pPr>
        <w:keepNext/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 22.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O ile pozostałe przepisy prawa nie przewidują wyższej kary, karze grzywny podlega ten, kto narusza następujące przepisy rozporządzenia Komisji (WE) nr 450/2009 z dnia 29 maja 2009 r. w sprawie aktywnych i inteligentnych materiałów i wyrobów przeznaczonych do kontaktu z żywnością: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1) Artykuł 4.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2) Artykuł 5.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3) Artykuł 9.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4) Artykuł 10.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5) Artykuł 11.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6) Artykuł 12.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7) Artykuł 13.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8) Artykuł 14.</w:t>
      </w:r>
    </w:p>
    <w:p w:rsidR="00B10085" w:rsidRPr="00186765" w:rsidRDefault="00B10085" w:rsidP="00EC4A7B">
      <w:pPr>
        <w:keepNext/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Kara może wzrosnąć do dwóch lat pozbawienia wolności, jeśli naruszenie lub zaniedbanie zostało popełnione umyślnie lub wskutek rażącego zaniedbania i jeśli w wyniku tego naruszenia: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1) doszło do powstania szkody dla zdrowia lub wystąpiło zagrożenie szkodą dla zdrowia, lub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2) sprawca osiągnął lub zamierzał osiągnąć korzyść majątkową dla siebie lub innych osób.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3.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Przedsiębiorstwa itp. (osoby prawne) mogą podlegać odpowiedzialności karnej zgodnie z przepisami rozdziału 5 kodeksu karnego.</w:t>
      </w:r>
    </w:p>
    <w:p w:rsidR="00B10085" w:rsidRPr="00186765" w:rsidRDefault="00B10085" w:rsidP="00EC4A7B">
      <w:pPr>
        <w:keepNext/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 23.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O ile pozostałe przepisy prawa nie przewidują wyższej kary, karze grzywny podlega ten, kto narusza następujące przepisy rozporządzenia Komisji (UE) nr 10/2011 z dnia 14 stycznia 2011 r. w sprawie materiałów i wyrobów z tworzyw sztucznych przeznaczonych do kontaktu z żywnością: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1) Artykuł 4.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2) Artykuł 5.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3) Artykuł 6 ust. 3.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4) Artykuł 8.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5) Artykuł 9.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6) Artykuł 10.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7) Artykuł 11.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8) Artykuł 12.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9) Artykuł 13.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10) Artykuł 14 ust. 1, ust. 3 lub ust. 5.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11) Artykuł 15.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12) Artykuł 16.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13) Artykuł 17.</w:t>
      </w:r>
    </w:p>
    <w:p w:rsidR="00B10085" w:rsidRPr="00186765" w:rsidRDefault="00B10085" w:rsidP="00EC4A7B">
      <w:pPr>
        <w:keepNext/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Kara może wzrosnąć do dwóch lat pozbawienia wolności, jeśli naruszenie lub zaniedbanie zostało popełnione umyślnie lub wskutek rażącego zaniedbania i jeśli w wyniku tego naruszenia: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1) doszło do powstania szkody dla zdrowia lub wystąpiło zagrożenie szkodą dla zdrowia, lub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2) sprawca osiągnął lub zamierzał osiągnąć korzyść majątkową dla siebie lub innych osób.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3.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Przedsiębiorstwa itp. (osoby prawne) mogą podlegać odpowiedzialności karnej zgodnie z przepisami rozdziału 5 kodeksu karnego.</w:t>
      </w:r>
    </w:p>
    <w:p w:rsidR="00B10085" w:rsidRPr="00186765" w:rsidRDefault="00B10085" w:rsidP="00EC4A7B">
      <w:pPr>
        <w:keepNext/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 24.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O ile pozostałe przepisy prawa nie przewidują wyższej kary, karze grzywny podlega ten, kto narusza następujące przepisy rozporządzenia Komisji (UE) 2018/213 z dnia 12 lutego 2018 r. w sprawie stosowania bisfenolu A w lakierach i powłokach przeznaczonych do kontaktu z żywnością oraz zmieniającego rozporządzenie (UE) nr 10/2011 w odniesieniu do stosowania tej substancji w materiałach z tworzyw sztucznych przeznaczonych do kontaktu z żywnością: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1) Artykuł 2.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2) Artykuł 3.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3) Artykuł 4.</w:t>
      </w:r>
    </w:p>
    <w:p w:rsidR="00B10085" w:rsidRPr="00186765" w:rsidRDefault="00B10085" w:rsidP="00EC4A7B">
      <w:pPr>
        <w:keepNext/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Kara może wzrosnąć do dwóch lat pozbawienia wolności, jeśli naruszenie lub zaniedbanie zostało popełnione umyślnie lub wskutek rażącego zaniedbania i jeśli w wyniku tego naruszenia: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1) doszło do powstania szkody dla zdrowia lub wystąpiło zagrożenie szkodą dla zdrowia, lub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2) sprawca osiągnął lub zamierzał osiągnąć korzyść majątkową dla siebie lub innych osób.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3.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Przedsiębiorstwa itp. (osoby prawne) mogą podlegać odpowiedzialności karnej zgodnie z przepisami rozdziału 5 kodeksu karnego.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b/>
          <w:bCs/>
          <w:rFonts w:ascii="Tahoma" w:hAnsi="Tahoma"/>
        </w:rPr>
        <w:t xml:space="preserve">§ 25.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Niniejsze rozporządzenie wchodzi w życie z dniem 1 lipca 2020 r.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Uchyla się rozporządzenie nr 1248 z dnia 30 października 2018 r. w sprawie materiałów przeznaczonych do kontaktu z żywnością.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i/>
          <w:iCs/>
          <w:rFonts w:ascii="Tahoma" w:hAnsi="Tahoma"/>
        </w:rPr>
        <w:t xml:space="preserve">Ust. 3.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Materiały z papieru i tektury przeznaczone do kontaktu z żywnością, które nie spełniają wymogów § 7, lecz które są zgodne z § 6 ust. 1 i zostaną wprowadzone do obrotu przed dniem 1 lipca 2020 r., mogą pozostać w sprzedaży do wyczerpania zapasów.</w:t>
      </w:r>
    </w:p>
    <w:p w:rsidR="00B10085" w:rsidRPr="00186765" w:rsidRDefault="004B0B9D" w:rsidP="00B10085">
      <w:pPr>
        <w:spacing w:before="200" w:after="20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eastAsia="Times New Roman" w:hAnsi="Tahoma" w:cs="Tahoma"/>
        </w:rPr>
        <w:pict>
          <v:rect id="_x0000_i1025" style="width:337.35pt;height:.75pt" o:hrpct="700" o:hralign="center" o:hrstd="t" o:hrnoshade="t" o:hr="t" fillcolor="#dedede" stroked="f"/>
        </w:pict>
      </w:r>
    </w:p>
    <w:p w:rsidR="00B10085" w:rsidRPr="00186765" w:rsidRDefault="00B10085" w:rsidP="00EC4A7B">
      <w:pPr>
        <w:keepNext/>
        <w:spacing w:before="400" w:after="120" w:line="240" w:lineRule="auto"/>
        <w:jc w:val="right"/>
        <w:rPr>
          <w:b/>
          <w:bCs/>
          <w:color w:val="000000"/>
          <w:sz w:val="24"/>
          <w:szCs w:val="24"/>
          <w:rFonts w:ascii="Tahoma" w:eastAsia="Times New Roman" w:hAnsi="Tahoma" w:cs="Tahoma"/>
        </w:rPr>
      </w:pPr>
      <w:r>
        <w:rPr>
          <w:b/>
          <w:bCs/>
          <w:color w:val="000000"/>
          <w:sz w:val="24"/>
          <w:szCs w:val="24"/>
          <w:rFonts w:ascii="Tahoma" w:hAnsi="Tahoma"/>
        </w:rPr>
        <w:t xml:space="preserve">Załącznik 1</w:t>
      </w:r>
    </w:p>
    <w:p w:rsidR="00B10085" w:rsidRPr="00186765" w:rsidRDefault="00B10085" w:rsidP="00EC4A7B">
      <w:pPr>
        <w:keepNext/>
        <w:spacing w:after="120" w:line="240" w:lineRule="auto"/>
        <w:jc w:val="center"/>
        <w:rPr>
          <w:b/>
          <w:bCs/>
          <w:color w:val="000000"/>
          <w:sz w:val="21"/>
          <w:szCs w:val="21"/>
          <w:rFonts w:ascii="Tahoma" w:eastAsia="Times New Roman" w:hAnsi="Tahoma" w:cs="Tahoma"/>
        </w:rPr>
      </w:pPr>
      <w:r>
        <w:rPr>
          <w:b/>
          <w:bCs/>
          <w:color w:val="000000"/>
          <w:sz w:val="21"/>
          <w:szCs w:val="21"/>
          <w:rFonts w:ascii="Tahoma" w:hAnsi="Tahoma"/>
        </w:rPr>
        <w:t xml:space="preserve">Wykaz substancji dodatkowych, które działają wyłącznie jako biocydy powłokowe i które są przeznaczone do pozostawania w gotowym wyrobie, zob. § 9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0"/>
      </w:tblGrid>
      <w:tr w:rsidR="00B10085" w:rsidRPr="00186765" w:rsidTr="00B10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1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0"/>
              <w:gridCol w:w="489"/>
              <w:gridCol w:w="5561"/>
              <w:gridCol w:w="2240"/>
            </w:tblGrid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EC4A7B">
                  <w:pPr>
                    <w:keepNext/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Nr PM/ref.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EC4A7B">
                  <w:pPr>
                    <w:keepNext/>
                    <w:spacing w:after="0" w:line="240" w:lineRule="auto"/>
                    <w:jc w:val="center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Nr CAS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EC4A7B">
                  <w:pPr>
                    <w:keepNext/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Nazwa chemiczna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EC4A7B">
                  <w:pPr>
                    <w:keepNext/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Ograniczenia i/lub specyfikacje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86432/40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jc w:val="center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Szkło zawierające srebro (srebra-magnezu-glinu-sodu-fosforan-krzemian-boran), zawartość srebra poniżej 0,5 %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SML = 0,05 mg Ag/kg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86432/60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jc w:val="center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Szkło zawierające srebro (fosforan srebra-magnezu-sodu), zawartość srebra poniżej 3 %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SML = 0,05 mg Ag/kg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86434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jc w:val="center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Fosforan srebra sodu wodoru cynku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SML = 0,05 mg Ag/kg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86437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jc w:val="center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Zeolit A srebra (krzemian srebra cynku sodu amonu glinu), zawartość srebra</w:t>
                    <w:br/>
                    <w:t xml:space="preserve">2–5 %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SML = 0,05 mg Ag/kg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86437/50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jc w:val="center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Szkło z fosforanem srebra-cynku-glinu–boru zmieszane z 5–20 % siarczanu baru, zawartość srebra 0,35–0,6 %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SML = 0,05 mg Ag/kg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86438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jc w:val="center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Zeolit A srebra (metafosforan srebra cynku glinu krzemu wapnia), zawartość srebra 1–1,6 %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SML = 0,05 mg Ag/kg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86438/50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jc w:val="center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Zeolit A srebra (fosforan srebra cynku sodu magnezu glinu krzemu wapnia), zawartość srebra 0,34–1,6 %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SML = 0,05 mg Ag/kg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86430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jc w:val="center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20 % (w/w) chlorek sodu, powleczony na 80 % (w/w) tlenku tytanu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SML = 0,05 mg Ag/kg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86432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jc w:val="center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Szkło zawierające srebro (boran-fosforan- srebra-magnezu-wapnia)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SML = 0,05 mg Ag/kg</w:t>
                  </w:r>
                </w:p>
              </w:tc>
            </w:tr>
          </w:tbl>
          <w:p w:rsidR="00B10085" w:rsidRPr="00186765" w:rsidRDefault="00B10085" w:rsidP="00B10085">
            <w:pPr>
              <w:spacing w:before="200" w:after="20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da-DK"/>
              </w:rPr>
            </w:pPr>
          </w:p>
        </w:tc>
      </w:tr>
    </w:tbl>
    <w:p w:rsidR="00B10085" w:rsidRPr="00186765" w:rsidRDefault="004B0B9D" w:rsidP="00B10085">
      <w:pPr>
        <w:spacing w:before="200" w:after="20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eastAsia="Times New Roman" w:hAnsi="Tahoma" w:cs="Tahoma"/>
        </w:rPr>
        <w:pict>
          <v:rect id="_x0000_i1026" style="width:337.35pt;height:.75pt" o:hrpct="700" o:hralign="center" o:hrstd="t" o:hrnoshade="t" o:hr="t" fillcolor="#dedede" stroked="f"/>
        </w:pict>
      </w:r>
    </w:p>
    <w:p w:rsidR="00B10085" w:rsidRPr="00186765" w:rsidRDefault="00B10085" w:rsidP="00EC4A7B">
      <w:pPr>
        <w:keepNext/>
        <w:spacing w:before="400" w:after="120" w:line="240" w:lineRule="auto"/>
        <w:jc w:val="right"/>
        <w:rPr>
          <w:b/>
          <w:bCs/>
          <w:color w:val="000000"/>
          <w:sz w:val="24"/>
          <w:szCs w:val="24"/>
          <w:rFonts w:ascii="Tahoma" w:eastAsia="Times New Roman" w:hAnsi="Tahoma" w:cs="Tahoma"/>
        </w:rPr>
      </w:pPr>
      <w:r>
        <w:rPr>
          <w:b/>
          <w:bCs/>
          <w:color w:val="000000"/>
          <w:sz w:val="24"/>
          <w:szCs w:val="24"/>
          <w:rFonts w:ascii="Tahoma" w:hAnsi="Tahoma"/>
        </w:rPr>
        <w:t xml:space="preserve">Załącznik 2</w:t>
      </w:r>
    </w:p>
    <w:p w:rsidR="00B10085" w:rsidRPr="00186765" w:rsidRDefault="00B10085" w:rsidP="00EC4A7B">
      <w:pPr>
        <w:keepNext/>
        <w:spacing w:after="120" w:line="240" w:lineRule="auto"/>
        <w:jc w:val="center"/>
        <w:rPr>
          <w:b/>
          <w:bCs/>
          <w:color w:val="000000"/>
          <w:sz w:val="21"/>
          <w:szCs w:val="21"/>
          <w:rFonts w:ascii="Tahoma" w:eastAsia="Times New Roman" w:hAnsi="Tahoma" w:cs="Tahoma"/>
        </w:rPr>
      </w:pPr>
      <w:r>
        <w:rPr>
          <w:b/>
          <w:bCs/>
          <w:color w:val="000000"/>
          <w:sz w:val="21"/>
          <w:szCs w:val="21"/>
          <w:rFonts w:ascii="Tahoma" w:hAnsi="Tahoma"/>
        </w:rPr>
        <w:t xml:space="preserve">Kryteria stosowane w odniesieniu do metody określania poziomu chlorku winylu w materiałach przeznaczonych do kontaktu z żywnością oraz określania chlorku winylu uwalnianego z materiałów przeznaczonych do kontaktu z żywnością, zob. § 10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1) Poziom chlorku winylu w materiałach przeznaczonych do kontaktu z żywnością oraz poziom chlorku winylu uwalnianego z materiałów przeznaczonych do kontaktu z żywnością do środków spożywczych określane są metodą chromatografii gazowej, z wykorzystaniem metody „headspace” (analiza fazy gazowej nad roztworem).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2) Do celów określania chlorku winylu uwalnianego z materiałów przeznaczonych do kontaktu z żywnością do środków spożywczych, granica wykrywalności wynosi 0,01 mg/kg.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3) Chlorek winylu uwalniany z materiałów przeznaczonych do kontaktu z żywnością do środków spożywczych jest w zasadzie określany w środkach spożywczych.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W przypadku, gdy określenie w niektórych środkach spożywczych jest z powodów technicznych niemożliwe, państwa członkowskie mogą zezwolić na określenie przy użyciu roztworów modelowych.</w:t>
      </w:r>
    </w:p>
    <w:p w:rsidR="00B10085" w:rsidRPr="00186765" w:rsidRDefault="004B0B9D" w:rsidP="00B10085">
      <w:pPr>
        <w:spacing w:before="200" w:after="20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eastAsia="Times New Roman" w:hAnsi="Tahoma" w:cs="Tahoma"/>
        </w:rPr>
        <w:pict>
          <v:rect id="_x0000_i1027" style="width:337.35pt;height:.75pt" o:hrpct="700" o:hralign="center" o:hrstd="t" o:hrnoshade="t" o:hr="t" fillcolor="#dedede" stroked="f"/>
        </w:pict>
      </w:r>
    </w:p>
    <w:p w:rsidR="00B10085" w:rsidRPr="00186765" w:rsidRDefault="00B10085" w:rsidP="00EC4A7B">
      <w:pPr>
        <w:keepNext/>
        <w:spacing w:before="400" w:after="120" w:line="240" w:lineRule="auto"/>
        <w:jc w:val="right"/>
        <w:rPr>
          <w:b/>
          <w:bCs/>
          <w:color w:val="000000"/>
          <w:sz w:val="24"/>
          <w:szCs w:val="24"/>
          <w:rFonts w:ascii="Tahoma" w:eastAsia="Times New Roman" w:hAnsi="Tahoma" w:cs="Tahoma"/>
        </w:rPr>
      </w:pPr>
      <w:r>
        <w:rPr>
          <w:b/>
          <w:bCs/>
          <w:color w:val="000000"/>
          <w:sz w:val="24"/>
          <w:szCs w:val="24"/>
          <w:rFonts w:ascii="Tahoma" w:hAnsi="Tahoma"/>
        </w:rPr>
        <w:t xml:space="preserve">Załącznik 3</w:t>
      </w:r>
    </w:p>
    <w:p w:rsidR="00B10085" w:rsidRPr="00186765" w:rsidRDefault="00B10085" w:rsidP="00EC4A7B">
      <w:pPr>
        <w:keepNext/>
        <w:spacing w:after="120" w:line="240" w:lineRule="auto"/>
        <w:jc w:val="center"/>
        <w:rPr>
          <w:b/>
          <w:bCs/>
          <w:color w:val="000000"/>
          <w:sz w:val="21"/>
          <w:szCs w:val="21"/>
          <w:rFonts w:ascii="Tahoma" w:eastAsia="Times New Roman" w:hAnsi="Tahoma" w:cs="Tahoma"/>
        </w:rPr>
      </w:pPr>
      <w:r>
        <w:rPr>
          <w:b/>
          <w:bCs/>
          <w:color w:val="000000"/>
          <w:sz w:val="21"/>
          <w:szCs w:val="21"/>
          <w:rFonts w:ascii="Tahoma" w:hAnsi="Tahoma"/>
        </w:rPr>
        <w:t xml:space="preserve">Wykaz substancji dozwolonych do produkcji folii z regenerowanej celulozy, zob. z § 11</w:t>
      </w:r>
    </w:p>
    <w:p w:rsidR="00B10085" w:rsidRPr="00186765" w:rsidRDefault="00B10085" w:rsidP="00EC4A7B">
      <w:pPr>
        <w:keepNext/>
        <w:spacing w:before="240" w:after="0" w:line="240" w:lineRule="auto"/>
        <w:jc w:val="center"/>
        <w:rPr>
          <w:b/>
          <w:bCs/>
          <w:color w:val="000000"/>
          <w:sz w:val="17"/>
          <w:szCs w:val="17"/>
          <w:rFonts w:ascii="Tahoma" w:eastAsia="Times New Roman" w:hAnsi="Tahoma" w:cs="Tahoma"/>
        </w:rPr>
      </w:pPr>
      <w:r>
        <w:rPr>
          <w:b/>
          <w:bCs/>
          <w:color w:val="000000"/>
          <w:sz w:val="17"/>
          <w:szCs w:val="17"/>
          <w:rFonts w:ascii="Tahoma" w:hAnsi="Tahoma"/>
        </w:rPr>
        <w:t xml:space="preserve">Opis folii z regenerowanej celulozy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Folia z regenerowanej celulozy jest to cienki arkusz materiału otrzymany z oczyszczonej celulozy uzyskanej z drewna lub bawełny, uprzednio nieprzetwarzanych.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Zgodnie z wymaganiami technicznymi odpowiednie substancje mogą być dodawane do masy lub na powierzchnię.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Folia z regenerowanej celulozy może być powlekana jedno- lub dwustronnie.</w:t>
      </w:r>
    </w:p>
    <w:p w:rsidR="00B10085" w:rsidRPr="00186765" w:rsidRDefault="00B10085" w:rsidP="00EC4A7B">
      <w:pPr>
        <w:keepNext/>
        <w:spacing w:before="240" w:after="0" w:line="240" w:lineRule="auto"/>
        <w:jc w:val="center"/>
        <w:rPr>
          <w:b/>
          <w:bCs/>
          <w:color w:val="000000"/>
          <w:sz w:val="17"/>
          <w:szCs w:val="17"/>
          <w:rFonts w:ascii="Tahoma" w:eastAsia="Times New Roman" w:hAnsi="Tahoma" w:cs="Tahoma"/>
        </w:rPr>
      </w:pPr>
      <w:r>
        <w:rPr>
          <w:b/>
          <w:bCs/>
          <w:color w:val="000000"/>
          <w:sz w:val="17"/>
          <w:szCs w:val="17"/>
          <w:rFonts w:ascii="Tahoma" w:hAnsi="Tahoma"/>
        </w:rPr>
        <w:t xml:space="preserve">Wykaz substancji dozwolonych do wytwarzania folii z regenerowanej celulozy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– Wartości procentowe podane w części pierwszej i drugiej niniejszego załącznika wyrażone są jako masa/masę (w/w), w przeliczeniu na ilość bezwodnej niepowlekanej folii z regenerowanej celulozy.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– W nawiasach kwadratowych podano zwyczajowe określenia techniczne.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– Używane substancje powinny być dobrej technicznej jakości pod względem kryteriów czystości.</w:t>
      </w:r>
    </w:p>
    <w:p w:rsidR="00B10085" w:rsidRPr="00186765" w:rsidRDefault="00B10085" w:rsidP="00EC4A7B">
      <w:pPr>
        <w:keepNext/>
        <w:spacing w:before="240" w:after="0" w:line="240" w:lineRule="auto"/>
        <w:jc w:val="center"/>
        <w:rPr>
          <w:b/>
          <w:bCs/>
          <w:color w:val="000000"/>
          <w:sz w:val="17"/>
          <w:szCs w:val="17"/>
          <w:rFonts w:ascii="Tahoma" w:eastAsia="Times New Roman" w:hAnsi="Tahoma" w:cs="Tahoma"/>
        </w:rPr>
      </w:pPr>
      <w:r>
        <w:rPr>
          <w:b/>
          <w:bCs/>
          <w:color w:val="000000"/>
          <w:sz w:val="17"/>
          <w:szCs w:val="17"/>
          <w:rFonts w:ascii="Tahoma" w:hAnsi="Tahoma"/>
        </w:rPr>
        <w:t xml:space="preserve">Część 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5"/>
      </w:tblGrid>
      <w:tr w:rsidR="00B10085" w:rsidRPr="00186765" w:rsidTr="00B10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3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"/>
              <w:gridCol w:w="175"/>
              <w:gridCol w:w="92"/>
              <w:gridCol w:w="4425"/>
              <w:gridCol w:w="4559"/>
            </w:tblGrid>
            <w:tr w:rsidR="00B10085" w:rsidRPr="00186765" w:rsidTr="00186765">
              <w:tc>
                <w:tcPr>
                  <w:tcW w:w="0" w:type="auto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b/>
                      <w:bCs/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b/>
                      <w:bCs/>
                      <w:color w:val="000000"/>
                      <w:sz w:val="17"/>
                      <w:szCs w:val="17"/>
                      <w:rFonts w:ascii="Tahoma" w:hAnsi="Tahoma"/>
                    </w:rPr>
                    <w:t xml:space="preserve">Niepowlekana folia z regenerowanej celulozy</w:t>
                  </w:r>
                  <w:r>
                    <w:rPr>
                      <w:b/>
                      <w:bCs/>
                      <w:color w:val="000000"/>
                      <w:sz w:val="17"/>
                      <w:szCs w:val="17"/>
                      <w:rFonts w:ascii="Tahoma" w:hAnsi="Tahoma"/>
                    </w:rPr>
                    <w:t xml:space="preserve"> </w:t>
                  </w:r>
                </w:p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Nazwa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Ograniczenia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A.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Regenerowana celuloza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Nie mniej niż 72 % (w/w)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B.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Substancje dodatkowe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1.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Zmiękczacze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Nie więcej niż 27 % (w/w) łącznie.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Eter bis(hydroksyetylowy) [= glikol dietylenowy]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Tylko do folii, które mają być powlekane i przeznaczone do kontaktu ze środkami spożywczymi niewilgotnymi, to znaczy niezawierającymi wody fizycznie wolnej na ich powierzchni.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Całkowita ilość tych związków obecnych w środkach spożywczych mających kontakt z tego typu folią nie może przekraczać 30mg/kg środka spożywczego.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Etanodiol [= glikol monoetylenowy]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1,3-butanodiol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Glicerol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1,2-Propanodiol [= glikol 1,2-propylenowy]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Poli(tlenek etylenu) [= poliglikol oksyetylenowy]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Średnia masa cząsteczkowa od 250 do 1 200.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Poli(1,2-tlenek propylenu [= poliglikol 1,2-oksypropylenowy]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Średnia masa cząsteczkowa nie większa niż 400 zawartość wolnego propanodiolu-1,3 nie może przekraczać 1 % (w/w) w substancji.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Sorbitol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Glikol tetraetylenowy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Glikol trietylenowy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Mocznik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2.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Inne substancje dodatkowe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Nie więcej niż 1 % (w/w) całkowitej ilości tych substancji w folii.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Grupa pierwsza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Ilość poszczególnych substancji lub rodzajów substancji wymienionych w każdym tiret nie może przekraczać 2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niepowlekanej folii.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Kwas octowy i jego sole NH4, Ca, Mg, K, Na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Kwas askorbinowy i jego sole NH4, Ca, Mg, K, Na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Kwas benzoesowy i benzoesan sodu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Kwas mrówkowy i jego sole NH4, Ca, Mg, K i Na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Liniowe nasycone i nienasycone kwasy tłuszczowe o parzystej liczbie atomów węgla (C</w:t>
                  </w:r>
                  <w:r>
                    <w:rPr>
                      <w:color w:val="000000"/>
                      <w:rFonts w:ascii="Tahoma" w:hAnsi="Tahoma"/>
                    </w:rPr>
                    <w:t xml:space="preserve">8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–C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20), oraz kwas behenowy, kwas rycynolowy i ich sole NH4, Ca, Mg, K, Na, Al, Zn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Kwas cytrynowy, D-(-)-mlekowy, L-(+)-mlekowy, maleinowy, L-(+)-winowy i ich sole Na i K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Kwas sorbowy i jego sole NH4, Ca, Mg, K i Na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Amidy liniowych, nasyconych lub nienasyconych kwasów tłuszczowych o parzystej liczbie atomów węgla (C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8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–C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20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) oraz amidy kwasu behenowego i rycynolowego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Naturalna skrobia jadalna i mąka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Chemicznie zmodyfikowana jadalna skrobia i mąka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Amyloza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Węglany i chlorki wapnia i magnezu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Estry glicerolu z liniowymi, nasyconymi lub nienasyconymi kwasami tłuszczowymi o parzystej liczbie atomów węgla</w:t>
                    <w:br/>
                    <w:t xml:space="preserve">(C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8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–C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20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) i/lub estry z kwasem adypinowym, cytrynowym, 12-hydroksystearynowym (oksystearynowym), rycynolowym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Estry poliglikolu oksyetylenowego (8–14 grup oksyetylenowych) z liniowymi nasyconymi lub nienasyconymi kwasami tłuszczowymi o parzystej liczbie atomów węgla</w:t>
                    <w:br/>
                    <w:t xml:space="preserve">(C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8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–C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20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Estry sorbitolu z liniowymi, nasyconymi lub nienasyconymi kwasami tłuszczowymi o parzystej liczbie atomów węgla</w:t>
                    <w:br/>
                    <w:t xml:space="preserve">(C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8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–C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20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Mono i/lub diestry kwasu stearynowego z etanodiolem i/lub eterem bis (2-hydroksyetylowym) i/lub glikolem trietylenowym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Tlenki i wodorotlenki glinu, wapnia, magnezu i krzemu oraz krzemiany i uwodnione krzemiany glinu, wapnia, magnezu i potasu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Poli(tlenek etylenu) [= poliglikol oksyetylenowy]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Średnia masa cząsteczkowa od 1 200 do 4 000.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Propionian sodu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Grupa druga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Całkowita ilość wszystkich substancji nie może przekraczać 1mg/dm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rFonts w:ascii="Tahoma" w:hAnsi="Tahoma"/>
                    </w:rPr>
                    <w:t xml:space="preserve"> niepowlekanej folii oraz ilość poszczególnych substancji lub rodzajów substancji wymienionych w każdym tiret nie może przekraczać 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0,2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niepowlekanej folii (lub niższego limitu, jeśli został podany).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Sól sodowa kwasu alkilo (C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8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–C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18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) benzenosulfonowego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Sól sodowa kwasu izopropylonaftalenosulfonowego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Sól sodowa kwasu alkilo (C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8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–C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18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)siarkowego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Sól sodowa kwasu alkilo (C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8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–C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18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)sulfonowego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Dioktylosulfobursztynian sodu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Distearynian monooctanu dihydroksyetylodietylenotriaminy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Nie więcej niż 0,05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niepowlekanej folii.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Laurylosiarczany amonu, magnezu i potasu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N′N-Distearoilodiaminoetan, N,N – dipalmitoilodiaminoetan i N,N′– dioleoilodiaminoetan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2-Heptadecylo – 4,4-bis(metyleno-stearyniano) oksazolina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Etylosiarczan polietyleno-aminostearamidu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Nie więcej niż 0,1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niepowlekanej folii.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Grupa trzecia – Promotor przyczepności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Całkowita ilość wszystkich substancji nie może przekraczać 1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niepowlekanej folii.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Produkt kondensacji melaminy z formaldehydem, niemodyfikowany lub zmodyfikowany jedną lub kilkoma z następujących substancji: butanol, dietylenotriamina, etanol, trietylenoamina, tetraetylenopentaamina, tris-(2-hydroksyetylo) amina, 3,3'-diaminodipropyloamina, 4,4′-diaminodibutyloamina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Zawartość wolnego formaldehydu nie większa niż 0,5 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rFonts w:ascii="Tahoma" w:hAnsi="Tahoma"/>
                    </w:rPr>
                    <w:t xml:space="preserve"> 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niepowlekanej folii. Zawartość wolnej melaminy nie większa niż 0,3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niepowlekanej folii.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Produkt kondensacji melaminy z mocznikiem i formaldehydem zmodyfikowany tris-(2-hydroksyetylo)aminą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Zawartość wolnego formaldehydu nie większa niż 0,5 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niepowlekanej folii.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Zawartość wolnej melaminy nie większa niż 0,3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niepowlekanej folii.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Usieciowane kationowe aminy polialkilenowe</w:t>
                  </w:r>
                </w:p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a) żywica poliamidowo-epichlorohydrynowa na bazie diaminopropylometyloaminy i epichlorohydryny;</w:t>
                  </w:r>
                </w:p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b) żywica poliamidowo-epichlorohydrynowa na bazie epichlorohydryny, kwasu adypinowego, kaprolaktamu dietylenotriaminy i/lub etylenodiaminy;</w:t>
                  </w:r>
                </w:p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c) żywica poliamido-epichlorohydrynowa na bazie kwasu adypinowego, dietylenotriaminy i epichlorohydryny lub mieszaniny epichlorohydryny i amoniaku;</w:t>
                  </w:r>
                </w:p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d) żywica poliamidowo-poliaminowo-epichlorohydrynowa na bazie epichlorohydryny, dimetyloadypinianu, i dietylenotriaminy;</w:t>
                  </w:r>
                </w:p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e) żywica poliamidowo-poliaminowo-epichlorohydrynowa na bazie epichlorohydryny, amidu kwasu adypinowego i diaminopropylometyloaminy.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Polietylenoaminy i polietylenoiminy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Nie więcej niż 0,75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niepowlekanej folii.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Produkt kondensacji mocznika z formaldehydem lub który można zmodyfikować jedną lub kilkoma z poniższych substancji:</w:t>
                  </w:r>
                </w:p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kwas aminometylosulfonowy, kwas sulfanilowy, butanol, diaminobutan, diaminodietyloamina, diaminodipropylamina, diaminopropan, dietylenotriamina, etanol, guanidyna, metanol, tetraetylenopentamina, trietylenotetramina, siarczyn sodu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Zawartość wolnego formaldehydu nie większa niż 0,5 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niepowlekanej folii.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Grupa czwarta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Całkowita ilość wszystkich substancji nie może przekraczać 0,01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niepowlekanej folii.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Produkty reakcji amin olejów jadalnych i politlenku etylenu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Siarczan laurylo-monoetanoloaminowy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</w:tbl>
          <w:p w:rsidR="00B10085" w:rsidRPr="00186765" w:rsidRDefault="00B10085" w:rsidP="00B10085">
            <w:pPr>
              <w:spacing w:before="200" w:after="20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da-DK"/>
              </w:rPr>
            </w:pPr>
          </w:p>
        </w:tc>
      </w:tr>
    </w:tbl>
    <w:p w:rsidR="00B10085" w:rsidRPr="00186765" w:rsidRDefault="00B10085" w:rsidP="00B10085">
      <w:pPr>
        <w:keepNext/>
        <w:spacing w:before="240" w:after="0" w:line="240" w:lineRule="auto"/>
        <w:jc w:val="center"/>
        <w:rPr>
          <w:b/>
          <w:bCs/>
          <w:color w:val="000000"/>
          <w:sz w:val="17"/>
          <w:szCs w:val="17"/>
          <w:rFonts w:ascii="Tahoma" w:eastAsia="Times New Roman" w:hAnsi="Tahoma" w:cs="Tahoma"/>
        </w:rPr>
      </w:pPr>
      <w:r>
        <w:rPr>
          <w:b/>
          <w:bCs/>
          <w:color w:val="000000"/>
          <w:sz w:val="17"/>
          <w:szCs w:val="17"/>
          <w:rFonts w:ascii="Tahoma" w:hAnsi="Tahoma"/>
        </w:rPr>
        <w:t xml:space="preserve">Część B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0"/>
      </w:tblGrid>
      <w:tr w:rsidR="00B10085" w:rsidRPr="00186765" w:rsidTr="00B10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79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"/>
              <w:gridCol w:w="36"/>
              <w:gridCol w:w="92"/>
              <w:gridCol w:w="4381"/>
              <w:gridCol w:w="3287"/>
            </w:tblGrid>
            <w:tr w:rsidR="00B10085" w:rsidRPr="00186765" w:rsidTr="00186765">
              <w:tc>
                <w:tcPr>
                  <w:tcW w:w="0" w:type="auto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b/>
                      <w:bCs/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b/>
                      <w:bCs/>
                      <w:color w:val="000000"/>
                      <w:sz w:val="17"/>
                      <w:szCs w:val="17"/>
                      <w:rFonts w:ascii="Tahoma" w:hAnsi="Tahoma"/>
                    </w:rPr>
                    <w:t xml:space="preserve">Powlekana folia z regenerowanej celulozy</w:t>
                  </w:r>
                  <w:r>
                    <w:rPr>
                      <w:b/>
                      <w:bCs/>
                      <w:color w:val="000000"/>
                      <w:sz w:val="17"/>
                      <w:szCs w:val="17"/>
                      <w:rFonts w:ascii="Tahoma" w:hAnsi="Tahoma"/>
                    </w:rPr>
                    <w:t xml:space="preserve"> </w:t>
                  </w:r>
                </w:p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Nazwa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Ograniczenia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A.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Regenerowana celuloza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Patrz: część A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B.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Substancje dodatkowe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Patrz: część A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C.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Powłoka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1.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Polimery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Całkowita ilość wszystkich substancji nie może przekraczać 50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warstwy powlekającej na stronie mającej kontakt ze środkami spożywczymi.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Etylowe, hydroksyetylowe, hydroksypropylowe i metylowe etery celulozy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Azotan celulozy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Nie więcej niż 20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 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warstwy powlekającej na stronie mającej kontakt ze środkami spożywczymi; zawartość azotu w azotanie celulozy od 10,8 % (w/w) do 12,2 % (w/w).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2.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Żywice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Całkowita ilość substancji nie może przekraczać 12,5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warstwy powlekającej na stronie mającej kontakt ze środkami spożywczymi; wyłącznie do produkcji folii z regenerowanej celulozy z powłokami na bazie azotanu celulozy.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Kazeina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Kalafonia i/lub jej produkty polimeryzacji, uwodornienia lub dysproporcjacji oraz ich estry z metanolem, etanolem lub wielowodorotlenowymi alkoholami (C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–C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6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) lub mieszaninami tych alkoholi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Kalafonia i/lub produkty jej polimeryzacji, uwodornienia lub dysproporcjacji skondensowane z kwasami akrylowym, maleinowym, cytrynowym, fumarowym i/lub kwasem ftalowym i/lub 2,2 bis (4-hydroksyfenylo) propanoformaldehydem i które estryfikowano metanolem, etanolem lub polihydroksylowymi alkoholami (C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–C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6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) lub mieszaninami tych alkoholi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Estry pochodnych eteru bis (2-hydroksyetylowego) produktów addycji β-pinenenu i/lub diterpenu z bezwodnikiem maleinowym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Żelatyna spożywcza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Olej rycynowy i produkty jego odwodnienia lub uwodornione oraz produkty ich kondensacji z poliglicerolem lub kwasami adypinowym, cytrynowym, maleinowym, ftalowym i sebacynowym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Żywica naturalna [= damara]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Poli-β-pinen [= żywice terpenowe]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Żywice mocznikowo-formaldehydowe (patrz promotory przyczepności)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3.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Zmiękczacze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Całkowita ilość wszystkich substancji nie może przekraczać 6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warstwy powlekającej na stronie mającej kontakt ze środkami spożywczymi.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Cytrynian acetylotributylu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Cytrynian acetylotris(2-etyloheksylu)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Adypinian diizobutylu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Adypinian di-n-butylu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Adypinian di-n-heksylu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Ftalan dicykloheksylu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Nie więcej niż 4,0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warstwy powlekającej na stronie mającej kontakt ze środkami spożywczymi.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Fosforan difenylu-2-etyloheksylu (synonim: ester difenylo-2-etyloheksylo kwasu fosforowego)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Zawartość fosforanu difenylu-2-etyloheksylu nie przekracza: a) 2,4 mg/kg środka spożywczego mającego kontakt z tym rodzajem folii; lub b) 0,4 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warstwy powlekającej na stronie mającej kontakt ze środkami spożywczymi.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Monooctan glicerolu [= acetyna]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Dioctan glicerolu [= diacetyna]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Trioctan glicerolu [= triacetyna]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Sebacynian dibutylu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Winian di-n-butylu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Winian diizobutylu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4.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Inne substancje dodatkowe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Całkowita ilość wszystkich substancji nie może przekraczać 6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w niepowlekanej folii z regenerowanej celulozy, włączając warstwę powlekającą na stronie mającej kontakt ze środkami spożywczymi.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4.1.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Substancje dodatkowe wymienione w części pierwszej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Ograniczenia takie jak w części 1 (jednakże ilość wyrażona w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odnosi się do niepowlekanej folii z regenerowanej celulozy, jak i warstwy powlekającej na stronie mającej kontakt ze środkami spożywczymi).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4.2.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Szczególne substancje dodatkowe do powłoki: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Ilość jednej substancji lub rodzaju substancji wymienionych w każdym tiret nie może przekraczać 2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warstwy powlekającej na stronie mającej kontakt ze środkami spożywczymi (lub niższego limitu, jeśli jest podany).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1-heksadekanol i 1-oktadekanol [alkohol stearynowy]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Estry liniowych, nasyconych lub nienasyconych kwasów tłuszczowych o parzystej liczbie atomów węgla (C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8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–C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20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) oraz kwasu rycynolowego z etanolem i liniowymi alkoholami butylowym, amylowym i oleilowym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Woski montanowe, obejmujące oczyszczone kwasy montanowe (C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26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–C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32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) i/lub ich estry z etanodiolem i/lub 1,3-butanodiolem i/lub sole wapniowe i potasowe tych kwasów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Wosk karnauba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Wosk pszczeli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Wosk esparto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Wosk kandelilla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Polidimetylosiloksan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Nie więcej niż 1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warstwy powlekającej na stronie mającej kontakt ze środkami spożywczymi.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Epoksydowany olej sojowy (zawartość tlenku etylenu od 6 do 8 %)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Rafinowana parafina i woski mikrokrystaliczne (mikrowosk)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Tetrastearynian pentaerytrytolu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Fosforany mono i bis (tlenku oktadecylodietylenu)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Nie więcej niż 0,2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warstwy powlekającej na stronie mającej kontakt ze środkami spożywczymi.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Estry kwasów alifatycznych (C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8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–C</w:t>
                  </w:r>
                  <w:r>
                    <w:rPr>
                      <w:color w:val="000000"/>
                      <w:sz w:val="12"/>
                      <w:szCs w:val="12"/>
                      <w:vertAlign w:val="subscript"/>
                      <w:rFonts w:ascii="Tahoma" w:hAnsi="Tahoma"/>
                    </w:rPr>
                    <w:t xml:space="preserve">20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) z mono lub bis-(2-hydroksyetylo)aminą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2- i 3-tert.-Butylo-4-hydroksyanizol [= butylohydroksyanizol – BHA]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Nie więcej niż 0,06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warstwy powlekającej na stronie mającej kontakt ze środkami spożywczymi.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2,6-di-tert.-Butylo-4-metylofenol [= butylohydroksytoluen – BHT]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Nie więcej niż 0,06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warstwy powlekającej na stronie mającej kontakt ze środkami spożywczymi.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Di-n-oktylo-bis (2-etyloheksylo)maleinian cyny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Nie więcej niż 0,06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warstwy powlekającej na stronie mającej kontakt ze środkami spożywczymi.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5.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Rozpuszczalniki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Całkowita ilość wszystkich substancji nie może przekraczać 0,6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warstwy powlekającej na stronie mającej kontakt ze środkami spożywczymi.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Octan butylu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Octan etylu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Octan izobutylu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Octan izopropylu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Octan propylu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Aceton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1-Butanol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Etanol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2-Butanol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2-Propanol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1-Propanol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Cykloheksan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Eter monobutylowy glikolu etylenowego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Octan eteru monobutylowego glikolu etylenowego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Keton etylowo-metylowy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Keton izobutylowo-metylowy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Tetrahydrofuran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  <w:lang w:eastAsia="da-DK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-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Toluen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Nie więcej niż 0,06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warstwy powlekającej na stronie mającej kontakt ze środkami spożywczymi.</w:t>
                  </w:r>
                </w:p>
              </w:tc>
            </w:tr>
          </w:tbl>
          <w:p w:rsidR="00B10085" w:rsidRPr="00186765" w:rsidRDefault="00B10085" w:rsidP="00B10085">
            <w:pPr>
              <w:spacing w:before="200" w:after="20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da-DK"/>
              </w:rPr>
            </w:pPr>
          </w:p>
        </w:tc>
      </w:tr>
    </w:tbl>
    <w:p w:rsidR="00B10085" w:rsidRPr="00186765" w:rsidRDefault="004B0B9D" w:rsidP="00B10085">
      <w:pPr>
        <w:spacing w:before="200" w:after="20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eastAsia="Times New Roman" w:hAnsi="Tahoma" w:cs="Tahoma"/>
        </w:rPr>
        <w:lastRenderedPageBreak/>
        <w:pict>
          <v:rect id="_x0000_i1028" style="width:337.35pt;height:.75pt" o:hrpct="700" o:hralign="center" o:hrstd="t" o:hrnoshade="t" o:hr="t" fillcolor="#dedede" stroked="f"/>
        </w:pict>
      </w:r>
    </w:p>
    <w:p w:rsidR="00B10085" w:rsidRPr="00186765" w:rsidRDefault="00B10085" w:rsidP="00B10085">
      <w:pPr>
        <w:spacing w:before="400" w:after="120" w:line="240" w:lineRule="auto"/>
        <w:jc w:val="right"/>
        <w:rPr>
          <w:b/>
          <w:bCs/>
          <w:color w:val="000000"/>
          <w:sz w:val="24"/>
          <w:szCs w:val="24"/>
          <w:rFonts w:ascii="Tahoma" w:eastAsia="Times New Roman" w:hAnsi="Tahoma" w:cs="Tahoma"/>
        </w:rPr>
      </w:pPr>
      <w:r>
        <w:rPr>
          <w:b/>
          <w:bCs/>
          <w:color w:val="000000"/>
          <w:sz w:val="24"/>
          <w:szCs w:val="24"/>
          <w:rFonts w:ascii="Tahoma" w:hAnsi="Tahoma"/>
        </w:rPr>
        <w:t xml:space="preserve">Załącznik 4</w:t>
      </w:r>
    </w:p>
    <w:p w:rsidR="00B10085" w:rsidRPr="00186765" w:rsidRDefault="00B10085" w:rsidP="00B10085">
      <w:pPr>
        <w:spacing w:after="120" w:line="240" w:lineRule="auto"/>
        <w:jc w:val="center"/>
        <w:rPr>
          <w:b/>
          <w:bCs/>
          <w:color w:val="000000"/>
          <w:sz w:val="21"/>
          <w:szCs w:val="21"/>
          <w:rFonts w:ascii="Tahoma" w:eastAsia="Times New Roman" w:hAnsi="Tahoma" w:cs="Tahoma"/>
        </w:rPr>
      </w:pPr>
      <w:r>
        <w:rPr>
          <w:b/>
          <w:bCs/>
          <w:color w:val="000000"/>
          <w:sz w:val="21"/>
          <w:szCs w:val="21"/>
          <w:rFonts w:ascii="Tahoma" w:hAnsi="Tahoma"/>
        </w:rPr>
        <w:t xml:space="preserve">Dopuszczalne poziomy migracji ołowiu i kadmu z wyrobów ceramicznych, emaliowanych i szklanych, zob. § 14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5"/>
      </w:tblGrid>
      <w:tr w:rsidR="00B10085" w:rsidRPr="00186765" w:rsidTr="00B10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79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"/>
              <w:gridCol w:w="6235"/>
              <w:gridCol w:w="765"/>
              <w:gridCol w:w="872"/>
            </w:tblGrid>
            <w:tr w:rsidR="00B10085" w:rsidRPr="00186765" w:rsidTr="00186765"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Wyrób</w:t>
                  </w:r>
                  <w:hyperlink r:id="rId23" w:anchor="id835caacb-4119-4178-ba06-3950f67510a3" w:history="1">
                    <w:r>
                      <w:rPr>
                        <w:color w:val="000000"/>
                        <w:sz w:val="14"/>
                        <w:szCs w:val="14"/>
                        <w:u w:val="single"/>
                        <w:vertAlign w:val="superscript"/>
                        <w:rFonts w:ascii="Tahoma" w:hAnsi="Tahoma"/>
                      </w:rPr>
                      <w:t xml:space="preserve">1)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Ołów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Kadm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Kategoria I: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0,8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0,07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Wyroby, które nie mogą być napełnione.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0,8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0,07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Wyroby, które mogą być napełnione, których wewnętrzna głębokość mierzona od najniższego punktu do płaszczyzny poziomej przechodzącej przez górny brzeg nie przekracza 25 mm (naczynia płaskie).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0,8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0,07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Wyroby przeznaczone do picia (migracja z obrzeża wyrobu).</w:t>
                  </w:r>
                  <w:hyperlink r:id="rId24" w:anchor="id282a03e6-f261-49db-ba66-b8afd0975492" w:history="1">
                    <w:r>
                      <w:rPr>
                        <w:color w:val="000000"/>
                        <w:sz w:val="14"/>
                        <w:szCs w:val="14"/>
                        <w:u w:val="single"/>
                        <w:vertAlign w:val="superscript"/>
                        <w:rFonts w:ascii="Tahoma" w:hAnsi="Tahoma"/>
                      </w:rPr>
                      <w:t xml:space="preserve">2)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0,8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0,07 mg/dm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Kategoria 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: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4,0 mg/l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0,3 mg/l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Wyroby, które mogą być napełniane, inne niż naczynia płaskie (Kategoria I, pkt 2).</w:t>
                  </w: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 </w:t>
                  </w:r>
                  <w:r>
                    <w:rPr>
                      <w:color w:val="000000"/>
                      <w:sz w:val="12"/>
                      <w:szCs w:val="12"/>
                      <w:vertAlign w:val="superscript"/>
                      <w:rFonts w:ascii="Tahoma" w:hAnsi="Tahoma"/>
                    </w:rPr>
                    <w:t xml:space="preserve">2)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4,0 mg/l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0,3 mg/l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Kategoria III: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1,5 mg/l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0,1 mg/l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Naczynia do gotowania i pieczenia.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1,5 mg/l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0,1 mg/l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Opakowania i naczynia do przechowywania posiadające objętość większą niż 3 litry.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1,5 mg/l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szCs w:val="17"/>
                      <w:rFonts w:ascii="Tahoma" w:hAnsi="Tahoma"/>
                    </w:rPr>
                    <w:t xml:space="preserve">0,1 mg/l</w:t>
                  </w:r>
                </w:p>
              </w:tc>
            </w:tr>
          </w:tbl>
          <w:p w:rsidR="00B10085" w:rsidRPr="00186765" w:rsidRDefault="00B10085" w:rsidP="00B10085">
            <w:pPr>
              <w:spacing w:before="200" w:after="20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da-DK"/>
              </w:rPr>
            </w:pPr>
          </w:p>
        </w:tc>
      </w:tr>
    </w:tbl>
    <w:p w:rsidR="00B10085" w:rsidRPr="00186765" w:rsidRDefault="00B10085" w:rsidP="00B10085">
      <w:pPr>
        <w:spacing w:before="40" w:after="40" w:line="240" w:lineRule="auto"/>
        <w:rPr>
          <w:color w:val="000000"/>
          <w:sz w:val="14"/>
          <w:szCs w:val="14"/>
          <w:rFonts w:ascii="Tahoma" w:eastAsia="Times New Roman" w:hAnsi="Tahoma" w:cs="Tahoma"/>
        </w:rPr>
      </w:pPr>
      <w:r>
        <w:rPr>
          <w:color w:val="000000"/>
          <w:sz w:val="14"/>
          <w:szCs w:val="14"/>
          <w:rFonts w:ascii="Tahoma" w:hAnsi="Tahoma"/>
        </w:rPr>
        <w:t xml:space="preserve">1) W przypadku, kiedy wyrób ceramiczny stanowi naczynie zamykane pokrywą, samo naczynie oraz powierzchnia wewnętrzna pokrywy badane są oddzielnie w takich samych warunkach.</w:t>
      </w:r>
      <w:r>
        <w:rPr>
          <w:color w:val="000000"/>
          <w:sz w:val="14"/>
          <w:szCs w:val="14"/>
          <w:rFonts w:ascii="Tahoma" w:hAnsi="Tahoma"/>
        </w:rPr>
        <w:t xml:space="preserve"> </w:t>
      </w:r>
      <w:r>
        <w:rPr>
          <w:color w:val="000000"/>
          <w:sz w:val="14"/>
          <w:szCs w:val="14"/>
          <w:rFonts w:ascii="Tahoma" w:hAnsi="Tahoma"/>
        </w:rPr>
        <w:t xml:space="preserve">Suma podanych ilości ołowiu lub kadmu (mg) zostaje odniesiona odpowiednio do objętości samego naczynia (1) (lub powierzchni (dm2) w przypadku wyrobów z kategorii</w:t>
      </w:r>
      <w:r>
        <w:rPr>
          <w:color w:val="000000"/>
          <w:sz w:val="14"/>
          <w:szCs w:val="14"/>
          <w:rFonts w:ascii="Tahoma" w:hAnsi="Tahoma"/>
        </w:rPr>
        <w:t xml:space="preserve"> </w:t>
      </w:r>
      <w:r>
        <w:rPr>
          <w:color w:val="000000"/>
          <w:sz w:val="14"/>
          <w:szCs w:val="14"/>
          <w:rFonts w:ascii="Tahoma" w:hAnsi="Tahoma"/>
        </w:rPr>
        <w:t xml:space="preserve">I).</w:t>
      </w:r>
    </w:p>
    <w:p w:rsidR="00B10085" w:rsidRPr="00186765" w:rsidRDefault="00B10085" w:rsidP="00B10085">
      <w:pPr>
        <w:spacing w:before="40" w:after="40" w:line="240" w:lineRule="auto"/>
        <w:rPr>
          <w:color w:val="000000"/>
          <w:sz w:val="14"/>
          <w:szCs w:val="14"/>
          <w:rFonts w:ascii="Tahoma" w:eastAsia="Times New Roman" w:hAnsi="Tahoma" w:cs="Tahoma"/>
        </w:rPr>
      </w:pPr>
      <w:r>
        <w:rPr>
          <w:color w:val="000000"/>
          <w:sz w:val="14"/>
          <w:szCs w:val="14"/>
          <w:rFonts w:ascii="Tahoma" w:hAnsi="Tahoma"/>
        </w:rPr>
        <w:t xml:space="preserve">2) Kubki i podobne naczynia do picia muszą spełniać wymagania określone dla wyrobów kategorii</w:t>
      </w:r>
      <w:r>
        <w:rPr>
          <w:color w:val="000000"/>
          <w:sz w:val="14"/>
          <w:szCs w:val="14"/>
          <w:rFonts w:ascii="Tahoma" w:hAnsi="Tahoma"/>
        </w:rPr>
        <w:t xml:space="preserve"> </w:t>
      </w:r>
      <w:r>
        <w:rPr>
          <w:color w:val="000000"/>
          <w:sz w:val="14"/>
          <w:szCs w:val="14"/>
          <w:rFonts w:ascii="Tahoma" w:hAnsi="Tahoma"/>
        </w:rPr>
        <w:t xml:space="preserve">I dla poziomów migracji z obrzeża wyrobu i wymagania kategorii</w:t>
      </w:r>
      <w:r>
        <w:rPr>
          <w:color w:val="000000"/>
          <w:sz w:val="14"/>
          <w:szCs w:val="14"/>
          <w:rFonts w:ascii="Tahoma" w:hAnsi="Tahoma"/>
        </w:rPr>
        <w:t xml:space="preserve"> </w:t>
      </w:r>
      <w:r>
        <w:rPr>
          <w:color w:val="000000"/>
          <w:sz w:val="14"/>
          <w:szCs w:val="14"/>
          <w:rFonts w:ascii="Tahoma" w:hAnsi="Tahoma"/>
        </w:rPr>
        <w:t xml:space="preserve">II.</w:t>
      </w:r>
    </w:p>
    <w:p w:rsidR="00B10085" w:rsidRPr="00186765" w:rsidRDefault="004B0B9D" w:rsidP="00B10085">
      <w:pPr>
        <w:spacing w:before="200" w:after="20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eastAsia="Times New Roman" w:hAnsi="Tahoma" w:cs="Tahoma"/>
        </w:rPr>
        <w:pict>
          <v:rect id="_x0000_i1029" style="width:337.35pt;height:.75pt" o:hrpct="700" o:hralign="center" o:hrstd="t" o:hrnoshade="t" o:hr="t" fillcolor="#dedede" stroked="f"/>
        </w:pict>
      </w:r>
    </w:p>
    <w:p w:rsidR="00B10085" w:rsidRPr="00186765" w:rsidRDefault="00B10085" w:rsidP="009D2EDC">
      <w:pPr>
        <w:keepNext/>
        <w:spacing w:before="400" w:after="120" w:line="240" w:lineRule="auto"/>
        <w:jc w:val="right"/>
        <w:rPr>
          <w:b/>
          <w:bCs/>
          <w:color w:val="000000"/>
          <w:sz w:val="24"/>
          <w:szCs w:val="24"/>
          <w:rFonts w:ascii="Tahoma" w:eastAsia="Times New Roman" w:hAnsi="Tahoma" w:cs="Tahoma"/>
        </w:rPr>
      </w:pPr>
      <w:r>
        <w:rPr>
          <w:b/>
          <w:bCs/>
          <w:color w:val="000000"/>
          <w:sz w:val="24"/>
          <w:szCs w:val="24"/>
          <w:rFonts w:ascii="Tahoma" w:hAnsi="Tahoma"/>
        </w:rPr>
        <w:t xml:space="preserve">Załącznik 5</w:t>
      </w:r>
    </w:p>
    <w:p w:rsidR="00B10085" w:rsidRPr="00186765" w:rsidRDefault="00B10085" w:rsidP="009D2EDC">
      <w:pPr>
        <w:keepNext/>
        <w:spacing w:after="120" w:line="240" w:lineRule="auto"/>
        <w:jc w:val="center"/>
        <w:rPr>
          <w:b/>
          <w:bCs/>
          <w:color w:val="000000"/>
          <w:sz w:val="21"/>
          <w:szCs w:val="21"/>
          <w:rFonts w:ascii="Tahoma" w:eastAsia="Times New Roman" w:hAnsi="Tahoma" w:cs="Tahoma"/>
        </w:rPr>
      </w:pPr>
      <w:r>
        <w:rPr>
          <w:b/>
          <w:bCs/>
          <w:color w:val="000000"/>
          <w:sz w:val="21"/>
          <w:szCs w:val="21"/>
          <w:rFonts w:ascii="Tahoma" w:hAnsi="Tahoma"/>
        </w:rPr>
        <w:t xml:space="preserve">Wymagania dotyczące dokumentacji dla przedsiębiorstw, które wprowadzają do obrotu materiały przeznaczone do kontaktu z żywnością, zob. z § 15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Wymagania dotyczące dokumentacji odnoszą się do wszystkich materiałów przeznaczonych do kontaktu z żywnością, które są wprowadzane do obrotu na etapie wcześniejszym niż sprzedaż detaliczna.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Z zastrzeżeniem pkt 4 dotyczącego wyrobów ceramicznych.</w:t>
      </w:r>
    </w:p>
    <w:p w:rsidR="00B10085" w:rsidRPr="00186765" w:rsidRDefault="00B10085" w:rsidP="00B10085">
      <w:pPr>
        <w:keepNext/>
        <w:spacing w:before="240" w:after="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b/>
          <w:bCs/>
          <w:color w:val="000000"/>
          <w:sz w:val="17"/>
          <w:szCs w:val="17"/>
          <w:rFonts w:ascii="Tahoma" w:hAnsi="Tahoma"/>
        </w:rPr>
        <w:t xml:space="preserve">1) Tworzywa sztuczne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Na etapach wprowadzania do obrotu innych niż sprzedaż detaliczna do materiałów przeznaczonych do kontaktu z żywnością załącza się deklarację zgodności zgodnie z art. 15 rozporządzenia (UE) nr 10/2011 w sprawie materiałów i wyrobów z tworzyw sztucznych przeznaczonych do kontaktu z żywnością.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Podmiot działający na rynku udostępnia odpowiednią dokumentację uzupełniającą w celu wykazania, że materiały i wyroby oraz substancje przeznaczone do wytwarzania tych materiałów i wyrobów są zgodne z wymogami rozporządzenia (UE) nr 10/2011 w sprawie materiałów i wyrobów z tworzyw sztucznych przeznaczonych do kontaktu z żywnością, zob. art. 16 rozporządzenia.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Dokumentację uzupełniającą udostępnia się na wniosek właściwych organów.</w:t>
      </w:r>
    </w:p>
    <w:p w:rsidR="00B10085" w:rsidRPr="00186765" w:rsidRDefault="00B10085" w:rsidP="00B10085">
      <w:pPr>
        <w:keepNext/>
        <w:spacing w:before="240" w:after="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b/>
          <w:bCs/>
          <w:color w:val="000000"/>
          <w:sz w:val="17"/>
          <w:szCs w:val="17"/>
          <w:rFonts w:ascii="Tahoma" w:hAnsi="Tahoma"/>
        </w:rPr>
        <w:t xml:space="preserve">2) Tworzywa sztuczne pochodzące z recyklingu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Dodatkowe wymogi dla deklaracji zgodności zostały określone w art. 12 rozporządzenia Komisji (WE) nr 282/2008 z dnia 27 marca 2008 r. w sprawie materiałów i wyrobów z tworzyw sztucznych pochodzących z recyklingu przeznaczonych do kontaktu z żywnością oraz zmieniającego rozporządzenie (WE) nr 2023/2006.</w:t>
      </w:r>
    </w:p>
    <w:p w:rsidR="00B10085" w:rsidRPr="00186765" w:rsidRDefault="00B10085" w:rsidP="00B10085">
      <w:pPr>
        <w:keepNext/>
        <w:spacing w:before="240" w:after="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b/>
          <w:bCs/>
          <w:color w:val="000000"/>
          <w:sz w:val="17"/>
          <w:szCs w:val="17"/>
          <w:rFonts w:ascii="Tahoma" w:hAnsi="Tahoma"/>
        </w:rPr>
        <w:t xml:space="preserve">3) Aktywne i inteligentne materiały przeznaczonych do kontaktu z żywnością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Wymogi dla deklaracji zgodności i dokumentacji uzupełniającej zostały określone w art. 12 i art. 13 rozporządzenia Komisji (WE) nr 450/2009 z dnia 29 maja 2009 r. w sprawie w sprawie aktywnych i inteligentnych materiałów i wyrobów przeznaczonych do kontaktu z żywnością.</w:t>
      </w:r>
    </w:p>
    <w:p w:rsidR="00B10085" w:rsidRPr="00186765" w:rsidRDefault="00B10085" w:rsidP="00B10085">
      <w:pPr>
        <w:keepNext/>
        <w:spacing w:before="240" w:after="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b/>
          <w:bCs/>
          <w:color w:val="000000"/>
          <w:sz w:val="17"/>
          <w:szCs w:val="17"/>
          <w:rFonts w:ascii="Tahoma" w:hAnsi="Tahoma"/>
        </w:rPr>
        <w:t xml:space="preserve">4) Wyroby ceramiczne</w:t>
      </w:r>
    </w:p>
    <w:p w:rsidR="00B10085" w:rsidRPr="00186765" w:rsidRDefault="00B10085" w:rsidP="009D2EDC">
      <w:pPr>
        <w:keepNext/>
        <w:spacing w:before="200" w:after="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Na etapach wprowadzania do obrotu, z uwzględnieniem etapu sprzedaży detalicznej, do wyrobów ceramicznych niemających jeszcze kontaktu ze środkami spożywczymi załącza się pisemną deklarację zgodnie z art. 16 rozporządzenia (WE) nr 1935/2004 Parlamentu Europejskiego i Rady.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Pisemna deklaracja umożliwia łatwe ustalenie tożsamości towarów, dla których została wydana, oraz jest odnawiana, kiedy znaczne zmiany w produkcji spowodują zmiany w migracji ołowiu i kadmu.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Deklaracja ta jest wystawiana przez producenta lub przez sprzedawcę mającego siedzibę na terenie Wspólnoty.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Pisemna deklaracja zawiera następujące informacje: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a) tożsamość i adres firmy, która produkuje ostateczny wyrób ceramiczny, oraz tożsamość i adres importera, który wwozi go do Wspólnoty;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b) tożsamość wyrobu ceramicznego;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c) datę wydania deklaracji;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d) potwierdzenie, że wyrób ceramiczny spełnia właściwe wymogi niniejszego rozporządzenia oraz rozporządzenia (WE) nr 1935/2004.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Producenci i importerzy wyrobów ceramicznych zapewniają ponadto na żądanie odpowiednią dokumentację uzupełniającą, wykazującą, że wyroby ceramiczne są zgodne z limitami ilości uwalnianego ołowiu i kadmu, i udostępniają ją organom kontroli.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Dokumentacja ta zawiera wyniki przeprowadzonych analiz, warunki badania oraz nazwę i adres laboratorium, w którym zostało przeprowadzone badanie.</w:t>
      </w:r>
    </w:p>
    <w:p w:rsidR="00B10085" w:rsidRPr="00186765" w:rsidRDefault="00B10085" w:rsidP="00B10085">
      <w:pPr>
        <w:keepNext/>
        <w:spacing w:before="240" w:after="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b/>
          <w:bCs/>
          <w:color w:val="000000"/>
          <w:sz w:val="17"/>
          <w:szCs w:val="17"/>
          <w:rFonts w:ascii="Tahoma" w:hAnsi="Tahoma"/>
        </w:rPr>
        <w:t xml:space="preserve">5) Inne materiały przeznaczone do kontaktu z żywnością, w tym półprodukty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W przypadku wprowadzania do obrotu materiałów przeznaczonych do kontaktu z żywnością innych niż określone w pkt 1–4 na etapach wprowadzania do obrotu innych niż sprzedaż detaliczna, załącza się do tych materiałów deklarację zgodności.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Deklaracja zgodności umożliwia łatwe ustalenie tożsamości materiałów lub substancji przeznaczonych do kontaktu z żywnością, dla których została wydana, oraz dokumentuje zgodność z obowiązującymi przepisami.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Deklarację odnawia się, jeżeli w procesie wytwarzania zachodzą znaczące zmiany pociągające za sobą zmiany poziomu migracji lub jeżeli udostępnione zostają nowe dane naukowe.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W odniesieniu do tych materiałów podmiot działający na rynku udostępnia ponadto organom kontroli odpowiednią dokumentację uzupełniającą w celu wykazania, że materiały oraz substancje/półprodukty przeznaczone do ich wytwarzania są zgodne z wymogami niniejszego rozporządzenia.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Dokumentacja uzupełniająca może zawierać warunki i wyniki badań, obliczenia, inne informacje i dowody potwierdzające bezpieczeństwo lub informacje świadczące o zgodności z wymaganiami.</w:t>
      </w:r>
    </w:p>
    <w:p w:rsidR="00B10085" w:rsidRPr="00186765" w:rsidRDefault="004B0B9D" w:rsidP="00B10085">
      <w:pPr>
        <w:spacing w:before="200" w:after="20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eastAsia="Times New Roman" w:hAnsi="Tahoma" w:cs="Tahoma"/>
        </w:rPr>
        <w:pict>
          <v:rect id="_x0000_i1030" style="width:337.35pt;height:.75pt" o:hrpct="700" o:hralign="center" o:hrstd="t" o:hrnoshade="t" o:hr="t" fillcolor="#dedede" stroked="f"/>
        </w:pict>
      </w:r>
    </w:p>
    <w:p w:rsidR="00B10085" w:rsidRPr="00186765" w:rsidRDefault="00B10085" w:rsidP="009D2EDC">
      <w:pPr>
        <w:keepNext/>
        <w:spacing w:before="400" w:after="120" w:line="240" w:lineRule="auto"/>
        <w:jc w:val="right"/>
        <w:rPr>
          <w:b/>
          <w:bCs/>
          <w:color w:val="000000"/>
          <w:sz w:val="24"/>
          <w:szCs w:val="24"/>
          <w:rFonts w:ascii="Tahoma" w:eastAsia="Times New Roman" w:hAnsi="Tahoma" w:cs="Tahoma"/>
        </w:rPr>
      </w:pPr>
      <w:r>
        <w:rPr>
          <w:b/>
          <w:bCs/>
          <w:color w:val="000000"/>
          <w:sz w:val="24"/>
          <w:szCs w:val="24"/>
          <w:rFonts w:ascii="Tahoma" w:hAnsi="Tahoma"/>
        </w:rPr>
        <w:t xml:space="preserve">Załącznik 6</w:t>
      </w:r>
    </w:p>
    <w:p w:rsidR="00B10085" w:rsidRPr="00186765" w:rsidRDefault="00B10085" w:rsidP="009D2EDC">
      <w:pPr>
        <w:keepNext/>
        <w:spacing w:after="120" w:line="240" w:lineRule="auto"/>
        <w:jc w:val="center"/>
        <w:rPr>
          <w:b/>
          <w:bCs/>
          <w:color w:val="000000"/>
          <w:sz w:val="21"/>
          <w:szCs w:val="21"/>
          <w:rFonts w:ascii="Tahoma" w:eastAsia="Times New Roman" w:hAnsi="Tahoma" w:cs="Tahoma"/>
        </w:rPr>
      </w:pPr>
      <w:r>
        <w:rPr>
          <w:b/>
          <w:bCs/>
          <w:color w:val="000000"/>
          <w:sz w:val="21"/>
          <w:szCs w:val="21"/>
          <w:rFonts w:ascii="Tahoma" w:hAnsi="Tahoma"/>
        </w:rPr>
        <w:t xml:space="preserve">Wyroby ceramiczne, emaliowane i szklane, zob. z § 16</w:t>
      </w:r>
    </w:p>
    <w:p w:rsidR="00B10085" w:rsidRPr="00186765" w:rsidRDefault="00B10085" w:rsidP="009D2EDC">
      <w:pPr>
        <w:keepNext/>
        <w:spacing w:before="240" w:after="0" w:line="240" w:lineRule="auto"/>
        <w:jc w:val="center"/>
        <w:rPr>
          <w:b/>
          <w:bCs/>
          <w:color w:val="000000"/>
          <w:sz w:val="17"/>
          <w:szCs w:val="17"/>
          <w:rFonts w:ascii="Tahoma" w:eastAsia="Times New Roman" w:hAnsi="Tahoma" w:cs="Tahoma"/>
        </w:rPr>
      </w:pPr>
      <w:r>
        <w:rPr>
          <w:b/>
          <w:bCs/>
          <w:color w:val="000000"/>
          <w:sz w:val="17"/>
          <w:szCs w:val="17"/>
          <w:rFonts w:ascii="Tahoma" w:hAnsi="Tahoma"/>
        </w:rPr>
        <w:t xml:space="preserve">A. Podstawowe zasady określania migracji ołowiu i kadmu</w:t>
      </w:r>
    </w:p>
    <w:p w:rsidR="00B10085" w:rsidRPr="00186765" w:rsidRDefault="00B10085" w:rsidP="009D2EDC">
      <w:pPr>
        <w:keepNext/>
        <w:spacing w:before="240" w:after="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1.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Warunki badania i in.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Płyn przeznaczony do badania: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Świeżo przygotowany roztwór wodny 4-procentowego (v/v) kwasu octowego.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Badania należy przeprowadzić w temperaturze 22 ± 2°C w ciągu 24 ± 0,5 godzin.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Próbkę należy przykryć tak, aby badana powierzchnia znajdowała się w całkowitych ciemnościach.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Nie jest to konieczne, jeżeli badanie obejmuje określenie migracji samego ołowiu.</w:t>
      </w:r>
    </w:p>
    <w:p w:rsidR="00B10085" w:rsidRPr="00186765" w:rsidRDefault="00B10085" w:rsidP="009D2EDC">
      <w:pPr>
        <w:keepNext/>
        <w:spacing w:before="240" w:after="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Napełnianie</w:t>
      </w:r>
    </w:p>
    <w:p w:rsidR="00B10085" w:rsidRPr="00186765" w:rsidRDefault="00B10085" w:rsidP="009D2EDC">
      <w:pPr>
        <w:keepNext/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2.1.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Wyroby, które nie mogą być napełnione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Powierzchnia próbki, która nie jest przeznaczona do kontaktu ze środkami spożywczymi jest najpierw pokrywana odpowiednią warstwą ochronną, odporną na działanie 4-procentowego (v/v) roztworu kwasu octowego.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Następnie próbka jest zanurzana w naczyniu zawierającym znaną ilość roztworu kwasu octowego w taki sposób, aby powierzchnia, która może mieć kontakt ze środkami spożywczymi, była całkowicie pokryta płynem przeznaczonym do badania.</w:t>
      </w:r>
    </w:p>
    <w:p w:rsidR="00B10085" w:rsidRPr="00186765" w:rsidRDefault="00B10085" w:rsidP="009D2EDC">
      <w:pPr>
        <w:keepNext/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2.2.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Wyroby, które mogą być napełnione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Napełnić wyrób 4-procentowym (v/v) roztworem kwasu octowego (do poziomu nie wyższego niż 1 mm od punktu przelewu).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Próbki z płaskim lub lekko nachylonym brzegiem powinny być napełniane w taki sposób, aby odległość między powierzchnią cieczy a punktem przelewu nie była większa niż 6 mm mierząc wzdłuż nachylonego brzegu.</w:t>
      </w:r>
    </w:p>
    <w:p w:rsidR="00B10085" w:rsidRPr="00186765" w:rsidRDefault="00B10085" w:rsidP="009D2EDC">
      <w:pPr>
        <w:keepNext/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2.3 Wyroby, które bada się pod kątem migracji z obrzeża naczynia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Próbkę zanurzyć w naczyniu zawierającym 4-procentowy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(v/v) roztwór kwasu octowego w taki sposób, aby obszar o szerokości 2 cm wzdłuż obrzeża próbki był pokryty płynem przeznaczonym do badania.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Części wyrobu, które nie są przeznaczone do badania, lecz z powodu ich kształtu zostaną pokryte płynem, zabezpiecza się zgodnie z pkt 2.1.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Ustalanie obszaru powierzchni wyrobów należących do kategorii I, zob. załącznik 4 dotyczący wyrobów ceramicznych, emaliowanych i szklanych.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Obszar powierzchni wyrobów, które nie mogą być napełniane (kategoria I pkt 1 w załączniku 4) jest równy całkowicie zanurzonej powierzchni, jaka może mieć kontakt z żywnością i nie została zabezpieczona zgodnie z pkt 2.1, ponieważ nie uwzględnia się ewentualnych otworów w wyrobie.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Obszar powierzchni wyrobów należących do kategorii I pkt 2 jest równy powierzchni cieczy uzyskanej przy napełnianiu, zgodnie z pkt 2.1.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Obszar powierzchni wyrobów należących do kategorii I pkt 3 jest równy powierzchni obszaru o szerokości 2 cm wzdłuż obrzeża naczynia zarówno po stronie wewnętrznej, jak i zewnętrznej.</w:t>
      </w:r>
    </w:p>
    <w:p w:rsidR="00B10085" w:rsidRPr="00186765" w:rsidRDefault="00B10085" w:rsidP="00B10085">
      <w:pPr>
        <w:keepNext/>
        <w:spacing w:before="240" w:after="0" w:line="240" w:lineRule="auto"/>
        <w:jc w:val="center"/>
        <w:rPr>
          <w:b/>
          <w:bCs/>
          <w:color w:val="000000"/>
          <w:sz w:val="17"/>
          <w:szCs w:val="17"/>
          <w:rFonts w:ascii="Tahoma" w:eastAsia="Times New Roman" w:hAnsi="Tahoma" w:cs="Tahoma"/>
        </w:rPr>
      </w:pPr>
      <w:r>
        <w:rPr>
          <w:b/>
          <w:bCs/>
          <w:color w:val="000000"/>
          <w:sz w:val="17"/>
          <w:szCs w:val="17"/>
          <w:rFonts w:ascii="Tahoma" w:hAnsi="Tahoma"/>
        </w:rPr>
        <w:t xml:space="preserve">B. Metody analizy stosowane w celu określenia migracji ołowiu i kadmu</w:t>
      </w:r>
    </w:p>
    <w:p w:rsidR="00B10085" w:rsidRPr="00186765" w:rsidRDefault="00B10085" w:rsidP="00B10085">
      <w:pPr>
        <w:keepNext/>
        <w:spacing w:before="240" w:after="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1.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Zasada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Oznaczenie migracji specyficznej ołowiu i kadmu z wyrobów wykonuje się przez 24 godziny przy użyciu 4-procentowego roztworu kwasu octowego o temperaturze 22°C. Oznaczenie migracji ołowiu i kadmu wykonuje się przy zastosowaniu instrumentalnej metody analizy.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Ilości uwolnionego ołowiu i kadmu odnosi się do powierzchni lub objętości wyrobu.</w:t>
      </w:r>
    </w:p>
    <w:p w:rsidR="00B10085" w:rsidRPr="00186765" w:rsidRDefault="00B10085" w:rsidP="00B10085">
      <w:pPr>
        <w:keepNext/>
        <w:spacing w:before="240" w:after="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Odczynniki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Wszystkie odczynniki muszą być jakości analitycznej, chyba ze w niniejszym załączniku określono inaczej.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Jeżeli wymieniana jest woda, zawsze jest to woda destylowana lub woda o równorzędnej jakości.</w:t>
      </w:r>
    </w:p>
    <w:p w:rsidR="00B10085" w:rsidRPr="00186765" w:rsidRDefault="00B10085" w:rsidP="009D2EDC">
      <w:pPr>
        <w:keepNext/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2.1.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4-procentowy (v/v) roztwór wodny kwasu octowego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Do kolby o pojemności 1 000 ml wypełnionej do połowy wodą dodać 40 ml kwasu octowego lodowatego do wody i dopełnić wodą do 1000 ml.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Roztwór należy sporządzić w dniu rozpoczęcia badania.</w:t>
      </w:r>
    </w:p>
    <w:p w:rsidR="00B10085" w:rsidRPr="00186765" w:rsidRDefault="00B10085" w:rsidP="009D2EDC">
      <w:pPr>
        <w:keepNext/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2.2.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Roztwory podstawowe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Przygotować roztwory wzorcowe zawierające odpowiednio 1 000 mg/litr ołowiu oraz co najmniej 500 mg/litr kadmu w 4</w:t>
      </w:r>
      <w:r>
        <w:rPr>
          <w:color w:val="000000"/>
          <w:sz w:val="17"/>
          <w:szCs w:val="17"/>
          <w:rFonts w:ascii="Tahoma" w:hAnsi="Tahoma"/>
        </w:rPr>
        <w:noBreakHyphen/>
      </w:r>
      <w:r>
        <w:rPr>
          <w:color w:val="000000"/>
          <w:sz w:val="17"/>
          <w:szCs w:val="17"/>
          <w:rFonts w:ascii="Tahoma" w:hAnsi="Tahoma"/>
        </w:rPr>
        <w:t xml:space="preserve">procentowym roztworze kwasu octowego (2.1.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).</w:t>
      </w:r>
    </w:p>
    <w:p w:rsidR="00B10085" w:rsidRPr="00186765" w:rsidRDefault="00B10085" w:rsidP="00B10085">
      <w:pPr>
        <w:keepNext/>
        <w:spacing w:before="240" w:after="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3.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Kryteria skuteczności w instrumentalnej metodzie analizy</w:t>
      </w:r>
    </w:p>
    <w:p w:rsidR="00B10085" w:rsidRPr="00186765" w:rsidRDefault="00B10085" w:rsidP="009D2EDC">
      <w:pPr>
        <w:keepNext/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3.1.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Granica wykrywalności limitów ilości uwalnianego ołowiu i kadmu musi być równa lub niższa niż: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0,1 mg/l w przypadku ołowiu,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0,01 mg/l w przypadku kadmu.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Granicę wykrywalności określa się jako takie stężenie pierwiastka badanego w 4-procentowym roztworze kwasu octowego, zgodnie z opisem w pkt 3.1, które wywołuje sygnał równy dwukrotnemu poziomowi szumu tła aparatu.</w:t>
      </w:r>
    </w:p>
    <w:p w:rsidR="00B10085" w:rsidRPr="00186765" w:rsidRDefault="00B10085" w:rsidP="009D2EDC">
      <w:pPr>
        <w:keepNext/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3.2.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Granica kwantyfikacji ołowiu i kadmu musi być równa lub niższa niż: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0,2 mg/l w przypadku ołowiu,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0,02 mg/l w przypadku kadmu.</w:t>
      </w:r>
    </w:p>
    <w:p w:rsidR="00B10085" w:rsidRPr="00186765" w:rsidRDefault="00B10085" w:rsidP="009D2EDC">
      <w:pPr>
        <w:keepNext/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3.3.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Odzyskanie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Odzyskanie ołowiu i kadmu dodanego do 4-procentowego roztworu kwasu octowego, zgodnie z opisem w pkt 3.1, musi mieścić się w przedziale 80–120 % dodanej ilości.</w:t>
      </w:r>
    </w:p>
    <w:p w:rsidR="00B10085" w:rsidRPr="00186765" w:rsidRDefault="00B10085" w:rsidP="009D2EDC">
      <w:pPr>
        <w:keepNext/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3.4.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Specyficzność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Instrumentalna metoda zastosowanej analizy nie może zawierać zakłóceń matrycowych i widmowych.</w:t>
      </w:r>
    </w:p>
    <w:p w:rsidR="00B10085" w:rsidRPr="00186765" w:rsidRDefault="00B10085" w:rsidP="009D2EDC">
      <w:pPr>
        <w:keepNext/>
        <w:spacing w:before="240" w:after="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4.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Metoda</w:t>
      </w:r>
    </w:p>
    <w:p w:rsidR="00B10085" w:rsidRPr="00186765" w:rsidRDefault="00B10085" w:rsidP="009D2EDC">
      <w:pPr>
        <w:keepNext/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4.1.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Przygotowanie próbki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Próbka musi być czysta oraz wolna od tłuszczu lub innych substancji, które mogą wpłynąć na wyniki badania.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Umyć próbkę w roztworze o temperaturze około 40°C z dodatkiem płynnego środka myjącego stosowanego w gospodarstwie domowym. Opłukać próbkę najpierw w wodzie wodociągowej, a następnie w wodzie destylowanej lub w wodzie o równorzędnej jakości.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Odsączyć i osuszyć tak, aby uniknąć wszelkich pozostałości.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Powierzchnia, która ma być poddana badaniu, nie może być dotykana po oczyszczeniu.</w:t>
      </w:r>
    </w:p>
    <w:p w:rsidR="00B10085" w:rsidRPr="00186765" w:rsidRDefault="00B10085" w:rsidP="009D2EDC">
      <w:pPr>
        <w:keepNext/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4.2.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Określenie ilości ołowiu i/lub kadmu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Przygotowana w powyższy sposób próbka jest badana w warunkach określonych w części A niniejszego załącznika.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Przed pobraniem roztworu badanego do oznaczenia zawartości ołowiu i/lub kadmu wymieszać zawartość próbki w odpowiedni sposób, który wyklucza jakąkolwiek stratę roztworu lub ścieranie badanej powierzchni.</w:t>
      </w:r>
      <w:r>
        <w:rPr>
          <w:color w:val="000000"/>
          <w:sz w:val="17"/>
          <w:szCs w:val="17"/>
          <w:rFonts w:ascii="Tahoma" w:hAnsi="Tahoma"/>
        </w:rPr>
        <w:t xml:space="preserve"> </w:t>
      </w:r>
      <w:r>
        <w:rPr>
          <w:color w:val="000000"/>
          <w:sz w:val="17"/>
          <w:szCs w:val="17"/>
          <w:rFonts w:ascii="Tahoma" w:hAnsi="Tahoma"/>
        </w:rPr>
        <w:t xml:space="preserve">Wykonać badanie ślepej próby z odczynnikami stosowanymi w każdej serii oznaczeń.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t xml:space="preserve">Przeprowadzić oznaczenie zawartości ołowiu i/lub kadmu w odpowiednich warunkach.</w:t>
      </w:r>
    </w:p>
    <w:p w:rsidR="00B10085" w:rsidRPr="00186765" w:rsidRDefault="00B10085" w:rsidP="009D2EDC">
      <w:pPr>
        <w:keepNext/>
        <w:shd w:val="clear" w:color="auto" w:fill="316529"/>
        <w:spacing w:after="150" w:line="240" w:lineRule="auto"/>
        <w:jc w:val="center"/>
        <w:rPr>
          <w:b/>
          <w:bCs/>
          <w:color w:val="FFFFFF"/>
          <w:sz w:val="17"/>
          <w:szCs w:val="17"/>
          <w:rFonts w:ascii="Tahoma" w:eastAsia="Times New Roman" w:hAnsi="Tahoma" w:cs="Tahoma"/>
        </w:rPr>
      </w:pPr>
      <w:r>
        <w:rPr>
          <w:b/>
          <w:bCs/>
          <w:color w:val="FFFFFF"/>
          <w:sz w:val="17"/>
          <w:szCs w:val="17"/>
          <w:rFonts w:ascii="Tahoma" w:hAnsi="Tahoma"/>
        </w:rPr>
        <w:t xml:space="preserve">Uwagi</w:t>
      </w:r>
    </w:p>
    <w:p w:rsidR="00B10085" w:rsidRPr="00186765" w:rsidRDefault="004B0B9D" w:rsidP="00B10085">
      <w:pPr>
        <w:spacing w:before="40" w:after="40" w:line="240" w:lineRule="auto"/>
        <w:rPr>
          <w:color w:val="000000"/>
          <w:sz w:val="14"/>
          <w:szCs w:val="14"/>
          <w:rFonts w:ascii="Tahoma" w:eastAsia="Times New Roman" w:hAnsi="Tahoma" w:cs="Tahoma"/>
        </w:rPr>
      </w:pPr>
      <w:hyperlink r:id="rId25" w:anchor="Henvisning_id1f4c3218-9ee3-46b4-a215-7b17fdf58f29" w:history="1">
        <w:r>
          <w:rPr>
            <w:color w:val="000000"/>
            <w:sz w:val="12"/>
            <w:szCs w:val="12"/>
            <w:u w:val="single"/>
            <w:vertAlign w:val="superscript"/>
            <w:rFonts w:ascii="Tahoma" w:hAnsi="Tahoma"/>
          </w:rPr>
          <w:t xml:space="preserve">1</w:t>
        </w:r>
      </w:hyperlink>
      <w:r>
        <w:rPr>
          <w:color w:val="000000"/>
          <w:sz w:val="14"/>
          <w:szCs w:val="14"/>
          <w:rFonts w:ascii="Tahoma" w:hAnsi="Tahoma"/>
        </w:rPr>
        <w:t xml:space="preserve"> Rozporządzenie zawiera przepisy wdrażające dyrektywę Rady 84/500/EWG z dnia 15 października 1984 r. w sprawie zbliżenia ustawodawstw państw członkowskich dotyczących wyrobów ceramicznych przeznaczonych do kontaktu ze środkami spożywczymi, Dz.U. L 277 z 1984, s. 12–16, zmienioną dyrektywą Komisji 2005/31/WE z dnia 29 kwietnia 2005 r., Dz.U. L 110 z 2005, s. 36–39, dyrektywę Komisji 2007/42/WE z dnia 29 czerwca 2007 r. w sprawie materiałów i wyrobów wykonanych z folii z regenerowanej celulozy przeznaczonych do kontaktu ze środkami spożywczymi, Dz.U. L 172 z 2007, s. 71–82, i dyrektywę Rady 78/142/EWG z dnia 30 stycznia 1978 r. w sprawie zbliżenia ustawodawstw państw członkowskich odnoszących się do materiałów i wyrobów zawierających monomer chlorku winylu przeznaczonych do kontaktu ze środkami spożywczymi, Dz.U. L 44, z 1978, s. 15–17.</w:t>
      </w:r>
      <w:r>
        <w:rPr>
          <w:color w:val="000000"/>
          <w:sz w:val="14"/>
          <w:szCs w:val="14"/>
          <w:rFonts w:ascii="Tahoma" w:hAnsi="Tahoma"/>
        </w:rPr>
        <w:t xml:space="preserve"> </w:t>
      </w:r>
      <w:r>
        <w:rPr>
          <w:color w:val="000000"/>
          <w:sz w:val="14"/>
          <w:szCs w:val="14"/>
          <w:rFonts w:ascii="Tahoma" w:hAnsi="Tahoma"/>
        </w:rPr>
        <w:t xml:space="preserve">W rozporządzeniu zawarto niektóre przepisy rozporządzenia Komisji (WE) nr 10/2011 z dnia 14 stycznia 2011 r. w sprawie materiałów i wyrobów z tworzyw sztucznych przeznaczonych do kontaktu z żywnością, Dz.U. L 12 z 2011, s. 1–89.</w:t>
      </w:r>
      <w:r>
        <w:rPr>
          <w:color w:val="000000"/>
          <w:sz w:val="14"/>
          <w:szCs w:val="14"/>
          <w:rFonts w:ascii="Tahoma" w:hAnsi="Tahoma"/>
        </w:rPr>
        <w:t xml:space="preserve"> </w:t>
      </w:r>
      <w:r>
        <w:rPr>
          <w:color w:val="000000"/>
          <w:sz w:val="14"/>
          <w:szCs w:val="14"/>
          <w:rFonts w:ascii="Tahoma" w:hAnsi="Tahoma"/>
        </w:rPr>
        <w:t xml:space="preserve">Zgodnie z art. 288 Traktatu o funkcjonowaniu Unii Europejskiej rozporządzenie jest bezpośrednio stosowane we wszystkich państwach członkowskich.</w:t>
      </w:r>
      <w:r>
        <w:rPr>
          <w:color w:val="000000"/>
          <w:sz w:val="14"/>
          <w:szCs w:val="14"/>
          <w:rFonts w:ascii="Tahoma" w:hAnsi="Tahoma"/>
        </w:rPr>
        <w:t xml:space="preserve"> </w:t>
      </w:r>
      <w:r>
        <w:rPr>
          <w:color w:val="000000"/>
          <w:sz w:val="14"/>
          <w:szCs w:val="14"/>
          <w:rFonts w:ascii="Tahoma" w:hAnsi="Tahoma"/>
        </w:rPr>
        <w:t xml:space="preserve">Przytoczenie rozporządzeń w niniejszym rozporządzeniu opiera się wyłącznie na względach praktycznych i nie wpływa na bezpośrednie stosowanie wspomnianego rozporządzenia w Danii.</w:t>
      </w:r>
      <w:r>
        <w:rPr>
          <w:color w:val="000000"/>
          <w:sz w:val="14"/>
          <w:szCs w:val="14"/>
          <w:rFonts w:ascii="Tahoma" w:hAnsi="Tahoma"/>
        </w:rPr>
        <w:t xml:space="preserve"> </w:t>
      </w:r>
      <w:r>
        <w:rPr>
          <w:color w:val="000000"/>
          <w:sz w:val="14"/>
          <w:szCs w:val="14"/>
          <w:rFonts w:ascii="Tahoma" w:hAnsi="Tahoma"/>
        </w:rPr>
        <w:t xml:space="preserve">Niniejszy projekt rozporządzenia został notyfikowany zgodnie z dyrektywą 98/34/WE Parlamentu Europejskiego i Rady (dyrektywą ustanawiającą procedurę udzielania informacji), zmienioną dyrektywą 98/48/WE.</w:t>
      </w:r>
    </w:p>
    <w:sectPr w:rsidR="00B10085" w:rsidRPr="001867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B9D" w:rsidRDefault="004B0B9D" w:rsidP="00A15EE9">
      <w:pPr>
        <w:spacing w:after="0" w:line="240" w:lineRule="auto"/>
      </w:pPr>
      <w:r>
        <w:separator/>
      </w:r>
    </w:p>
  </w:endnote>
  <w:endnote w:type="continuationSeparator" w:id="0">
    <w:p w:rsidR="004B0B9D" w:rsidRDefault="004B0B9D" w:rsidP="00A1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B9D" w:rsidRDefault="004B0B9D" w:rsidP="00A15EE9">
      <w:pPr>
        <w:spacing w:after="0" w:line="240" w:lineRule="auto"/>
      </w:pPr>
      <w:r>
        <w:separator/>
      </w:r>
    </w:p>
  </w:footnote>
  <w:footnote w:type="continuationSeparator" w:id="0">
    <w:p w:rsidR="004B0B9D" w:rsidRDefault="004B0B9D" w:rsidP="00A15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85"/>
    <w:rsid w:val="00186765"/>
    <w:rsid w:val="00483E18"/>
    <w:rsid w:val="004B0B9D"/>
    <w:rsid w:val="00724AE7"/>
    <w:rsid w:val="007D7072"/>
    <w:rsid w:val="009D2EDC"/>
    <w:rsid w:val="00A15EE9"/>
    <w:rsid w:val="00B10085"/>
    <w:rsid w:val="00EC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E2C02F-C957-41A4-89AA-EBC71A6C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00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B10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Heading3">
    <w:name w:val="heading 3"/>
    <w:basedOn w:val="Normal"/>
    <w:link w:val="Heading3Char"/>
    <w:uiPriority w:val="9"/>
    <w:qFormat/>
    <w:rsid w:val="00B100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085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Heading2Char">
    <w:name w:val="Heading 2 Char"/>
    <w:basedOn w:val="DefaultParagraphFont"/>
    <w:link w:val="Heading2"/>
    <w:uiPriority w:val="9"/>
    <w:rsid w:val="00B10085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Heading3Char">
    <w:name w:val="Heading 3 Char"/>
    <w:basedOn w:val="DefaultParagraphFont"/>
    <w:link w:val="Heading3"/>
    <w:uiPriority w:val="9"/>
    <w:rsid w:val="00B10085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numbering" w:customStyle="1" w:styleId="Ingenoversigt1">
    <w:name w:val="Ingen oversigt1"/>
    <w:next w:val="NoList"/>
    <w:uiPriority w:val="99"/>
    <w:semiHidden/>
    <w:unhideWhenUsed/>
    <w:rsid w:val="00B10085"/>
  </w:style>
  <w:style w:type="character" w:styleId="Hyperlink">
    <w:name w:val="Hyperlink"/>
    <w:basedOn w:val="DefaultParagraphFont"/>
    <w:uiPriority w:val="99"/>
    <w:semiHidden/>
    <w:unhideWhenUsed/>
    <w:rsid w:val="00B10085"/>
    <w:rPr>
      <w:rFonts w:ascii="Tahoma" w:hAnsi="Tahoma" w:cs="Tahoma" w:hint="default"/>
      <w:color w:val="000000"/>
      <w:sz w:val="24"/>
      <w:szCs w:val="24"/>
      <w:u w:val="singl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10085"/>
    <w:rPr>
      <w:rFonts w:ascii="Tahoma" w:hAnsi="Tahoma" w:cs="Tahoma" w:hint="default"/>
      <w:color w:val="000000"/>
      <w:sz w:val="24"/>
      <w:szCs w:val="24"/>
      <w:u w:val="singl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B10085"/>
    <w:rPr>
      <w:b/>
      <w:bCs/>
    </w:rPr>
  </w:style>
  <w:style w:type="paragraph" w:customStyle="1" w:styleId="msonormal0">
    <w:name w:val="msonormal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givet">
    <w:name w:val="givet"/>
    <w:basedOn w:val="Normal"/>
    <w:rsid w:val="00B10085"/>
    <w:pPr>
      <w:keepNext/>
      <w:spacing w:before="120" w:after="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sign1">
    <w:name w:val="sign1"/>
    <w:basedOn w:val="Normal"/>
    <w:rsid w:val="00B10085"/>
    <w:pPr>
      <w:keepNext/>
      <w:spacing w:before="12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egl">
    <w:name w:val="segl"/>
    <w:basedOn w:val="Normal"/>
    <w:rsid w:val="00B10085"/>
    <w:pPr>
      <w:keepNext/>
      <w:spacing w:before="20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ign2">
    <w:name w:val="sign2"/>
    <w:basedOn w:val="Normal"/>
    <w:rsid w:val="00B10085"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aendringspunkt">
    <w:name w:val="aendringspunkt"/>
    <w:basedOn w:val="Normal"/>
    <w:rsid w:val="00B10085"/>
    <w:pPr>
      <w:tabs>
        <w:tab w:val="left" w:pos="170"/>
      </w:tabs>
      <w:spacing w:before="240"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aendretbestemmelse">
    <w:name w:val="aendretbestemmels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af">
    <w:name w:val="af"/>
    <w:basedOn w:val="Normal"/>
    <w:rsid w:val="00B10085"/>
    <w:pPr>
      <w:spacing w:before="100" w:after="0" w:line="240" w:lineRule="auto"/>
      <w:ind w:left="425" w:hanging="425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af2">
    <w:name w:val="af2"/>
    <w:basedOn w:val="Normal"/>
    <w:rsid w:val="00B10085"/>
    <w:pPr>
      <w:spacing w:before="260" w:after="0" w:line="240" w:lineRule="auto"/>
      <w:ind w:left="425" w:hanging="425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afsnitsnummer">
    <w:name w:val="afsnitsnummer"/>
    <w:basedOn w:val="Normal"/>
    <w:rsid w:val="00B10085"/>
    <w:pPr>
      <w:keepNext/>
      <w:spacing w:before="240" w:after="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afsnitsoverskrift">
    <w:name w:val="afsnitsoverskrift"/>
    <w:basedOn w:val="Normal"/>
    <w:rsid w:val="00B10085"/>
    <w:pPr>
      <w:keepNext/>
      <w:spacing w:before="240" w:after="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anmaerkninger">
    <w:name w:val="anmaerkninger"/>
    <w:basedOn w:val="Normal"/>
    <w:rsid w:val="00B10085"/>
    <w:pPr>
      <w:spacing w:before="240" w:after="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bemtil">
    <w:name w:val="bemtil"/>
    <w:basedOn w:val="Normal"/>
    <w:rsid w:val="00B10085"/>
    <w:pPr>
      <w:spacing w:before="36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emtilci">
    <w:name w:val="bemtilci"/>
    <w:basedOn w:val="Normal"/>
    <w:rsid w:val="00B10085"/>
    <w:pPr>
      <w:spacing w:before="360" w:after="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bemtillfs">
    <w:name w:val="bemtillfs"/>
    <w:basedOn w:val="Normal"/>
    <w:rsid w:val="00B10085"/>
    <w:pPr>
      <w:pageBreakBefore/>
      <w:spacing w:before="240" w:after="240" w:line="240" w:lineRule="auto"/>
      <w:jc w:val="center"/>
    </w:pPr>
    <w:rPr>
      <w:rFonts w:ascii="Tahoma" w:eastAsia="Times New Roman" w:hAnsi="Tahoma" w:cs="Tahoma"/>
      <w:b/>
      <w:bCs/>
      <w:i/>
      <w:iCs/>
      <w:color w:val="000000"/>
      <w:sz w:val="40"/>
      <w:szCs w:val="40"/>
      <w:lang w:eastAsia="da-DK"/>
    </w:rPr>
  </w:style>
  <w:style w:type="paragraph" w:customStyle="1" w:styleId="bemtilv">
    <w:name w:val="bemtilv"/>
    <w:basedOn w:val="Normal"/>
    <w:rsid w:val="00B10085"/>
    <w:pPr>
      <w:spacing w:before="360"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emtilvbf">
    <w:name w:val="bemtilvbf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emtilvi">
    <w:name w:val="bemtilvi"/>
    <w:basedOn w:val="Normal"/>
    <w:rsid w:val="00B10085"/>
    <w:pPr>
      <w:spacing w:before="360" w:after="0" w:line="240" w:lineRule="auto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bilagsoverskrift">
    <w:name w:val="bilagsoverskrift"/>
    <w:basedOn w:val="Normal"/>
    <w:rsid w:val="00B10085"/>
    <w:pPr>
      <w:keepNext/>
      <w:spacing w:before="360" w:after="24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bilagstekst">
    <w:name w:val="bilagstekst"/>
    <w:basedOn w:val="Normal"/>
    <w:rsid w:val="00B10085"/>
    <w:pPr>
      <w:spacing w:before="60" w:after="6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ilagstitel">
    <w:name w:val="bilagstitel"/>
    <w:basedOn w:val="Normal"/>
    <w:rsid w:val="00B10085"/>
    <w:pPr>
      <w:pageBreakBefore/>
      <w:spacing w:after="240" w:line="240" w:lineRule="auto"/>
      <w:jc w:val="right"/>
    </w:pPr>
    <w:rPr>
      <w:rFonts w:ascii="Tahoma" w:eastAsia="Times New Roman" w:hAnsi="Tahoma" w:cs="Tahoma"/>
      <w:b/>
      <w:bCs/>
      <w:color w:val="000000"/>
      <w:sz w:val="35"/>
      <w:szCs w:val="35"/>
      <w:lang w:eastAsia="da-DK"/>
    </w:rPr>
  </w:style>
  <w:style w:type="paragraph" w:customStyle="1" w:styleId="bilagtekstliste">
    <w:name w:val="bilagtekstliste"/>
    <w:basedOn w:val="Normal"/>
    <w:rsid w:val="00B10085"/>
    <w:pPr>
      <w:spacing w:before="200"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ullet">
    <w:name w:val="bullet"/>
    <w:basedOn w:val="Normal"/>
    <w:rsid w:val="00B10085"/>
    <w:pPr>
      <w:tabs>
        <w:tab w:val="left" w:pos="197"/>
      </w:tabs>
      <w:spacing w:before="60" w:after="0" w:line="240" w:lineRule="auto"/>
      <w:ind w:left="197" w:hanging="197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ullet1">
    <w:name w:val="bullet1"/>
    <w:basedOn w:val="Normal"/>
    <w:rsid w:val="00B10085"/>
    <w:pPr>
      <w:tabs>
        <w:tab w:val="left" w:pos="851"/>
      </w:tabs>
      <w:spacing w:after="0" w:line="240" w:lineRule="auto"/>
      <w:ind w:left="851" w:hanging="397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ullet2">
    <w:name w:val="bullet2"/>
    <w:basedOn w:val="Normal"/>
    <w:rsid w:val="00B10085"/>
    <w:pPr>
      <w:tabs>
        <w:tab w:val="left" w:pos="1276"/>
      </w:tabs>
      <w:spacing w:after="0" w:line="240" w:lineRule="auto"/>
      <w:ind w:left="1276" w:hanging="425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paragrafnummer">
    <w:name w:val="cparagrafnummer"/>
    <w:basedOn w:val="Normal"/>
    <w:rsid w:val="00B10085"/>
    <w:pPr>
      <w:keepNext/>
      <w:spacing w:before="240" w:after="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cparagraftekst">
    <w:name w:val="cparagraftekst"/>
    <w:basedOn w:val="Normal"/>
    <w:rsid w:val="00B10085"/>
    <w:pPr>
      <w:spacing w:before="240" w:after="0" w:line="240" w:lineRule="auto"/>
      <w:ind w:firstLine="17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folsam">
    <w:name w:val="folsam"/>
    <w:basedOn w:val="Normal"/>
    <w:rsid w:val="00B10085"/>
    <w:pPr>
      <w:keepNext/>
      <w:spacing w:before="240" w:after="60" w:line="240" w:lineRule="auto"/>
      <w:ind w:firstLine="170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fremsaetterundertitel">
    <w:name w:val="fremsaetterundertitel"/>
    <w:basedOn w:val="Normal"/>
    <w:rsid w:val="00B10085"/>
    <w:pPr>
      <w:spacing w:after="12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henvendelse">
    <w:name w:val="henvendelse"/>
    <w:basedOn w:val="Normal"/>
    <w:rsid w:val="00B10085"/>
    <w:pPr>
      <w:spacing w:after="0" w:line="240" w:lineRule="auto"/>
      <w:ind w:left="454" w:hanging="284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hymne">
    <w:name w:val="hymne"/>
    <w:basedOn w:val="Normal"/>
    <w:rsid w:val="00B10085"/>
    <w:pPr>
      <w:spacing w:before="240" w:after="0" w:line="240" w:lineRule="auto"/>
      <w:ind w:left="397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ikkemedlemmer">
    <w:name w:val="ikkemedlemmer"/>
    <w:basedOn w:val="Normal"/>
    <w:rsid w:val="00B10085"/>
    <w:pPr>
      <w:spacing w:before="60" w:after="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ikrafttraedelse">
    <w:name w:val="ikrafttraedelse"/>
    <w:basedOn w:val="Normal"/>
    <w:rsid w:val="00B10085"/>
    <w:pPr>
      <w:spacing w:before="480" w:after="0" w:line="240" w:lineRule="auto"/>
      <w:ind w:firstLine="17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indholdhdr">
    <w:name w:val="indholdhdr"/>
    <w:basedOn w:val="Normal"/>
    <w:rsid w:val="00B10085"/>
    <w:pPr>
      <w:spacing w:before="360" w:after="0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indholdhdr2">
    <w:name w:val="indholdhdr2"/>
    <w:basedOn w:val="Normal"/>
    <w:rsid w:val="00B10085"/>
    <w:pPr>
      <w:spacing w:before="240" w:after="0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indledning">
    <w:name w:val="indledning"/>
    <w:basedOn w:val="Normal"/>
    <w:rsid w:val="00B10085"/>
    <w:pPr>
      <w:spacing w:before="240" w:after="0" w:line="240" w:lineRule="auto"/>
      <w:ind w:firstLine="397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indledning2">
    <w:name w:val="indledning2"/>
    <w:basedOn w:val="Normal"/>
    <w:rsid w:val="00B10085"/>
    <w:pPr>
      <w:spacing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indstilling">
    <w:name w:val="indstilling"/>
    <w:basedOn w:val="Normal"/>
    <w:rsid w:val="00B10085"/>
    <w:pPr>
      <w:keepNext/>
      <w:spacing w:before="480" w:after="12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kapitelnummer">
    <w:name w:val="kapitelnummer"/>
    <w:basedOn w:val="Normal"/>
    <w:rsid w:val="00B10085"/>
    <w:pPr>
      <w:keepNext/>
      <w:spacing w:before="24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kapiteloverskrift">
    <w:name w:val="kapiteloverskrift"/>
    <w:basedOn w:val="Normal"/>
    <w:rsid w:val="00B10085"/>
    <w:pPr>
      <w:keepNext/>
      <w:spacing w:before="120" w:after="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kapiteloverskriftbm">
    <w:name w:val="kapiteloverskriftbm"/>
    <w:basedOn w:val="Normal"/>
    <w:rsid w:val="00B10085"/>
    <w:pPr>
      <w:keepNext/>
      <w:spacing w:before="120" w:after="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kommentar">
    <w:name w:val="kommentar"/>
    <w:basedOn w:val="Normal"/>
    <w:rsid w:val="00B10085"/>
    <w:pPr>
      <w:spacing w:before="240" w:after="0" w:line="240" w:lineRule="auto"/>
      <w:ind w:left="397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tra">
    <w:name w:val="litra"/>
    <w:basedOn w:val="Normal"/>
    <w:rsid w:val="00B10085"/>
    <w:pPr>
      <w:spacing w:after="0" w:line="240" w:lineRule="auto"/>
      <w:ind w:left="460" w:hanging="22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tra9">
    <w:name w:val="litra9"/>
    <w:basedOn w:val="Normal"/>
    <w:rsid w:val="00B10085"/>
    <w:pPr>
      <w:tabs>
        <w:tab w:val="left" w:pos="397"/>
      </w:tabs>
      <w:spacing w:after="0" w:line="240" w:lineRule="auto"/>
      <w:ind w:left="794" w:hanging="397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sp6">
    <w:name w:val="lsp6"/>
    <w:basedOn w:val="Normal"/>
    <w:rsid w:val="00B10085"/>
    <w:pPr>
      <w:spacing w:after="0" w:line="120" w:lineRule="atLeast"/>
      <w:ind w:left="454" w:hanging="284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sp8l">
    <w:name w:val="lsp8l"/>
    <w:basedOn w:val="Normal"/>
    <w:rsid w:val="00B10085"/>
    <w:pPr>
      <w:spacing w:after="0" w:line="120" w:lineRule="atLeast"/>
      <w:ind w:left="454" w:hanging="284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sp8ll">
    <w:name w:val="lsp8ll"/>
    <w:basedOn w:val="Normal"/>
    <w:rsid w:val="00B10085"/>
    <w:pPr>
      <w:spacing w:after="0" w:line="120" w:lineRule="atLeast"/>
      <w:ind w:left="454" w:hanging="284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medlemmer">
    <w:name w:val="medlemmer"/>
    <w:basedOn w:val="Normal"/>
    <w:rsid w:val="00B10085"/>
    <w:pPr>
      <w:spacing w:before="480" w:after="0" w:line="36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normal9">
    <w:name w:val="normal9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normalind">
    <w:name w:val="normalind"/>
    <w:basedOn w:val="Normal"/>
    <w:rsid w:val="00B10085"/>
    <w:pPr>
      <w:spacing w:before="60" w:after="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normalind9">
    <w:name w:val="normalind9"/>
    <w:basedOn w:val="Normal"/>
    <w:rsid w:val="00B10085"/>
    <w:pPr>
      <w:spacing w:before="60" w:after="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nummer">
    <w:name w:val="nummer"/>
    <w:basedOn w:val="Normal"/>
    <w:rsid w:val="00B10085"/>
    <w:pPr>
      <w:spacing w:after="0" w:line="240" w:lineRule="auto"/>
      <w:ind w:left="220" w:hanging="22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nummer9">
    <w:name w:val="nummer9"/>
    <w:basedOn w:val="Normal"/>
    <w:rsid w:val="00B10085"/>
    <w:pPr>
      <w:tabs>
        <w:tab w:val="left" w:pos="397"/>
        <w:tab w:val="left" w:pos="992"/>
      </w:tabs>
      <w:spacing w:after="0" w:line="240" w:lineRule="auto"/>
      <w:ind w:left="397" w:hanging="397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overskriftsp">
    <w:name w:val="overskriftsp"/>
    <w:basedOn w:val="Normal"/>
    <w:rsid w:val="00B10085"/>
    <w:pPr>
      <w:keepNext/>
      <w:spacing w:before="480" w:after="140" w:line="240" w:lineRule="auto"/>
      <w:jc w:val="center"/>
    </w:pPr>
    <w:rPr>
      <w:rFonts w:ascii="Tahoma" w:eastAsia="Times New Roman" w:hAnsi="Tahoma" w:cs="Tahoma"/>
      <w:color w:val="000000"/>
      <w:spacing w:val="60"/>
      <w:sz w:val="24"/>
      <w:szCs w:val="24"/>
      <w:lang w:eastAsia="da-DK"/>
    </w:rPr>
  </w:style>
  <w:style w:type="paragraph" w:customStyle="1" w:styleId="overskriftsnummer1">
    <w:name w:val="overskriftsnummer1"/>
    <w:basedOn w:val="Normal"/>
    <w:rsid w:val="00B10085"/>
    <w:pPr>
      <w:keepNext/>
      <w:spacing w:before="240" w:after="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overskriftstekst1">
    <w:name w:val="overskriftstekst1"/>
    <w:basedOn w:val="Normal"/>
    <w:rsid w:val="00B10085"/>
    <w:pPr>
      <w:keepNext/>
      <w:spacing w:before="240" w:after="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overskriftsnummer2">
    <w:name w:val="overskriftsnummer2"/>
    <w:basedOn w:val="Normal"/>
    <w:rsid w:val="00B10085"/>
    <w:pPr>
      <w:keepNext/>
      <w:spacing w:before="24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overskriftstekst2">
    <w:name w:val="overskriftstekst2"/>
    <w:basedOn w:val="Normal"/>
    <w:rsid w:val="00B10085"/>
    <w:pPr>
      <w:keepNext/>
      <w:spacing w:before="120" w:after="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overskriftstekst3">
    <w:name w:val="overskriftstekst3"/>
    <w:basedOn w:val="Normal"/>
    <w:rsid w:val="00B10085"/>
    <w:pPr>
      <w:keepNext/>
      <w:spacing w:before="240" w:after="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paragraftekst">
    <w:name w:val="paragraftekst"/>
    <w:basedOn w:val="Normal"/>
    <w:rsid w:val="00B10085"/>
    <w:pPr>
      <w:spacing w:before="240" w:after="0" w:line="240" w:lineRule="auto"/>
      <w:ind w:firstLine="17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paraoverskrift">
    <w:name w:val="paraoverskrift"/>
    <w:basedOn w:val="Normal"/>
    <w:rsid w:val="00B10085"/>
    <w:pPr>
      <w:keepNext/>
      <w:spacing w:before="120" w:after="12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paraoverskriftbm">
    <w:name w:val="paraoverskriftbm"/>
    <w:basedOn w:val="Normal"/>
    <w:rsid w:val="00B10085"/>
    <w:pPr>
      <w:keepNext/>
      <w:spacing w:before="120" w:after="12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pind">
    <w:name w:val="pind"/>
    <w:basedOn w:val="Normal"/>
    <w:rsid w:val="00B10085"/>
    <w:pPr>
      <w:spacing w:after="0" w:line="240" w:lineRule="auto"/>
      <w:ind w:left="640" w:hanging="1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pind2">
    <w:name w:val="pind2"/>
    <w:basedOn w:val="Normal"/>
    <w:rsid w:val="00B10085"/>
    <w:pPr>
      <w:tabs>
        <w:tab w:val="left" w:pos="397"/>
      </w:tabs>
      <w:spacing w:after="0" w:line="240" w:lineRule="auto"/>
      <w:ind w:left="397" w:hanging="284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pind29">
    <w:name w:val="pind29"/>
    <w:basedOn w:val="Normal"/>
    <w:rsid w:val="00B10085"/>
    <w:pPr>
      <w:tabs>
        <w:tab w:val="left" w:pos="397"/>
      </w:tabs>
      <w:spacing w:after="0" w:line="240" w:lineRule="auto"/>
      <w:ind w:left="397" w:hanging="284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pind9">
    <w:name w:val="pind9"/>
    <w:basedOn w:val="Normal"/>
    <w:rsid w:val="00B10085"/>
    <w:pPr>
      <w:tabs>
        <w:tab w:val="left" w:pos="397"/>
      </w:tabs>
      <w:spacing w:after="0" w:line="240" w:lineRule="auto"/>
      <w:ind w:left="397" w:hanging="397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pretitel0">
    <w:name w:val="pretitel0"/>
    <w:basedOn w:val="Normal"/>
    <w:rsid w:val="00B10085"/>
    <w:pPr>
      <w:spacing w:after="72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pretitel1">
    <w:name w:val="pretitel1"/>
    <w:basedOn w:val="Normal"/>
    <w:rsid w:val="00B10085"/>
    <w:pPr>
      <w:spacing w:before="240" w:after="60" w:line="240" w:lineRule="auto"/>
      <w:jc w:val="center"/>
    </w:pPr>
    <w:rPr>
      <w:rFonts w:ascii="Tahoma" w:eastAsia="Times New Roman" w:hAnsi="Tahoma" w:cs="Tahoma"/>
      <w:b/>
      <w:bCs/>
      <w:color w:val="000000"/>
      <w:sz w:val="40"/>
      <w:szCs w:val="40"/>
      <w:lang w:eastAsia="da-DK"/>
    </w:rPr>
  </w:style>
  <w:style w:type="paragraph" w:customStyle="1" w:styleId="pretitel2">
    <w:name w:val="pretitel2"/>
    <w:basedOn w:val="Normal"/>
    <w:rsid w:val="00B10085"/>
    <w:pPr>
      <w:spacing w:before="120" w:after="2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resume">
    <w:name w:val="resume"/>
    <w:basedOn w:val="Normal"/>
    <w:rsid w:val="00B10085"/>
    <w:pPr>
      <w:shd w:val="clear" w:color="auto" w:fill="CCCCCC"/>
      <w:spacing w:before="180" w:after="330" w:line="240" w:lineRule="auto"/>
      <w:ind w:firstLine="56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resumetekst">
    <w:name w:val="resumetekst"/>
    <w:basedOn w:val="Normal"/>
    <w:rsid w:val="00B10085"/>
    <w:pPr>
      <w:spacing w:before="60" w:after="6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ign0">
    <w:name w:val="sign0"/>
    <w:basedOn w:val="Normal"/>
    <w:rsid w:val="00B10085"/>
    <w:pPr>
      <w:spacing w:before="240" w:after="60" w:line="36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krfrem">
    <w:name w:val="skrfrem"/>
    <w:basedOn w:val="Normal"/>
    <w:rsid w:val="00B10085"/>
    <w:pPr>
      <w:pageBreakBefore/>
      <w:spacing w:before="720" w:after="240" w:line="240" w:lineRule="auto"/>
      <w:jc w:val="center"/>
    </w:pPr>
    <w:rPr>
      <w:rFonts w:ascii="Tahoma" w:eastAsia="Times New Roman" w:hAnsi="Tahoma" w:cs="Tahoma"/>
      <w:b/>
      <w:bCs/>
      <w:i/>
      <w:iCs/>
      <w:color w:val="000000"/>
      <w:sz w:val="40"/>
      <w:szCs w:val="40"/>
      <w:lang w:eastAsia="da-DK"/>
    </w:rPr>
  </w:style>
  <w:style w:type="paragraph" w:customStyle="1" w:styleId="slutnotetekst">
    <w:name w:val="slutnotetekst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eastAsia="da-DK"/>
    </w:rPr>
  </w:style>
  <w:style w:type="paragraph" w:customStyle="1" w:styleId="smalltabeltekst">
    <w:name w:val="smalltabeltekst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eastAsia="da-DK"/>
    </w:rPr>
  </w:style>
  <w:style w:type="paragraph" w:customStyle="1" w:styleId="stk">
    <w:name w:val="stk"/>
    <w:basedOn w:val="Normal"/>
    <w:rsid w:val="00B10085"/>
    <w:pPr>
      <w:spacing w:after="0" w:line="240" w:lineRule="auto"/>
      <w:ind w:firstLine="17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ab1">
    <w:name w:val="tab1"/>
    <w:basedOn w:val="Normal"/>
    <w:rsid w:val="00B10085"/>
    <w:pPr>
      <w:spacing w:after="0" w:line="240" w:lineRule="auto"/>
      <w:ind w:left="220" w:hanging="22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ab2">
    <w:name w:val="tab2"/>
    <w:basedOn w:val="Normal"/>
    <w:rsid w:val="00B10085"/>
    <w:pPr>
      <w:spacing w:after="0" w:line="240" w:lineRule="auto"/>
      <w:ind w:left="440" w:hanging="22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ab3">
    <w:name w:val="tab3"/>
    <w:basedOn w:val="Normal"/>
    <w:rsid w:val="00B10085"/>
    <w:pPr>
      <w:spacing w:after="0" w:line="240" w:lineRule="auto"/>
      <w:ind w:left="660" w:hanging="22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abelfod">
    <w:name w:val="tabelfod"/>
    <w:basedOn w:val="Normal"/>
    <w:rsid w:val="00B10085"/>
    <w:pPr>
      <w:spacing w:after="0" w:line="240" w:lineRule="auto"/>
      <w:ind w:left="284" w:hanging="284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abelhoved">
    <w:name w:val="tabelhoved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abeloverskrift">
    <w:name w:val="tabeloverskrift"/>
    <w:basedOn w:val="Normal"/>
    <w:rsid w:val="00B10085"/>
    <w:pPr>
      <w:spacing w:after="0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tabeltekst">
    <w:name w:val="tabeltekst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abeltekst9">
    <w:name w:val="tabeltekst9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abelteksthjre">
    <w:name w:val="tabelteksthjre"/>
    <w:basedOn w:val="Normal"/>
    <w:rsid w:val="00B10085"/>
    <w:pPr>
      <w:spacing w:after="0" w:line="240" w:lineRule="auto"/>
      <w:jc w:val="right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abelteksthjre0">
    <w:name w:val="tabelteksthøjre"/>
    <w:basedOn w:val="Normal"/>
    <w:rsid w:val="00B10085"/>
    <w:pPr>
      <w:spacing w:after="0" w:line="240" w:lineRule="auto"/>
      <w:jc w:val="right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ekst">
    <w:name w:val="tekst"/>
    <w:basedOn w:val="Normal"/>
    <w:rsid w:val="00B10085"/>
    <w:pPr>
      <w:spacing w:before="60" w:after="6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ekst0">
    <w:name w:val="tekst0"/>
    <w:basedOn w:val="Normal"/>
    <w:rsid w:val="00B10085"/>
    <w:pPr>
      <w:spacing w:after="6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ekst1">
    <w:name w:val="tekst1"/>
    <w:basedOn w:val="Normal"/>
    <w:rsid w:val="00B10085"/>
    <w:pPr>
      <w:spacing w:after="6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ekst1sp">
    <w:name w:val="tekst1sp"/>
    <w:basedOn w:val="Normal"/>
    <w:rsid w:val="00B10085"/>
    <w:pPr>
      <w:spacing w:before="60" w:after="6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ekst9">
    <w:name w:val="tekst9"/>
    <w:basedOn w:val="Normal"/>
    <w:rsid w:val="00B10085"/>
    <w:pPr>
      <w:spacing w:before="60" w:after="6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ekstoverskrift">
    <w:name w:val="tekstoverskrift"/>
    <w:basedOn w:val="Normal"/>
    <w:rsid w:val="00B10085"/>
    <w:pPr>
      <w:keepNext/>
      <w:spacing w:before="240" w:after="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tekstoverskriftb">
    <w:name w:val="tekstoverskriftb"/>
    <w:basedOn w:val="Normal"/>
    <w:rsid w:val="00B10085"/>
    <w:pPr>
      <w:keepNext/>
      <w:spacing w:before="240" w:after="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tekstoverskriftbm">
    <w:name w:val="tekstoverskriftbm"/>
    <w:basedOn w:val="Normal"/>
    <w:rsid w:val="00B10085"/>
    <w:pPr>
      <w:keepNext/>
      <w:spacing w:before="240" w:after="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tekstoverskriftvenstre">
    <w:name w:val="tekstoverskriftvenstre"/>
    <w:basedOn w:val="Normal"/>
    <w:rsid w:val="00B10085"/>
    <w:pPr>
      <w:keepNext/>
      <w:spacing w:before="240" w:after="0" w:line="240" w:lineRule="auto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tekstoverskriftvenstrebm">
    <w:name w:val="tekstoverskriftvenstrebm"/>
    <w:basedOn w:val="Normal"/>
    <w:rsid w:val="00B10085"/>
    <w:pPr>
      <w:keepNext/>
      <w:spacing w:before="240" w:after="0" w:line="240" w:lineRule="auto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tekstoverskriftvenstren">
    <w:name w:val="tekstoverskriftvenstren"/>
    <w:basedOn w:val="Normal"/>
    <w:rsid w:val="00B10085"/>
    <w:pPr>
      <w:keepNext/>
      <w:spacing w:before="240" w:after="0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tekstoverskriftfob">
    <w:name w:val="tekstoverskriftfob"/>
    <w:basedOn w:val="Normal"/>
    <w:rsid w:val="00B10085"/>
    <w:pPr>
      <w:keepNext/>
      <w:spacing w:before="240" w:after="0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tekstresume">
    <w:name w:val="tekstresume"/>
    <w:basedOn w:val="Normal"/>
    <w:rsid w:val="00B10085"/>
    <w:pPr>
      <w:keepNext/>
      <w:spacing w:before="240" w:after="0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tekstv">
    <w:name w:val="tekstv"/>
    <w:basedOn w:val="Normal"/>
    <w:rsid w:val="00B10085"/>
    <w:pPr>
      <w:spacing w:before="60" w:after="6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itel">
    <w:name w:val="titel"/>
    <w:basedOn w:val="Normal"/>
    <w:rsid w:val="00B10085"/>
    <w:pPr>
      <w:spacing w:before="240" w:after="60" w:line="240" w:lineRule="auto"/>
      <w:jc w:val="center"/>
    </w:pPr>
    <w:rPr>
      <w:rFonts w:ascii="Tahoma" w:eastAsia="Times New Roman" w:hAnsi="Tahoma" w:cs="Tahoma"/>
      <w:color w:val="000000"/>
      <w:sz w:val="48"/>
      <w:szCs w:val="48"/>
      <w:lang w:eastAsia="da-DK"/>
    </w:rPr>
  </w:style>
  <w:style w:type="paragraph" w:customStyle="1" w:styleId="Title1">
    <w:name w:val="Title1"/>
    <w:basedOn w:val="Normal"/>
    <w:rsid w:val="00B10085"/>
    <w:pPr>
      <w:spacing w:before="240" w:after="60" w:line="240" w:lineRule="auto"/>
      <w:jc w:val="center"/>
    </w:pPr>
    <w:rPr>
      <w:rFonts w:ascii="Tahoma" w:eastAsia="Times New Roman" w:hAnsi="Tahoma" w:cs="Tahoma"/>
      <w:b/>
      <w:bCs/>
      <w:color w:val="000000"/>
      <w:sz w:val="48"/>
      <w:szCs w:val="48"/>
      <w:lang w:eastAsia="da-DK"/>
    </w:rPr>
  </w:style>
  <w:style w:type="paragraph" w:customStyle="1" w:styleId="undertitel">
    <w:name w:val="undertitel"/>
    <w:basedOn w:val="Normal"/>
    <w:rsid w:val="00B10085"/>
    <w:pPr>
      <w:spacing w:after="6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styleId="Subtitle">
    <w:name w:val="Subtitle"/>
    <w:basedOn w:val="Normal"/>
    <w:link w:val="SubtitleChar"/>
    <w:uiPriority w:val="11"/>
    <w:qFormat/>
    <w:rsid w:val="00B10085"/>
    <w:pPr>
      <w:spacing w:after="6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SubtitleChar">
    <w:name w:val="Subtitle Char"/>
    <w:basedOn w:val="DefaultParagraphFont"/>
    <w:link w:val="Subtitle"/>
    <w:uiPriority w:val="11"/>
    <w:rsid w:val="00B10085"/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afsnit">
    <w:name w:val="afsnit"/>
    <w:basedOn w:val="Normal"/>
    <w:rsid w:val="00B10085"/>
    <w:pPr>
      <w:spacing w:before="400" w:after="12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afsnitoverskrift">
    <w:name w:val="afsnitoverskrift"/>
    <w:basedOn w:val="Normal"/>
    <w:rsid w:val="00B10085"/>
    <w:pPr>
      <w:spacing w:before="120" w:after="20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aendringmednummer">
    <w:name w:val="aendringmednummer"/>
    <w:basedOn w:val="Normal"/>
    <w:rsid w:val="00B10085"/>
    <w:pPr>
      <w:spacing w:before="200"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aendringudennummer">
    <w:name w:val="aendringudennummer"/>
    <w:basedOn w:val="Normal"/>
    <w:rsid w:val="00B10085"/>
    <w:pPr>
      <w:spacing w:before="200"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aendringnr">
    <w:name w:val="aendringn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aendringnytekst">
    <w:name w:val="aendringnytekst"/>
    <w:basedOn w:val="Normal"/>
    <w:rsid w:val="00B10085"/>
    <w:pPr>
      <w:spacing w:before="20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aendringsbeskrivelse">
    <w:name w:val="aendringsbeskrivelse"/>
    <w:basedOn w:val="Normal"/>
    <w:rsid w:val="00B10085"/>
    <w:pPr>
      <w:spacing w:after="6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aendringsforslagindhold">
    <w:name w:val="aendringsforslagindhold"/>
    <w:basedOn w:val="Normal"/>
    <w:rsid w:val="00B10085"/>
    <w:pPr>
      <w:spacing w:before="220" w:after="80" w:line="240" w:lineRule="auto"/>
      <w:jc w:val="center"/>
    </w:pPr>
    <w:rPr>
      <w:rFonts w:ascii="Tahoma" w:eastAsia="Times New Roman" w:hAnsi="Tahoma" w:cs="Tahoma"/>
      <w:color w:val="000000"/>
      <w:spacing w:val="44"/>
      <w:sz w:val="24"/>
      <w:szCs w:val="24"/>
      <w:lang w:eastAsia="da-DK"/>
    </w:rPr>
  </w:style>
  <w:style w:type="paragraph" w:customStyle="1" w:styleId="aendringbilag">
    <w:name w:val="aendringbilag"/>
    <w:basedOn w:val="Normal"/>
    <w:rsid w:val="00B10085"/>
    <w:pPr>
      <w:spacing w:after="120" w:line="240" w:lineRule="auto"/>
      <w:jc w:val="right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ilag">
    <w:name w:val="bilag"/>
    <w:basedOn w:val="Normal"/>
    <w:rsid w:val="00B10085"/>
    <w:pPr>
      <w:spacing w:before="400" w:after="120" w:line="240" w:lineRule="auto"/>
      <w:jc w:val="right"/>
    </w:pPr>
    <w:rPr>
      <w:rFonts w:ascii="Tahoma" w:eastAsia="Times New Roman" w:hAnsi="Tahoma" w:cs="Tahoma"/>
      <w:b/>
      <w:bCs/>
      <w:color w:val="000000"/>
      <w:sz w:val="35"/>
      <w:szCs w:val="35"/>
      <w:lang w:eastAsia="da-DK"/>
    </w:rPr>
  </w:style>
  <w:style w:type="paragraph" w:customStyle="1" w:styleId="bilagtekst">
    <w:name w:val="bilagtekst"/>
    <w:basedOn w:val="Normal"/>
    <w:rsid w:val="00B10085"/>
    <w:pPr>
      <w:spacing w:after="120" w:line="240" w:lineRule="auto"/>
      <w:jc w:val="center"/>
    </w:pPr>
    <w:rPr>
      <w:rFonts w:ascii="Tahoma" w:eastAsia="Times New Roman" w:hAnsi="Tahoma" w:cs="Tahoma"/>
      <w:b/>
      <w:bCs/>
      <w:color w:val="000000"/>
      <w:sz w:val="30"/>
      <w:szCs w:val="30"/>
      <w:lang w:eastAsia="da-DK"/>
    </w:rPr>
  </w:style>
  <w:style w:type="paragraph" w:customStyle="1" w:styleId="bog">
    <w:name w:val="bog"/>
    <w:basedOn w:val="Normal"/>
    <w:rsid w:val="00B10085"/>
    <w:pPr>
      <w:spacing w:before="400" w:after="12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bogoverskrift">
    <w:name w:val="bogoverskrift"/>
    <w:basedOn w:val="Normal"/>
    <w:rsid w:val="00B10085"/>
    <w:pPr>
      <w:spacing w:before="120" w:after="20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centreretparagraf">
    <w:name w:val="centreretparagraf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ikraftcentreretparagrafnummer">
    <w:name w:val="ikraftcentreretparagrafnummer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centreretparagraftekst">
    <w:name w:val="centreretparagraftekst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dokumenthoved">
    <w:name w:val="dokumenthoved"/>
    <w:basedOn w:val="Normal"/>
    <w:rsid w:val="00B10085"/>
    <w:pPr>
      <w:spacing w:before="100" w:beforeAutospacing="1" w:after="20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indholdsfortegnelse">
    <w:name w:val="indholdsfortegnelse"/>
    <w:basedOn w:val="Normal"/>
    <w:rsid w:val="00B10085"/>
    <w:pPr>
      <w:spacing w:before="80" w:after="80" w:line="240" w:lineRule="auto"/>
      <w:ind w:left="70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indholdsfortegnelseid">
    <w:name w:val="indholdsfortegnelseid"/>
    <w:basedOn w:val="Normal"/>
    <w:rsid w:val="00B10085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indholdsfortegnelsetekst">
    <w:name w:val="indholdsfortegnelsetekst"/>
    <w:basedOn w:val="Normal"/>
    <w:rsid w:val="00B10085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hymne2">
    <w:name w:val="hymne2"/>
    <w:basedOn w:val="Normal"/>
    <w:rsid w:val="00B10085"/>
    <w:pPr>
      <w:spacing w:before="120" w:after="12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kapitel">
    <w:name w:val="kapitel"/>
    <w:basedOn w:val="Normal"/>
    <w:rsid w:val="00B10085"/>
    <w:pPr>
      <w:spacing w:before="400" w:after="10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kapiteloverskrift2">
    <w:name w:val="kapiteloverskrift2"/>
    <w:basedOn w:val="Normal"/>
    <w:rsid w:val="00B10085"/>
    <w:pPr>
      <w:spacing w:after="10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paragrafgruppeoverskrift">
    <w:name w:val="paragrafgruppeoverskrift"/>
    <w:basedOn w:val="Normal"/>
    <w:rsid w:val="00B10085"/>
    <w:pPr>
      <w:spacing w:before="300" w:after="10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paragraf">
    <w:name w:val="paragraf"/>
    <w:basedOn w:val="Normal"/>
    <w:rsid w:val="00B10085"/>
    <w:pPr>
      <w:spacing w:before="200"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paragrafoverskrift">
    <w:name w:val="paragrafoverskrift"/>
    <w:basedOn w:val="Normal"/>
    <w:rsid w:val="00B10085"/>
    <w:pPr>
      <w:spacing w:before="120" w:after="20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paragrafnr">
    <w:name w:val="paragrafn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stk2">
    <w:name w:val="stk2"/>
    <w:basedOn w:val="Normal"/>
    <w:rsid w:val="00B10085"/>
    <w:pPr>
      <w:spacing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tknr">
    <w:name w:val="stkn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traktatstk">
    <w:name w:val="traktatstk"/>
    <w:basedOn w:val="Normal"/>
    <w:rsid w:val="00B10085"/>
    <w:pPr>
      <w:spacing w:before="200" w:after="20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ste1">
    <w:name w:val="liste1"/>
    <w:basedOn w:val="Normal"/>
    <w:rsid w:val="00B10085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ste1nr">
    <w:name w:val="liste1nr"/>
    <w:basedOn w:val="Normal"/>
    <w:rsid w:val="00B10085"/>
    <w:pPr>
      <w:spacing w:before="100" w:beforeAutospacing="1" w:after="100" w:afterAutospacing="1" w:line="240" w:lineRule="auto"/>
      <w:ind w:left="-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ste2">
    <w:name w:val="liste2"/>
    <w:basedOn w:val="Normal"/>
    <w:rsid w:val="00B10085"/>
    <w:pPr>
      <w:spacing w:after="0" w:line="240" w:lineRule="auto"/>
      <w:ind w:left="56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ste2nr">
    <w:name w:val="liste2nr"/>
    <w:basedOn w:val="Normal"/>
    <w:rsid w:val="00B10085"/>
    <w:pPr>
      <w:spacing w:before="100" w:beforeAutospacing="1" w:after="100" w:afterAutospacing="1" w:line="240" w:lineRule="auto"/>
      <w:ind w:left="-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ste3">
    <w:name w:val="liste3"/>
    <w:basedOn w:val="Normal"/>
    <w:rsid w:val="00B10085"/>
    <w:pPr>
      <w:spacing w:after="0" w:line="240" w:lineRule="auto"/>
      <w:ind w:left="8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ste3nr">
    <w:name w:val="liste3nr"/>
    <w:basedOn w:val="Normal"/>
    <w:rsid w:val="00B10085"/>
    <w:pPr>
      <w:spacing w:before="100" w:beforeAutospacing="1" w:after="100" w:afterAutospacing="1" w:line="240" w:lineRule="auto"/>
      <w:ind w:left="-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ste4">
    <w:name w:val="liste4"/>
    <w:basedOn w:val="Normal"/>
    <w:rsid w:val="00B10085"/>
    <w:pPr>
      <w:spacing w:after="0" w:line="240" w:lineRule="auto"/>
      <w:ind w:left="112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ste4nr">
    <w:name w:val="liste4nr"/>
    <w:basedOn w:val="Normal"/>
    <w:rsid w:val="00B10085"/>
    <w:pPr>
      <w:spacing w:before="100" w:beforeAutospacing="1" w:after="100" w:afterAutospacing="1" w:line="240" w:lineRule="auto"/>
      <w:ind w:left="-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ekst2">
    <w:name w:val="tekst2"/>
    <w:basedOn w:val="Normal"/>
    <w:rsid w:val="00B10085"/>
    <w:pPr>
      <w:spacing w:after="0" w:line="240" w:lineRule="auto"/>
      <w:ind w:firstLine="240"/>
      <w:jc w:val="both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ekstgenerel">
    <w:name w:val="tekstgenerel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medunderskriver">
    <w:name w:val="medunderskriver"/>
    <w:basedOn w:val="Normal"/>
    <w:rsid w:val="00B10085"/>
    <w:pPr>
      <w:spacing w:before="200" w:after="0" w:line="240" w:lineRule="auto"/>
      <w:jc w:val="right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jelke2">
    <w:name w:val="bjelke2"/>
    <w:basedOn w:val="Normal"/>
    <w:rsid w:val="00B10085"/>
    <w:pPr>
      <w:shd w:val="clear" w:color="auto" w:fill="B0B0B0"/>
      <w:spacing w:before="300" w:after="150" w:line="240" w:lineRule="auto"/>
      <w:jc w:val="center"/>
    </w:pPr>
    <w:rPr>
      <w:rFonts w:ascii="Tahoma" w:eastAsia="Times New Roman" w:hAnsi="Tahoma" w:cs="Tahoma"/>
      <w:color w:val="000090"/>
      <w:sz w:val="24"/>
      <w:szCs w:val="24"/>
      <w:lang w:eastAsia="da-DK"/>
    </w:rPr>
  </w:style>
  <w:style w:type="paragraph" w:customStyle="1" w:styleId="bold">
    <w:name w:val="bold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notbold">
    <w:name w:val="notbold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italic">
    <w:name w:val="italic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notitalic">
    <w:name w:val="notitalic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underline">
    <w:name w:val="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u w:val="single"/>
      <w:lang w:eastAsia="da-DK"/>
    </w:rPr>
  </w:style>
  <w:style w:type="paragraph" w:customStyle="1" w:styleId="notunderline">
    <w:name w:val="not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olditalic">
    <w:name w:val="bolditalic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color w:val="000000"/>
      <w:sz w:val="24"/>
      <w:szCs w:val="24"/>
      <w:lang w:eastAsia="da-DK"/>
    </w:rPr>
  </w:style>
  <w:style w:type="paragraph" w:customStyle="1" w:styleId="boldunderline">
    <w:name w:val="bold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  <w:u w:val="single"/>
      <w:lang w:eastAsia="da-DK"/>
    </w:rPr>
  </w:style>
  <w:style w:type="paragraph" w:customStyle="1" w:styleId="italicunderline">
    <w:name w:val="italic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24"/>
      <w:szCs w:val="24"/>
      <w:u w:val="single"/>
      <w:lang w:eastAsia="da-DK"/>
    </w:rPr>
  </w:style>
  <w:style w:type="paragraph" w:customStyle="1" w:styleId="bolditalicunderline">
    <w:name w:val="bolditalic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color w:val="000000"/>
      <w:sz w:val="24"/>
      <w:szCs w:val="24"/>
      <w:u w:val="single"/>
      <w:lang w:eastAsia="da-DK"/>
    </w:rPr>
  </w:style>
  <w:style w:type="paragraph" w:customStyle="1" w:styleId="superscriptbold">
    <w:name w:val="superscriptbold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  <w:vertAlign w:val="superscript"/>
      <w:lang w:eastAsia="da-DK"/>
    </w:rPr>
  </w:style>
  <w:style w:type="paragraph" w:customStyle="1" w:styleId="superscriptitalic">
    <w:name w:val="superscriptitalic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17"/>
      <w:szCs w:val="17"/>
      <w:vertAlign w:val="superscript"/>
      <w:lang w:eastAsia="da-DK"/>
    </w:rPr>
  </w:style>
  <w:style w:type="paragraph" w:customStyle="1" w:styleId="superscriptunderline">
    <w:name w:val="superscript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u w:val="single"/>
      <w:vertAlign w:val="superscript"/>
      <w:lang w:eastAsia="da-DK"/>
    </w:rPr>
  </w:style>
  <w:style w:type="paragraph" w:customStyle="1" w:styleId="superscriptbolditalic">
    <w:name w:val="superscriptbolditalic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color w:val="000000"/>
      <w:sz w:val="17"/>
      <w:szCs w:val="17"/>
      <w:vertAlign w:val="superscript"/>
      <w:lang w:eastAsia="da-DK"/>
    </w:rPr>
  </w:style>
  <w:style w:type="paragraph" w:customStyle="1" w:styleId="superscriptboldunderline">
    <w:name w:val="superscriptbold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  <w:u w:val="single"/>
      <w:vertAlign w:val="superscript"/>
      <w:lang w:eastAsia="da-DK"/>
    </w:rPr>
  </w:style>
  <w:style w:type="paragraph" w:customStyle="1" w:styleId="superscriptitalicunderline">
    <w:name w:val="superscriptitalic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17"/>
      <w:szCs w:val="17"/>
      <w:u w:val="single"/>
      <w:vertAlign w:val="superscript"/>
      <w:lang w:eastAsia="da-DK"/>
    </w:rPr>
  </w:style>
  <w:style w:type="paragraph" w:customStyle="1" w:styleId="superscriptbolditalicunderline">
    <w:name w:val="superscriptbolditalic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color w:val="000000"/>
      <w:sz w:val="17"/>
      <w:szCs w:val="17"/>
      <w:u w:val="single"/>
      <w:vertAlign w:val="superscript"/>
      <w:lang w:eastAsia="da-DK"/>
    </w:rPr>
  </w:style>
  <w:style w:type="paragraph" w:customStyle="1" w:styleId="subscriptbold">
    <w:name w:val="subscriptbold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  <w:vertAlign w:val="subscript"/>
      <w:lang w:eastAsia="da-DK"/>
    </w:rPr>
  </w:style>
  <w:style w:type="paragraph" w:customStyle="1" w:styleId="subscriptitalic">
    <w:name w:val="subscriptitalic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17"/>
      <w:szCs w:val="17"/>
      <w:vertAlign w:val="subscript"/>
      <w:lang w:eastAsia="da-DK"/>
    </w:rPr>
  </w:style>
  <w:style w:type="paragraph" w:customStyle="1" w:styleId="subscriptunderline">
    <w:name w:val="subscript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u w:val="single"/>
      <w:vertAlign w:val="subscript"/>
      <w:lang w:eastAsia="da-DK"/>
    </w:rPr>
  </w:style>
  <w:style w:type="paragraph" w:customStyle="1" w:styleId="subscriptbolditalic">
    <w:name w:val="subscriptbolditalic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color w:val="000000"/>
      <w:sz w:val="17"/>
      <w:szCs w:val="17"/>
      <w:vertAlign w:val="subscript"/>
      <w:lang w:eastAsia="da-DK"/>
    </w:rPr>
  </w:style>
  <w:style w:type="paragraph" w:customStyle="1" w:styleId="subscriptboldunderline">
    <w:name w:val="subscriptbold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  <w:u w:val="single"/>
      <w:vertAlign w:val="subscript"/>
      <w:lang w:eastAsia="da-DK"/>
    </w:rPr>
  </w:style>
  <w:style w:type="paragraph" w:customStyle="1" w:styleId="subscriptitalicunderline">
    <w:name w:val="subscriptitalic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17"/>
      <w:szCs w:val="17"/>
      <w:u w:val="single"/>
      <w:vertAlign w:val="subscript"/>
      <w:lang w:eastAsia="da-DK"/>
    </w:rPr>
  </w:style>
  <w:style w:type="paragraph" w:customStyle="1" w:styleId="subscriptbolditalicunderline">
    <w:name w:val="subscriptbolditalic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color w:val="000000"/>
      <w:sz w:val="17"/>
      <w:szCs w:val="17"/>
      <w:u w:val="single"/>
      <w:vertAlign w:val="subscript"/>
      <w:lang w:eastAsia="da-DK"/>
    </w:rPr>
  </w:style>
  <w:style w:type="paragraph" w:customStyle="1" w:styleId="superscript">
    <w:name w:val="superscript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vertAlign w:val="superscript"/>
      <w:lang w:eastAsia="da-DK"/>
    </w:rPr>
  </w:style>
  <w:style w:type="paragraph" w:customStyle="1" w:styleId="subscript">
    <w:name w:val="subscript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vertAlign w:val="subscript"/>
      <w:lang w:eastAsia="da-DK"/>
    </w:rPr>
  </w:style>
  <w:style w:type="paragraph" w:customStyle="1" w:styleId="tabeltekst2">
    <w:name w:val="tabeltekst2"/>
    <w:basedOn w:val="Normal"/>
    <w:rsid w:val="00B10085"/>
    <w:pPr>
      <w:spacing w:before="240"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paralleltekstheader">
    <w:name w:val="paralleltekstheader"/>
    <w:basedOn w:val="Normal"/>
    <w:rsid w:val="00B10085"/>
    <w:pPr>
      <w:spacing w:after="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paralleltekst">
    <w:name w:val="paralleltekst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ilagstreg">
    <w:name w:val="bilagstreg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progstreg">
    <w:name w:val="sprogstreg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ogoverskriftstreg">
    <w:name w:val="bogoverskriftstreg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ikraftstreg">
    <w:name w:val="ikraftstreg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ikrafttekst">
    <w:name w:val="ikrafttekst"/>
    <w:basedOn w:val="Normal"/>
    <w:rsid w:val="00B10085"/>
    <w:pPr>
      <w:spacing w:before="100" w:beforeAutospacing="1" w:after="100" w:afterAutospacing="1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fodnote">
    <w:name w:val="fodnote"/>
    <w:basedOn w:val="Normal"/>
    <w:rsid w:val="00B10085"/>
    <w:pPr>
      <w:spacing w:before="40" w:after="40" w:line="240" w:lineRule="auto"/>
    </w:pPr>
    <w:rPr>
      <w:rFonts w:ascii="Tahoma" w:eastAsia="Times New Roman" w:hAnsi="Tahoma" w:cs="Tahoma"/>
      <w:color w:val="000000"/>
      <w:sz w:val="20"/>
      <w:szCs w:val="20"/>
      <w:lang w:eastAsia="da-DK"/>
    </w:rPr>
  </w:style>
  <w:style w:type="paragraph" w:customStyle="1" w:styleId="redaktionelnote">
    <w:name w:val="redaktionelnote"/>
    <w:basedOn w:val="Normal"/>
    <w:rsid w:val="00B10085"/>
    <w:pPr>
      <w:spacing w:before="40" w:after="40" w:line="240" w:lineRule="auto"/>
    </w:pPr>
    <w:rPr>
      <w:rFonts w:ascii="Tahoma" w:eastAsia="Times New Roman" w:hAnsi="Tahoma" w:cs="Tahoma"/>
      <w:color w:val="000000"/>
      <w:sz w:val="20"/>
      <w:szCs w:val="20"/>
      <w:lang w:eastAsia="da-DK"/>
    </w:rPr>
  </w:style>
  <w:style w:type="paragraph" w:customStyle="1" w:styleId="containertable">
    <w:name w:val="containertable"/>
    <w:basedOn w:val="Normal"/>
    <w:rsid w:val="00B10085"/>
    <w:pPr>
      <w:spacing w:before="200" w:after="20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maintable">
    <w:name w:val="maintable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rykningsklausul">
    <w:name w:val="rykningsklausul"/>
    <w:basedOn w:val="Normal"/>
    <w:rsid w:val="00B10085"/>
    <w:pPr>
      <w:spacing w:after="0" w:line="240" w:lineRule="auto"/>
      <w:ind w:firstLine="17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ubtable">
    <w:name w:val="subtable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raktattitel">
    <w:name w:val="traktattitel"/>
    <w:basedOn w:val="Normal"/>
    <w:rsid w:val="00B10085"/>
    <w:pPr>
      <w:spacing w:before="480" w:after="20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traktattekst">
    <w:name w:val="traktattekst"/>
    <w:basedOn w:val="Normal"/>
    <w:rsid w:val="00B10085"/>
    <w:pPr>
      <w:spacing w:before="240"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raktatliste1">
    <w:name w:val="traktatliste1"/>
    <w:basedOn w:val="Normal"/>
    <w:rsid w:val="00B10085"/>
    <w:pPr>
      <w:spacing w:before="240"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raktatsprog">
    <w:name w:val="traktatsprog"/>
    <w:basedOn w:val="Normal"/>
    <w:rsid w:val="00B10085"/>
    <w:pPr>
      <w:spacing w:before="200" w:after="0" w:line="240" w:lineRule="auto"/>
      <w:jc w:val="right"/>
    </w:pPr>
    <w:rPr>
      <w:rFonts w:ascii="Tahoma" w:eastAsia="Times New Roman" w:hAnsi="Tahoma" w:cs="Tahoma"/>
      <w:b/>
      <w:bCs/>
      <w:color w:val="000000"/>
      <w:sz w:val="35"/>
      <w:szCs w:val="35"/>
      <w:lang w:eastAsia="da-DK"/>
    </w:rPr>
  </w:style>
  <w:style w:type="paragraph" w:customStyle="1" w:styleId="oversaettelseangivelse">
    <w:name w:val="oversaettelseangivelse"/>
    <w:basedOn w:val="Normal"/>
    <w:rsid w:val="00B10085"/>
    <w:pPr>
      <w:spacing w:before="720"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emaerkninger">
    <w:name w:val="bemaerkninger"/>
    <w:basedOn w:val="Normal"/>
    <w:rsid w:val="00B10085"/>
    <w:pPr>
      <w:spacing w:before="480" w:after="200" w:line="240" w:lineRule="auto"/>
      <w:jc w:val="center"/>
    </w:pPr>
    <w:rPr>
      <w:rFonts w:ascii="Tahoma" w:eastAsia="Times New Roman" w:hAnsi="Tahoma" w:cs="Tahoma"/>
      <w:i/>
      <w:iCs/>
      <w:color w:val="000000"/>
      <w:sz w:val="40"/>
      <w:szCs w:val="40"/>
      <w:lang w:eastAsia="da-DK"/>
    </w:rPr>
  </w:style>
  <w:style w:type="paragraph" w:customStyle="1" w:styleId="almindeligebemaerkninger">
    <w:name w:val="almindeligebemaerkninger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bemaerkningtekst">
    <w:name w:val="bemaerkningtekst"/>
    <w:basedOn w:val="Normal"/>
    <w:rsid w:val="00B10085"/>
    <w:pPr>
      <w:spacing w:before="240" w:after="0" w:line="240" w:lineRule="auto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bemaerkningertilforslagetsenkeltebestemmelser">
    <w:name w:val="bemaerkningertilforslagetsenkeltebestemmelser"/>
    <w:basedOn w:val="Normal"/>
    <w:rsid w:val="00B10085"/>
    <w:pPr>
      <w:spacing w:before="480" w:after="20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bemaerkningertilparagraf">
    <w:name w:val="bemaerkningertilparagraf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bemaerkningertilkapitel">
    <w:name w:val="bemaerkningertilkapitel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bemaerkningertilaendringsnummer">
    <w:name w:val="bemaerkningertilaendringsnummer"/>
    <w:basedOn w:val="Normal"/>
    <w:rsid w:val="00B10085"/>
    <w:pPr>
      <w:spacing w:before="20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emaerkningertilstk">
    <w:name w:val="bemaerkningertilstk"/>
    <w:basedOn w:val="Normal"/>
    <w:rsid w:val="00B10085"/>
    <w:pPr>
      <w:spacing w:before="200" w:after="0" w:line="240" w:lineRule="auto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skriftligfremsaettelse">
    <w:name w:val="skriftligfremsaettelse"/>
    <w:basedOn w:val="Normal"/>
    <w:rsid w:val="00B10085"/>
    <w:pPr>
      <w:spacing w:before="240" w:after="200" w:line="240" w:lineRule="auto"/>
      <w:jc w:val="center"/>
    </w:pPr>
    <w:rPr>
      <w:rFonts w:ascii="Tahoma" w:eastAsia="Times New Roman" w:hAnsi="Tahoma" w:cs="Tahoma"/>
      <w:i/>
      <w:iCs/>
      <w:color w:val="000000"/>
      <w:sz w:val="40"/>
      <w:szCs w:val="40"/>
      <w:lang w:eastAsia="da-DK"/>
    </w:rPr>
  </w:style>
  <w:style w:type="paragraph" w:customStyle="1" w:styleId="fremsaetter">
    <w:name w:val="fremsaetter"/>
    <w:basedOn w:val="Normal"/>
    <w:rsid w:val="00B10085"/>
    <w:pPr>
      <w:spacing w:after="10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forslagstitel">
    <w:name w:val="forslagstitel"/>
    <w:basedOn w:val="Normal"/>
    <w:rsid w:val="00B10085"/>
    <w:pPr>
      <w:spacing w:before="120" w:after="40" w:line="240" w:lineRule="auto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forslagsnummer">
    <w:name w:val="forslagsnummer"/>
    <w:basedOn w:val="Normal"/>
    <w:rsid w:val="00B10085"/>
    <w:pPr>
      <w:spacing w:before="40" w:after="12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etaenkningstekst1">
    <w:name w:val="betaenkningstekst1"/>
    <w:basedOn w:val="Normal"/>
    <w:rsid w:val="00B10085"/>
    <w:pPr>
      <w:spacing w:before="200" w:after="0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betaenkningstekst2">
    <w:name w:val="betaenkningstekst2"/>
    <w:basedOn w:val="Normal"/>
    <w:rsid w:val="00B10085"/>
    <w:pPr>
      <w:spacing w:before="200" w:after="0" w:line="240" w:lineRule="auto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beretningsunderskriverpuv">
    <w:name w:val="beretningsunderskriverpuv"/>
    <w:basedOn w:val="Normal"/>
    <w:rsid w:val="00B10085"/>
    <w:pPr>
      <w:spacing w:before="700" w:after="340" w:line="240" w:lineRule="auto"/>
      <w:jc w:val="center"/>
    </w:pPr>
    <w:rPr>
      <w:rFonts w:ascii="Tahoma" w:eastAsia="Times New Roman" w:hAnsi="Tahoma" w:cs="Tahoma"/>
      <w:caps/>
      <w:color w:val="000000"/>
      <w:sz w:val="24"/>
      <w:szCs w:val="24"/>
      <w:lang w:eastAsia="da-DK"/>
    </w:rPr>
  </w:style>
  <w:style w:type="paragraph" w:customStyle="1" w:styleId="beretningsunderskrivertekst">
    <w:name w:val="beretningsunderskrivertekst"/>
    <w:basedOn w:val="Normal"/>
    <w:rsid w:val="00B10085"/>
    <w:pPr>
      <w:spacing w:after="0" w:line="240" w:lineRule="auto"/>
      <w:jc w:val="center"/>
    </w:pPr>
    <w:rPr>
      <w:rFonts w:ascii="Tahoma" w:eastAsia="Times New Roman" w:hAnsi="Tahoma" w:cs="Tahoma"/>
      <w:caps/>
      <w:color w:val="000000"/>
      <w:sz w:val="24"/>
      <w:szCs w:val="24"/>
      <w:lang w:eastAsia="da-DK"/>
    </w:rPr>
  </w:style>
  <w:style w:type="paragraph" w:customStyle="1" w:styleId="tilparagrafgruppe">
    <w:name w:val="tilparagrafgruppe"/>
    <w:basedOn w:val="Normal"/>
    <w:rsid w:val="00B10085"/>
    <w:pPr>
      <w:spacing w:before="180" w:after="6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tilparagrafgruppeoverskrift">
    <w:name w:val="tilparagrafgruppeoverskrift"/>
    <w:basedOn w:val="Normal"/>
    <w:rsid w:val="00B10085"/>
    <w:pPr>
      <w:spacing w:after="6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ilparagraf">
    <w:name w:val="tilparagraf"/>
    <w:basedOn w:val="Normal"/>
    <w:rsid w:val="00B10085"/>
    <w:pPr>
      <w:spacing w:before="20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tiller">
    <w:name w:val="stiller"/>
    <w:basedOn w:val="Normal"/>
    <w:rsid w:val="00B10085"/>
    <w:pPr>
      <w:spacing w:before="120"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etaenkningsbemaerkninger">
    <w:name w:val="betaenkningsbemaerkninger"/>
    <w:basedOn w:val="Normal"/>
    <w:rsid w:val="00B10085"/>
    <w:pPr>
      <w:spacing w:before="220" w:after="80" w:line="240" w:lineRule="auto"/>
      <w:jc w:val="center"/>
    </w:pPr>
    <w:rPr>
      <w:rFonts w:ascii="Tahoma" w:eastAsia="Times New Roman" w:hAnsi="Tahoma" w:cs="Tahoma"/>
      <w:color w:val="000000"/>
      <w:spacing w:val="44"/>
      <w:sz w:val="24"/>
      <w:szCs w:val="24"/>
      <w:lang w:eastAsia="da-DK"/>
    </w:rPr>
  </w:style>
  <w:style w:type="paragraph" w:customStyle="1" w:styleId="betaenkningtilaendringsnummer">
    <w:name w:val="betaenkningtilaendringsnummer"/>
    <w:basedOn w:val="Normal"/>
    <w:rsid w:val="00B10085"/>
    <w:pPr>
      <w:spacing w:before="20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udvalgssammensaetning">
    <w:name w:val="udvalgssammensaetning"/>
    <w:basedOn w:val="Normal"/>
    <w:rsid w:val="00B10085"/>
    <w:pPr>
      <w:spacing w:before="440" w:line="400" w:lineRule="atLeast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medlemstitel">
    <w:name w:val="medlemstitel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ikkemedlemmer2">
    <w:name w:val="ikkemedlemmer2"/>
    <w:basedOn w:val="Normal"/>
    <w:rsid w:val="00B10085"/>
    <w:pPr>
      <w:spacing w:before="160" w:after="400" w:line="240" w:lineRule="auto"/>
      <w:ind w:firstLine="17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partinavn">
    <w:name w:val="partinavn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partimandater">
    <w:name w:val="partimandate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partinote">
    <w:name w:val="partinot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folketingetssammensaetning">
    <w:name w:val="folketingetssammensaetning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titelprefiks1">
    <w:name w:val="titelprefiks1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b/>
      <w:bCs/>
      <w:color w:val="000000"/>
      <w:sz w:val="40"/>
      <w:szCs w:val="40"/>
      <w:lang w:eastAsia="da-DK"/>
    </w:rPr>
  </w:style>
  <w:style w:type="paragraph" w:customStyle="1" w:styleId="titelprefiks2">
    <w:name w:val="titelprefiks2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color w:val="000000"/>
      <w:sz w:val="30"/>
      <w:szCs w:val="30"/>
      <w:lang w:eastAsia="da-DK"/>
    </w:rPr>
  </w:style>
  <w:style w:type="paragraph" w:customStyle="1" w:styleId="titel2">
    <w:name w:val="titel2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color w:val="000000"/>
      <w:sz w:val="40"/>
      <w:szCs w:val="40"/>
      <w:lang w:eastAsia="da-DK"/>
    </w:rPr>
  </w:style>
  <w:style w:type="paragraph" w:customStyle="1" w:styleId="titelprefiks1b3">
    <w:name w:val="titelprefiks1_b3"/>
    <w:basedOn w:val="Normal"/>
    <w:rsid w:val="00B10085"/>
    <w:pPr>
      <w:spacing w:after="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titelprefiks2b3">
    <w:name w:val="titelprefiks2_b3"/>
    <w:basedOn w:val="Normal"/>
    <w:rsid w:val="00B10085"/>
    <w:pPr>
      <w:spacing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itel2b3">
    <w:name w:val="titel2_b3"/>
    <w:basedOn w:val="Normal"/>
    <w:rsid w:val="00B10085"/>
    <w:pPr>
      <w:spacing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itel2aendring">
    <w:name w:val="titel2aendring"/>
    <w:basedOn w:val="Normal"/>
    <w:rsid w:val="00B10085"/>
    <w:pPr>
      <w:spacing w:before="120" w:after="20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udkastprefiks1">
    <w:name w:val="udkastprefiks1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color w:val="000000"/>
      <w:sz w:val="40"/>
      <w:szCs w:val="40"/>
      <w:lang w:eastAsia="da-DK"/>
    </w:rPr>
  </w:style>
  <w:style w:type="paragraph" w:customStyle="1" w:styleId="udkastprefiks2">
    <w:name w:val="udkastprefiks2"/>
    <w:basedOn w:val="Normal"/>
    <w:rsid w:val="00B10085"/>
    <w:pPr>
      <w:spacing w:after="20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undertitel2">
    <w:name w:val="undertitel2"/>
    <w:basedOn w:val="Normal"/>
    <w:rsid w:val="00B10085"/>
    <w:pPr>
      <w:spacing w:after="20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itelprefiks1b2">
    <w:name w:val="titelprefiks1_b2"/>
    <w:basedOn w:val="Normal"/>
    <w:rsid w:val="00B10085"/>
    <w:pPr>
      <w:keepNext/>
      <w:spacing w:before="200" w:after="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titelprefiks2b2">
    <w:name w:val="titelprefiks2_b2"/>
    <w:basedOn w:val="Normal"/>
    <w:rsid w:val="00B10085"/>
    <w:pPr>
      <w:keepNext/>
      <w:spacing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itel2b2">
    <w:name w:val="titel2_b2"/>
    <w:basedOn w:val="Normal"/>
    <w:rsid w:val="00B10085"/>
    <w:pPr>
      <w:keepNext/>
      <w:spacing w:after="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undertitel2b2">
    <w:name w:val="undertitel2_b2"/>
    <w:basedOn w:val="Normal"/>
    <w:rsid w:val="00B10085"/>
    <w:pPr>
      <w:spacing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underskriftsteddato">
    <w:name w:val="underskriftsteddato"/>
    <w:basedOn w:val="Normal"/>
    <w:rsid w:val="00B10085"/>
    <w:pPr>
      <w:spacing w:before="480" w:after="20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underskriverbemyndigelse">
    <w:name w:val="underskriverbemyndigelse"/>
    <w:basedOn w:val="Normal"/>
    <w:rsid w:val="00B10085"/>
    <w:pPr>
      <w:spacing w:before="20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underskriver">
    <w:name w:val="underskriver"/>
    <w:basedOn w:val="Normal"/>
    <w:rsid w:val="00B10085"/>
    <w:pPr>
      <w:spacing w:before="200" w:after="0" w:line="240" w:lineRule="auto"/>
      <w:jc w:val="center"/>
    </w:pPr>
    <w:rPr>
      <w:rFonts w:ascii="Tahoma" w:eastAsia="Times New Roman" w:hAnsi="Tahoma" w:cs="Tahoma"/>
      <w:smallCaps/>
      <w:color w:val="000000"/>
      <w:sz w:val="24"/>
      <w:szCs w:val="24"/>
      <w:lang w:eastAsia="da-DK"/>
    </w:rPr>
  </w:style>
  <w:style w:type="paragraph" w:customStyle="1" w:styleId="underskrivertitel">
    <w:name w:val="underskrivertitel"/>
    <w:basedOn w:val="Normal"/>
    <w:rsid w:val="00B10085"/>
    <w:pPr>
      <w:spacing w:before="20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ubtitle1">
    <w:name w:val="Subtitle1"/>
    <w:basedOn w:val="Normal"/>
    <w:rsid w:val="00B10085"/>
    <w:pPr>
      <w:spacing w:before="40" w:after="0" w:line="240" w:lineRule="auto"/>
      <w:jc w:val="center"/>
    </w:pPr>
    <w:rPr>
      <w:rFonts w:ascii="Tahoma" w:eastAsia="Times New Roman" w:hAnsi="Tahoma" w:cs="Tahoma"/>
      <w:color w:val="000000"/>
      <w:sz w:val="35"/>
      <w:szCs w:val="35"/>
      <w:lang w:eastAsia="da-DK"/>
    </w:rPr>
  </w:style>
  <w:style w:type="paragraph" w:customStyle="1" w:styleId="omtryktitel">
    <w:name w:val="omtryktitel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omtryknote">
    <w:name w:val="omtryknote"/>
    <w:basedOn w:val="Normal"/>
    <w:rsid w:val="00B10085"/>
    <w:pPr>
      <w:spacing w:before="100" w:beforeAutospacing="1" w:after="100" w:afterAutospacing="1" w:line="240" w:lineRule="auto"/>
      <w:ind w:firstLine="20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aendringsforslagtiloverskrift">
    <w:name w:val="aendringsforslagtiloverskrift"/>
    <w:basedOn w:val="Normal"/>
    <w:rsid w:val="00B10085"/>
    <w:pPr>
      <w:spacing w:before="100" w:beforeAutospacing="1" w:after="10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aendringsforslagtitel">
    <w:name w:val="aendringsforslagtitel"/>
    <w:basedOn w:val="Normal"/>
    <w:rsid w:val="00B10085"/>
    <w:pPr>
      <w:spacing w:before="100" w:beforeAutospacing="1" w:after="10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clr">
    <w:name w:val="cl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pacer">
    <w:name w:val="space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color w:val="000000"/>
      <w:sz w:val="24"/>
      <w:szCs w:val="24"/>
      <w:lang w:eastAsia="da-DK"/>
    </w:rPr>
  </w:style>
  <w:style w:type="paragraph" w:customStyle="1" w:styleId="hdntitle">
    <w:name w:val="hdntitl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color w:val="000000"/>
      <w:sz w:val="24"/>
      <w:szCs w:val="24"/>
      <w:lang w:eastAsia="da-DK"/>
    </w:rPr>
  </w:style>
  <w:style w:type="paragraph" w:customStyle="1" w:styleId="hdn2">
    <w:name w:val="hdn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color w:val="000000"/>
      <w:sz w:val="24"/>
      <w:szCs w:val="24"/>
      <w:lang w:eastAsia="da-DK"/>
    </w:rPr>
  </w:style>
  <w:style w:type="paragraph" w:customStyle="1" w:styleId="txt">
    <w:name w:val="txt"/>
    <w:basedOn w:val="Normal"/>
    <w:rsid w:val="00B10085"/>
    <w:pPr>
      <w:pBdr>
        <w:top w:val="single" w:sz="6" w:space="0" w:color="6B9860"/>
        <w:left w:val="single" w:sz="6" w:space="4" w:color="6B9860"/>
        <w:bottom w:val="single" w:sz="6" w:space="0" w:color="6B9860"/>
        <w:right w:val="single" w:sz="6" w:space="0" w:color="6B9860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tn">
    <w:name w:val="btn"/>
    <w:basedOn w:val="Normal"/>
    <w:rsid w:val="00B10085"/>
    <w:pPr>
      <w:pBdr>
        <w:top w:val="single" w:sz="6" w:space="1" w:color="000000"/>
        <w:left w:val="single" w:sz="6" w:space="0" w:color="000000"/>
        <w:bottom w:val="single" w:sz="6" w:space="1" w:color="000000"/>
        <w:right w:val="single" w:sz="6" w:space="0" w:color="000000"/>
      </w:pBdr>
      <w:shd w:val="clear" w:color="auto" w:fill="CCCCCC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ddl">
    <w:name w:val="ddl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st1">
    <w:name w:val="List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hk">
    <w:name w:val="chk"/>
    <w:basedOn w:val="Normal"/>
    <w:rsid w:val="00B10085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disabled">
    <w:name w:val="disabled"/>
    <w:basedOn w:val="Normal"/>
    <w:rsid w:val="00B10085"/>
    <w:pPr>
      <w:shd w:val="clear" w:color="auto" w:fill="CECFCE"/>
      <w:spacing w:before="100" w:beforeAutospacing="1" w:after="100" w:afterAutospacing="1" w:line="240" w:lineRule="auto"/>
    </w:pPr>
    <w:rPr>
      <w:rFonts w:ascii="Tahoma" w:eastAsia="Times New Roman" w:hAnsi="Tahoma" w:cs="Tahoma"/>
      <w:color w:val="ADAA9C"/>
      <w:sz w:val="24"/>
      <w:szCs w:val="24"/>
      <w:lang w:eastAsia="da-DK"/>
    </w:rPr>
  </w:style>
  <w:style w:type="paragraph" w:customStyle="1" w:styleId="tbl">
    <w:name w:val="tbl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divcon1">
    <w:name w:val="divcon1"/>
    <w:basedOn w:val="Normal"/>
    <w:rsid w:val="00B10085"/>
    <w:pPr>
      <w:spacing w:after="30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divcon2">
    <w:name w:val="divcon2"/>
    <w:basedOn w:val="Normal"/>
    <w:rsid w:val="00B10085"/>
    <w:pPr>
      <w:pBdr>
        <w:left w:val="single" w:sz="6" w:space="1" w:color="FFFFFF"/>
        <w:right w:val="single" w:sz="6" w:space="1" w:color="FFFFFF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divcon3">
    <w:name w:val="divcon3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idebox">
    <w:name w:val="sidebox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earchbox">
    <w:name w:val="searchbox"/>
    <w:basedOn w:val="Normal"/>
    <w:rsid w:val="00B10085"/>
    <w:pPr>
      <w:pBdr>
        <w:bottom w:val="single" w:sz="6" w:space="0" w:color="EEEEEE"/>
      </w:pBdr>
      <w:spacing w:before="100" w:beforeAutospacing="1" w:after="100" w:afterAutospacing="1" w:line="240" w:lineRule="auto"/>
      <w:ind w:left="60"/>
    </w:pPr>
    <w:rPr>
      <w:rFonts w:ascii="Tahoma" w:eastAsia="Times New Roman" w:hAnsi="Tahoma" w:cs="Tahoma"/>
      <w:color w:val="FFFFFF"/>
      <w:sz w:val="24"/>
      <w:szCs w:val="24"/>
      <w:lang w:eastAsia="da-DK"/>
    </w:rPr>
  </w:style>
  <w:style w:type="paragraph" w:customStyle="1" w:styleId="txt1">
    <w:name w:val="txt1"/>
    <w:basedOn w:val="Normal"/>
    <w:rsid w:val="00B10085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5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xt2">
    <w:name w:val="txt2"/>
    <w:basedOn w:val="Normal"/>
    <w:rsid w:val="00B10085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 w:line="240" w:lineRule="auto"/>
      <w:ind w:right="105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xt3">
    <w:name w:val="txt3"/>
    <w:basedOn w:val="Normal"/>
    <w:rsid w:val="00B10085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ottombox">
    <w:name w:val="bottombox"/>
    <w:basedOn w:val="Normal"/>
    <w:rsid w:val="00B10085"/>
    <w:pPr>
      <w:spacing w:before="300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tmboxfront">
    <w:name w:val="btmboxfront"/>
    <w:basedOn w:val="Normal"/>
    <w:rsid w:val="00B10085"/>
    <w:pPr>
      <w:spacing w:before="300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tent">
    <w:name w:val="content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ddl1">
    <w:name w:val="ddl1"/>
    <w:basedOn w:val="Normal"/>
    <w:rsid w:val="00B10085"/>
    <w:pPr>
      <w:spacing w:before="100" w:beforeAutospacing="1" w:after="100" w:afterAutospacing="1" w:line="240" w:lineRule="auto"/>
      <w:ind w:right="75"/>
      <w:textAlignment w:val="bottom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oplinks">
    <w:name w:val="toplinks"/>
    <w:basedOn w:val="Normal"/>
    <w:rsid w:val="00B10085"/>
    <w:pPr>
      <w:spacing w:before="100" w:beforeAutospacing="1" w:after="225" w:line="240" w:lineRule="auto"/>
      <w:ind w:left="150" w:right="15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odybox">
    <w:name w:val="bodybox"/>
    <w:basedOn w:val="Normal"/>
    <w:rsid w:val="00B10085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bcontent">
    <w:name w:val="bbcontent"/>
    <w:basedOn w:val="Normal"/>
    <w:rsid w:val="00B10085"/>
    <w:pPr>
      <w:spacing w:before="100" w:beforeAutospacing="1" w:after="100" w:afterAutospacing="1" w:line="480" w:lineRule="auto"/>
    </w:pPr>
    <w:rPr>
      <w:rFonts w:ascii="Tahoma" w:eastAsia="Times New Roman" w:hAnsi="Tahoma" w:cs="Tahoma"/>
      <w:color w:val="000000"/>
      <w:sz w:val="28"/>
      <w:szCs w:val="28"/>
      <w:lang w:eastAsia="da-DK"/>
    </w:rPr>
  </w:style>
  <w:style w:type="paragraph" w:customStyle="1" w:styleId="bbcontenthistoric">
    <w:name w:val="bbcontenthistoric"/>
    <w:basedOn w:val="Normal"/>
    <w:rsid w:val="00B10085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bnavigation">
    <w:name w:val="bbnavigation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odyfrontpage">
    <w:name w:val="bodyfrontpag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optextfontpage">
    <w:name w:val="toptextfontpage"/>
    <w:basedOn w:val="Normal"/>
    <w:rsid w:val="00B10085"/>
    <w:pPr>
      <w:spacing w:after="300" w:line="240" w:lineRule="auto"/>
      <w:ind w:left="300" w:right="30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brightboxes">
    <w:name w:val="bbrightboxes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bdokumentinfo">
    <w:name w:val="bbdokumentinfo"/>
    <w:basedOn w:val="Normal"/>
    <w:rsid w:val="00B10085"/>
    <w:pPr>
      <w:spacing w:before="100" w:beforeAutospacing="1" w:after="15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bdokumentnoter">
    <w:name w:val="bbdokumentnoter"/>
    <w:basedOn w:val="Normal"/>
    <w:rsid w:val="00B10085"/>
    <w:pPr>
      <w:spacing w:before="300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euitemcontainer">
    <w:name w:val="euitemcontainer"/>
    <w:basedOn w:val="Normal"/>
    <w:rsid w:val="00B10085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euitemcontainer1">
    <w:name w:val="euitemcontainer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euitemcontainer2">
    <w:name w:val="euitemcontainer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euitemcontainer3">
    <w:name w:val="euitemcontainer3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eulinktitel">
    <w:name w:val="eulinktitel"/>
    <w:basedOn w:val="Normal"/>
    <w:rsid w:val="00B10085"/>
    <w:pPr>
      <w:spacing w:before="45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eulinkcontainer">
    <w:name w:val="eulinkcontainer"/>
    <w:basedOn w:val="Normal"/>
    <w:rsid w:val="00B10085"/>
    <w:pPr>
      <w:spacing w:before="30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eulink">
    <w:name w:val="eulink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eulinkspacer">
    <w:name w:val="eulinkspace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rbox">
    <w:name w:val="brbox"/>
    <w:basedOn w:val="Normal"/>
    <w:rsid w:val="00B10085"/>
    <w:pPr>
      <w:spacing w:before="150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gbox">
    <w:name w:val="bgbox"/>
    <w:basedOn w:val="Normal"/>
    <w:rsid w:val="00B10085"/>
    <w:pPr>
      <w:spacing w:before="150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tnvis">
    <w:name w:val="btnvis"/>
    <w:basedOn w:val="Normal"/>
    <w:rsid w:val="00B10085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divpager">
    <w:name w:val="divpager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earchfieldrow">
    <w:name w:val="searchfieldrow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earchfieldheader">
    <w:name w:val="searchfieldheade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earchfieldcol">
    <w:name w:val="searchfieldcol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nkbar">
    <w:name w:val="linkba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2C5124"/>
      <w:sz w:val="24"/>
      <w:szCs w:val="24"/>
      <w:lang w:eastAsia="da-DK"/>
    </w:rPr>
  </w:style>
  <w:style w:type="paragraph" w:customStyle="1" w:styleId="backtocriterias">
    <w:name w:val="backtocriterias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2C5124"/>
      <w:sz w:val="24"/>
      <w:szCs w:val="24"/>
      <w:lang w:eastAsia="da-DK"/>
    </w:rPr>
  </w:style>
  <w:style w:type="paragraph" w:customStyle="1" w:styleId="searchresulttitle">
    <w:name w:val="searchresulttitl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searchresultressort">
    <w:name w:val="searchresultressort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08080"/>
      <w:sz w:val="24"/>
      <w:szCs w:val="24"/>
      <w:lang w:eastAsia="da-DK"/>
    </w:rPr>
  </w:style>
  <w:style w:type="paragraph" w:customStyle="1" w:styleId="searchresultextrafield">
    <w:name w:val="searchresultextrafield"/>
    <w:basedOn w:val="Normal"/>
    <w:rsid w:val="00B10085"/>
    <w:pPr>
      <w:spacing w:before="100" w:beforeAutospacing="1" w:after="100" w:afterAutospacing="1" w:line="240" w:lineRule="auto"/>
      <w:ind w:left="300" w:right="450"/>
    </w:pPr>
    <w:rPr>
      <w:rFonts w:ascii="Tahoma" w:eastAsia="Times New Roman" w:hAnsi="Tahoma" w:cs="Tahoma"/>
      <w:i/>
      <w:iCs/>
      <w:color w:val="316529"/>
      <w:sz w:val="24"/>
      <w:szCs w:val="24"/>
      <w:lang w:eastAsia="da-DK"/>
    </w:rPr>
  </w:style>
  <w:style w:type="paragraph" w:customStyle="1" w:styleId="searchresultreferenceheader">
    <w:name w:val="searchresultreferenceheader"/>
    <w:basedOn w:val="Normal"/>
    <w:rsid w:val="00B10085"/>
    <w:pPr>
      <w:shd w:val="clear" w:color="auto" w:fill="316529"/>
      <w:spacing w:after="150" w:line="240" w:lineRule="auto"/>
      <w:ind w:left="-75"/>
    </w:pPr>
    <w:rPr>
      <w:rFonts w:ascii="Tahoma" w:eastAsia="Times New Roman" w:hAnsi="Tahoma" w:cs="Tahoma"/>
      <w:b/>
      <w:bCs/>
      <w:color w:val="FFFFFF"/>
      <w:sz w:val="26"/>
      <w:szCs w:val="26"/>
      <w:lang w:eastAsia="da-DK"/>
    </w:rPr>
  </w:style>
  <w:style w:type="paragraph" w:customStyle="1" w:styleId="paragraph">
    <w:name w:val="paragraph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popupbody">
    <w:name w:val="popupbody"/>
    <w:basedOn w:val="Normal"/>
    <w:rsid w:val="00B10085"/>
    <w:pPr>
      <w:shd w:val="clear" w:color="auto" w:fill="E7E7E7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popup">
    <w:name w:val="popup"/>
    <w:basedOn w:val="Normal"/>
    <w:rsid w:val="00B10085"/>
    <w:pPr>
      <w:shd w:val="clear" w:color="auto" w:fill="FFFFFF"/>
      <w:spacing w:before="150" w:after="150" w:line="240" w:lineRule="auto"/>
      <w:ind w:left="15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jelke">
    <w:name w:val="bjelke"/>
    <w:basedOn w:val="Normal"/>
    <w:rsid w:val="00B10085"/>
    <w:pPr>
      <w:shd w:val="clear" w:color="auto" w:fill="316529"/>
      <w:spacing w:before="150" w:after="150" w:line="240" w:lineRule="auto"/>
      <w:ind w:left="-75"/>
      <w:jc w:val="center"/>
    </w:pPr>
    <w:rPr>
      <w:rFonts w:ascii="Tahoma" w:eastAsia="Times New Roman" w:hAnsi="Tahoma" w:cs="Tahoma"/>
      <w:b/>
      <w:bCs/>
      <w:color w:val="FFFFFF"/>
      <w:sz w:val="24"/>
      <w:szCs w:val="24"/>
      <w:lang w:eastAsia="da-DK"/>
    </w:rPr>
  </w:style>
  <w:style w:type="paragraph" w:customStyle="1" w:styleId="autocomplete-w1">
    <w:name w:val="autocomplete-w1"/>
    <w:basedOn w:val="Normal"/>
    <w:rsid w:val="00B10085"/>
    <w:pPr>
      <w:spacing w:before="90" w:after="0" w:line="240" w:lineRule="auto"/>
      <w:ind w:left="9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autocomplete">
    <w:name w:val="autocomplete"/>
    <w:basedOn w:val="Normal"/>
    <w:rsid w:val="00B1008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 w:line="240" w:lineRule="auto"/>
      <w:ind w:left="-90" w:right="9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implesearchinput">
    <w:name w:val="simplesearchinput"/>
    <w:basedOn w:val="Normal"/>
    <w:rsid w:val="00B10085"/>
    <w:pPr>
      <w:spacing w:before="105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implesearchbottom">
    <w:name w:val="simplesearchbottom"/>
    <w:basedOn w:val="Normal"/>
    <w:rsid w:val="00B10085"/>
    <w:pPr>
      <w:spacing w:before="100" w:beforeAutospacing="1" w:after="375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okie-popup">
    <w:name w:val="cookie-popup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okie-description">
    <w:name w:val="cookie-description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7383C"/>
      <w:sz w:val="24"/>
      <w:szCs w:val="24"/>
      <w:lang w:eastAsia="da-DK"/>
    </w:rPr>
  </w:style>
  <w:style w:type="paragraph" w:customStyle="1" w:styleId="th">
    <w:name w:val="th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row">
    <w:name w:val="row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altrow">
    <w:name w:val="altrow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wrapper2">
    <w:name w:val="wrapper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filter">
    <w:name w:val="filte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rb">
    <w:name w:val="rb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tnsearch">
    <w:name w:val="btnsearch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nkhelp">
    <w:name w:val="lnkhelp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wrapper1">
    <w:name w:val="wrapper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hdr-wrapper">
    <w:name w:val="hdr-wrappe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help">
    <w:name w:val="help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item">
    <w:name w:val="item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head">
    <w:name w:val="head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kortnavn">
    <w:name w:val="kortnavn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ressort">
    <w:name w:val="ressort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felt">
    <w:name w:val="felt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historisk">
    <w:name w:val="historisk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feltdata">
    <w:name w:val="feltdata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wrapper3">
    <w:name w:val="wrapper3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urrent">
    <w:name w:val="current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1">
    <w:name w:val="con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2">
    <w:name w:val="con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3">
    <w:name w:val="con3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4">
    <w:name w:val="con4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5">
    <w:name w:val="con5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6">
    <w:name w:val="con6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7">
    <w:name w:val="con7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8">
    <w:name w:val="con8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9">
    <w:name w:val="con9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10">
    <w:name w:val="con10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11">
    <w:name w:val="con1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body">
    <w:name w:val="conbody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ddlnyeste">
    <w:name w:val="ddlnyest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des">
    <w:name w:val="des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ovregisterlist">
    <w:name w:val="lovregisterlist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stresultgroup">
    <w:name w:val="listresultgroup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stresultaltgroup">
    <w:name w:val="listresultaltgroup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eft">
    <w:name w:val="left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middle">
    <w:name w:val="middl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right">
    <w:name w:val="right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ftsearch">
    <w:name w:val="ftsearch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stsearch">
    <w:name w:val="listsearch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wrapper4">
    <w:name w:val="wrapper4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wrapper5">
    <w:name w:val="wrapper5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wrapper6">
    <w:name w:val="wrapper6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wrapper7">
    <w:name w:val="wrapper7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value">
    <w:name w:val="valu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elected">
    <w:name w:val="selected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implesearchsuggestioncaption">
    <w:name w:val="simplesearchsuggestioncaption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efttab">
    <w:name w:val="lefttab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righttab">
    <w:name w:val="righttab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impelguide">
    <w:name w:val="simpelguid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hdr">
    <w:name w:val="hd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active">
    <w:name w:val="activ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okie-btn">
    <w:name w:val="cookie-btn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givet1">
    <w:name w:val="givet1"/>
    <w:basedOn w:val="Normal"/>
    <w:rsid w:val="00B10085"/>
    <w:pPr>
      <w:keepNext/>
      <w:spacing w:before="120" w:after="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sign11">
    <w:name w:val="sign11"/>
    <w:basedOn w:val="Normal"/>
    <w:rsid w:val="00B10085"/>
    <w:pPr>
      <w:keepNext/>
      <w:spacing w:before="12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egl1">
    <w:name w:val="segl1"/>
    <w:basedOn w:val="Normal"/>
    <w:rsid w:val="00B10085"/>
    <w:pPr>
      <w:keepNext/>
      <w:spacing w:before="20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ign21">
    <w:name w:val="sign21"/>
    <w:basedOn w:val="Normal"/>
    <w:rsid w:val="00B10085"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givet2">
    <w:name w:val="givet2"/>
    <w:basedOn w:val="Normal"/>
    <w:rsid w:val="00B10085"/>
    <w:pPr>
      <w:keepNext/>
      <w:spacing w:before="120" w:after="0" w:line="240" w:lineRule="auto"/>
      <w:jc w:val="center"/>
    </w:pPr>
    <w:rPr>
      <w:rFonts w:ascii="Tahoma" w:eastAsia="Times New Roman" w:hAnsi="Tahoma" w:cs="Tahoma"/>
      <w:i/>
      <w:iCs/>
      <w:color w:val="000000"/>
      <w:sz w:val="19"/>
      <w:szCs w:val="19"/>
      <w:lang w:eastAsia="da-DK"/>
    </w:rPr>
  </w:style>
  <w:style w:type="paragraph" w:customStyle="1" w:styleId="sign12">
    <w:name w:val="sign12"/>
    <w:basedOn w:val="Normal"/>
    <w:rsid w:val="00B10085"/>
    <w:pPr>
      <w:keepNext/>
      <w:spacing w:before="120" w:after="0" w:line="240" w:lineRule="auto"/>
      <w:jc w:val="center"/>
    </w:pPr>
    <w:rPr>
      <w:rFonts w:ascii="Tahoma" w:eastAsia="Times New Roman" w:hAnsi="Tahoma" w:cs="Tahoma"/>
      <w:color w:val="000000"/>
      <w:sz w:val="19"/>
      <w:szCs w:val="19"/>
      <w:lang w:eastAsia="da-DK"/>
    </w:rPr>
  </w:style>
  <w:style w:type="paragraph" w:customStyle="1" w:styleId="segl2">
    <w:name w:val="segl2"/>
    <w:basedOn w:val="Normal"/>
    <w:rsid w:val="00B10085"/>
    <w:pPr>
      <w:keepNext/>
      <w:spacing w:before="200" w:after="0" w:line="240" w:lineRule="auto"/>
      <w:jc w:val="center"/>
    </w:pPr>
    <w:rPr>
      <w:rFonts w:ascii="Tahoma" w:eastAsia="Times New Roman" w:hAnsi="Tahoma" w:cs="Tahoma"/>
      <w:color w:val="000000"/>
      <w:sz w:val="19"/>
      <w:szCs w:val="19"/>
      <w:lang w:eastAsia="da-DK"/>
    </w:rPr>
  </w:style>
  <w:style w:type="paragraph" w:customStyle="1" w:styleId="sign22">
    <w:name w:val="sign22"/>
    <w:basedOn w:val="Normal"/>
    <w:rsid w:val="00B10085"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19"/>
      <w:szCs w:val="19"/>
      <w:lang w:eastAsia="da-DK"/>
    </w:rPr>
  </w:style>
  <w:style w:type="paragraph" w:customStyle="1" w:styleId="th1">
    <w:name w:val="th1"/>
    <w:basedOn w:val="Normal"/>
    <w:rsid w:val="00B10085"/>
    <w:pPr>
      <w:pBdr>
        <w:left w:val="single" w:sz="6" w:space="4" w:color="FFFFFF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active1">
    <w:name w:val="active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row1">
    <w:name w:val="row1"/>
    <w:basedOn w:val="Normal"/>
    <w:rsid w:val="00B10085"/>
    <w:pPr>
      <w:shd w:val="clear" w:color="auto" w:fill="E9E9E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altrow1">
    <w:name w:val="altrow1"/>
    <w:basedOn w:val="Normal"/>
    <w:rsid w:val="00B10085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wrapper21">
    <w:name w:val="wrapper2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filter1">
    <w:name w:val="filter1"/>
    <w:basedOn w:val="Normal"/>
    <w:rsid w:val="00B10085"/>
    <w:pPr>
      <w:spacing w:before="75" w:after="180" w:line="240" w:lineRule="auto"/>
    </w:pPr>
    <w:rPr>
      <w:rFonts w:ascii="Tahoma" w:eastAsia="Times New Roman" w:hAnsi="Tahoma" w:cs="Tahoma"/>
      <w:color w:val="FFFFFF"/>
      <w:sz w:val="24"/>
      <w:szCs w:val="24"/>
      <w:lang w:eastAsia="da-DK"/>
    </w:rPr>
  </w:style>
  <w:style w:type="paragraph" w:customStyle="1" w:styleId="rb1">
    <w:name w:val="rb1"/>
    <w:basedOn w:val="Normal"/>
    <w:rsid w:val="00B10085"/>
    <w:pPr>
      <w:spacing w:after="0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rb2">
    <w:name w:val="rb2"/>
    <w:basedOn w:val="Normal"/>
    <w:rsid w:val="00B10085"/>
    <w:pPr>
      <w:spacing w:after="0" w:line="240" w:lineRule="auto"/>
      <w:ind w:left="75" w:right="30"/>
      <w:textAlignment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btnsearch1">
    <w:name w:val="btnsearch1"/>
    <w:basedOn w:val="Normal"/>
    <w:rsid w:val="00B10085"/>
    <w:pPr>
      <w:spacing w:before="100" w:beforeAutospacing="1" w:after="100" w:afterAutospacing="1" w:line="240" w:lineRule="auto"/>
      <w:ind w:right="15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nkhelp1">
    <w:name w:val="lnkhelp1"/>
    <w:basedOn w:val="Normal"/>
    <w:rsid w:val="00B10085"/>
    <w:pPr>
      <w:spacing w:before="45" w:after="100" w:afterAutospacing="1" w:line="240" w:lineRule="auto"/>
      <w:ind w:right="12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hdr1">
    <w:name w:val="hdr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F2511"/>
      <w:sz w:val="24"/>
      <w:szCs w:val="24"/>
      <w:lang w:eastAsia="da-DK"/>
    </w:rPr>
  </w:style>
  <w:style w:type="paragraph" w:customStyle="1" w:styleId="wrapper11">
    <w:name w:val="wrapper1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wrapper22">
    <w:name w:val="wrapper2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hdr-wrapper1">
    <w:name w:val="hdr-wrapper1"/>
    <w:basedOn w:val="Normal"/>
    <w:rsid w:val="00B10085"/>
    <w:pPr>
      <w:pBdr>
        <w:bottom w:val="single" w:sz="6" w:space="5" w:color="DFDFDF"/>
      </w:pBdr>
      <w:spacing w:before="100" w:beforeAutospacing="1" w:after="225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help1">
    <w:name w:val="help1"/>
    <w:basedOn w:val="Normal"/>
    <w:rsid w:val="00B10085"/>
    <w:pPr>
      <w:spacing w:before="45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lr1">
    <w:name w:val="clr1"/>
    <w:basedOn w:val="Normal"/>
    <w:rsid w:val="00B1008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item1">
    <w:name w:val="item1"/>
    <w:basedOn w:val="Normal"/>
    <w:rsid w:val="00B10085"/>
    <w:pPr>
      <w:spacing w:before="100" w:beforeAutospacing="1" w:after="150" w:line="240" w:lineRule="auto"/>
      <w:ind w:right="45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wrapper12">
    <w:name w:val="wrapper1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wrapper23">
    <w:name w:val="wrapper23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head1">
    <w:name w:val="head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kortnavn1">
    <w:name w:val="kortnavn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ressort1">
    <w:name w:val="ressort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08080"/>
      <w:sz w:val="24"/>
      <w:szCs w:val="24"/>
      <w:lang w:eastAsia="da-DK"/>
    </w:rPr>
  </w:style>
  <w:style w:type="paragraph" w:customStyle="1" w:styleId="felt1">
    <w:name w:val="felt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historisk1">
    <w:name w:val="historisk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A5A5A"/>
      <w:sz w:val="24"/>
      <w:szCs w:val="24"/>
      <w:lang w:eastAsia="da-DK"/>
    </w:rPr>
  </w:style>
  <w:style w:type="paragraph" w:customStyle="1" w:styleId="feltdata1">
    <w:name w:val="feltdata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808080"/>
      <w:sz w:val="24"/>
      <w:szCs w:val="24"/>
      <w:lang w:eastAsia="da-DK"/>
    </w:rPr>
  </w:style>
  <w:style w:type="paragraph" w:customStyle="1" w:styleId="wrapper13">
    <w:name w:val="wrapper13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wrapper24">
    <w:name w:val="wrapper24"/>
    <w:basedOn w:val="Normal"/>
    <w:rsid w:val="00B10085"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wrapper31">
    <w:name w:val="wrapper31"/>
    <w:basedOn w:val="Normal"/>
    <w:rsid w:val="00B10085"/>
    <w:pPr>
      <w:spacing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urrent1">
    <w:name w:val="current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808080"/>
      <w:sz w:val="24"/>
      <w:szCs w:val="24"/>
      <w:lang w:eastAsia="da-DK"/>
    </w:rPr>
  </w:style>
  <w:style w:type="paragraph" w:customStyle="1" w:styleId="content1">
    <w:name w:val="content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12">
    <w:name w:val="con1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21">
    <w:name w:val="con21"/>
    <w:basedOn w:val="Normal"/>
    <w:rsid w:val="00B10085"/>
    <w:pPr>
      <w:pBdr>
        <w:bottom w:val="single" w:sz="6" w:space="0" w:color="F7F3F7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31">
    <w:name w:val="con3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41">
    <w:name w:val="con4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51">
    <w:name w:val="con5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61">
    <w:name w:val="con6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71">
    <w:name w:val="con71"/>
    <w:basedOn w:val="Normal"/>
    <w:rsid w:val="00B10085"/>
    <w:pPr>
      <w:shd w:val="clear" w:color="auto" w:fill="931601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81">
    <w:name w:val="con8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91">
    <w:name w:val="con9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101">
    <w:name w:val="con10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111">
    <w:name w:val="con11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body1">
    <w:name w:val="conbody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24"/>
      <w:szCs w:val="24"/>
      <w:lang w:eastAsia="da-DK"/>
    </w:rPr>
  </w:style>
  <w:style w:type="paragraph" w:customStyle="1" w:styleId="con13">
    <w:name w:val="con13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22">
    <w:name w:val="con2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32">
    <w:name w:val="con3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42">
    <w:name w:val="con4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52">
    <w:name w:val="con5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62">
    <w:name w:val="con6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72">
    <w:name w:val="con72"/>
    <w:basedOn w:val="Normal"/>
    <w:rsid w:val="00B10085"/>
    <w:pPr>
      <w:shd w:val="clear" w:color="auto" w:fill="8CA18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82">
    <w:name w:val="con8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92">
    <w:name w:val="con9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102">
    <w:name w:val="con10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112">
    <w:name w:val="con11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nbody2">
    <w:name w:val="conbody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ddlnyeste1">
    <w:name w:val="ddlnyeste1"/>
    <w:basedOn w:val="Normal"/>
    <w:rsid w:val="00B10085"/>
    <w:pPr>
      <w:spacing w:before="100" w:beforeAutospacing="1" w:after="100" w:afterAutospacing="1" w:line="240" w:lineRule="auto"/>
      <w:ind w:right="75"/>
      <w:textAlignment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filter2">
    <w:name w:val="filter2"/>
    <w:basedOn w:val="Normal"/>
    <w:rsid w:val="00B10085"/>
    <w:pPr>
      <w:spacing w:before="375" w:after="100" w:afterAutospacing="1" w:line="240" w:lineRule="auto"/>
    </w:pPr>
    <w:rPr>
      <w:rFonts w:ascii="Tahoma" w:eastAsia="Times New Roman" w:hAnsi="Tahoma" w:cs="Tahoma"/>
      <w:color w:val="FFFFFF"/>
      <w:sz w:val="24"/>
      <w:szCs w:val="24"/>
      <w:lang w:eastAsia="da-DK"/>
    </w:rPr>
  </w:style>
  <w:style w:type="paragraph" w:customStyle="1" w:styleId="des1">
    <w:name w:val="des1"/>
    <w:basedOn w:val="Normal"/>
    <w:rsid w:val="00B10085"/>
    <w:pPr>
      <w:spacing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rb3">
    <w:name w:val="rb3"/>
    <w:basedOn w:val="Normal"/>
    <w:rsid w:val="00B10085"/>
    <w:pPr>
      <w:spacing w:before="150" w:after="100" w:afterAutospacing="1" w:line="240" w:lineRule="auto"/>
      <w:ind w:right="225"/>
    </w:pPr>
    <w:rPr>
      <w:rFonts w:ascii="Tahoma" w:eastAsia="Times New Roman" w:hAnsi="Tahoma" w:cs="Tahoma"/>
      <w:color w:val="FFFFFF"/>
      <w:sz w:val="24"/>
      <w:szCs w:val="24"/>
      <w:lang w:eastAsia="da-DK"/>
    </w:rPr>
  </w:style>
  <w:style w:type="paragraph" w:customStyle="1" w:styleId="lovregisterlist1">
    <w:name w:val="lovregisterlist1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stresultgroup1">
    <w:name w:val="listresultgroup1"/>
    <w:basedOn w:val="Normal"/>
    <w:rsid w:val="00B10085"/>
    <w:pPr>
      <w:shd w:val="clear" w:color="auto" w:fill="E9E9E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stresultaltgroup1">
    <w:name w:val="listresultaltgroup1"/>
    <w:basedOn w:val="Normal"/>
    <w:rsid w:val="00B10085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st10">
    <w:name w:val="list1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eft1">
    <w:name w:val="left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middle1">
    <w:name w:val="middle1"/>
    <w:basedOn w:val="Normal"/>
    <w:rsid w:val="00B10085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right1">
    <w:name w:val="right1"/>
    <w:basedOn w:val="Normal"/>
    <w:rsid w:val="00B10085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ftsearch1">
    <w:name w:val="ftsearch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nkhelp2">
    <w:name w:val="lnkhelp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2C5124"/>
      <w:sz w:val="24"/>
      <w:szCs w:val="24"/>
      <w:lang w:eastAsia="da-DK"/>
    </w:rPr>
  </w:style>
  <w:style w:type="paragraph" w:customStyle="1" w:styleId="listsearch1">
    <w:name w:val="listsearch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head2">
    <w:name w:val="head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C5124"/>
      <w:sz w:val="26"/>
      <w:szCs w:val="26"/>
      <w:lang w:eastAsia="da-DK"/>
    </w:rPr>
  </w:style>
  <w:style w:type="paragraph" w:customStyle="1" w:styleId="wrapper14">
    <w:name w:val="wrapper14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wrapper25">
    <w:name w:val="wrapper25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wrapper32">
    <w:name w:val="wrapper3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wrapper41">
    <w:name w:val="wrapper4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wrapper51">
    <w:name w:val="wrapper5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wrapper61">
    <w:name w:val="wrapper6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wrapper71">
    <w:name w:val="wrapper7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value1">
    <w:name w:val="value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selected1">
    <w:name w:val="selected1"/>
    <w:basedOn w:val="Normal"/>
    <w:rsid w:val="00B10085"/>
    <w:pPr>
      <w:shd w:val="clear" w:color="auto" w:fill="F0F0F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implesearchsuggestioncaption1">
    <w:name w:val="simplesearchsuggestioncaption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lefttab1">
    <w:name w:val="lefttab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righttab1">
    <w:name w:val="righttab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impelguide1">
    <w:name w:val="simpelguide1"/>
    <w:basedOn w:val="Normal"/>
    <w:rsid w:val="00B10085"/>
    <w:pPr>
      <w:spacing w:before="100" w:beforeAutospacing="1" w:after="225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okie-popup1">
    <w:name w:val="cookie-popup1"/>
    <w:basedOn w:val="Normal"/>
    <w:rsid w:val="00B1008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ookie-btn1">
    <w:name w:val="cookie-btn1"/>
    <w:basedOn w:val="Normal"/>
    <w:rsid w:val="00B10085"/>
    <w:pPr>
      <w:pBdr>
        <w:top w:val="single" w:sz="6" w:space="6" w:color="2C5124"/>
        <w:left w:val="single" w:sz="6" w:space="6" w:color="2C5124"/>
        <w:bottom w:val="single" w:sz="6" w:space="6" w:color="2C5124"/>
        <w:right w:val="single" w:sz="6" w:space="6" w:color="2C5124"/>
      </w:pBdr>
      <w:spacing w:after="75" w:line="240" w:lineRule="auto"/>
      <w:jc w:val="center"/>
    </w:pPr>
    <w:rPr>
      <w:rFonts w:ascii="Tahoma" w:eastAsia="Times New Roman" w:hAnsi="Tahoma" w:cs="Tahoma"/>
      <w:b/>
      <w:bCs/>
      <w:color w:val="37383C"/>
      <w:sz w:val="24"/>
      <w:szCs w:val="24"/>
      <w:lang w:eastAsia="da-DK"/>
    </w:rPr>
  </w:style>
  <w:style w:type="character" w:customStyle="1" w:styleId="paragrafnr1">
    <w:name w:val="paragrafnr1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2">
    <w:name w:val="paragrafnr2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liste1nr1">
    <w:name w:val="liste1nr1"/>
    <w:basedOn w:val="DefaultParagraphFont"/>
    <w:rsid w:val="00B10085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customStyle="1" w:styleId="liste2nr1">
    <w:name w:val="liste2nr1"/>
    <w:basedOn w:val="DefaultParagraphFont"/>
    <w:rsid w:val="00B10085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customStyle="1" w:styleId="paragrafnr3">
    <w:name w:val="paragrafnr3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4">
    <w:name w:val="paragrafnr4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basedOn w:val="DefaultParagraphFont"/>
    <w:rsid w:val="00B10085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customStyle="1" w:styleId="paragrafnr5">
    <w:name w:val="paragrafnr5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6">
    <w:name w:val="paragrafnr6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7">
    <w:name w:val="paragrafnr7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8">
    <w:name w:val="paragrafnr8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9">
    <w:name w:val="paragrafnr9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10">
    <w:name w:val="paragrafnr10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11">
    <w:name w:val="paragrafnr11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12">
    <w:name w:val="paragrafnr12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13">
    <w:name w:val="paragrafnr13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14">
    <w:name w:val="paragrafnr14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15">
    <w:name w:val="paragrafnr15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16">
    <w:name w:val="paragrafnr16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uperscript1">
    <w:name w:val="superscript1"/>
    <w:basedOn w:val="DefaultParagraphFont"/>
    <w:rsid w:val="00B10085"/>
    <w:rPr>
      <w:rFonts w:ascii="Tahoma" w:hAnsi="Tahoma" w:cs="Tahoma" w:hint="default"/>
      <w:color w:val="000000"/>
      <w:sz w:val="17"/>
      <w:szCs w:val="17"/>
      <w:shd w:val="clear" w:color="auto" w:fill="auto"/>
      <w:vertAlign w:val="superscript"/>
    </w:rPr>
  </w:style>
  <w:style w:type="character" w:customStyle="1" w:styleId="paragrafnr17">
    <w:name w:val="paragrafnr17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18">
    <w:name w:val="paragrafnr18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19">
    <w:name w:val="paragrafnr19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20">
    <w:name w:val="paragrafnr20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21">
    <w:name w:val="paragrafnr21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22">
    <w:name w:val="paragrafnr22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23">
    <w:name w:val="paragrafnr23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24">
    <w:name w:val="paragrafnr24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25">
    <w:name w:val="paragrafnr25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bold1">
    <w:name w:val="bold1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ubscript1">
    <w:name w:val="subscript1"/>
    <w:basedOn w:val="DefaultParagraphFont"/>
    <w:rsid w:val="00B10085"/>
    <w:rPr>
      <w:rFonts w:ascii="Tahoma" w:hAnsi="Tahoma" w:cs="Tahoma" w:hint="default"/>
      <w:color w:val="000000"/>
      <w:sz w:val="17"/>
      <w:szCs w:val="17"/>
      <w:shd w:val="clear" w:color="auto" w:fill="auto"/>
      <w:vertAlign w:val="subscript"/>
    </w:rPr>
  </w:style>
  <w:style w:type="paragraph" w:styleId="Header">
    <w:name w:val="header"/>
    <w:basedOn w:val="Normal"/>
    <w:link w:val="HeaderChar"/>
    <w:uiPriority w:val="99"/>
    <w:unhideWhenUsed/>
    <w:rsid w:val="00A15E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EE9"/>
  </w:style>
  <w:style w:type="paragraph" w:styleId="Footer">
    <w:name w:val="footer"/>
    <w:basedOn w:val="Normal"/>
    <w:link w:val="FooterChar"/>
    <w:uiPriority w:val="99"/>
    <w:unhideWhenUsed/>
    <w:rsid w:val="00A15E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2853">
                          <w:marLeft w:val="-75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799922">
                          <w:marLeft w:val="-75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2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1599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5477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516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907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49222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73799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1718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11807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78432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5596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1699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5592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71470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7390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6375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74523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237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942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50783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86448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49288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14878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04349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8533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40663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18358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02380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13478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25397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582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18167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71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02481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5434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7886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0521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76413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13275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54458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3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1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39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60540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733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046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69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0535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142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9538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20466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3257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68822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32822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32162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78495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5162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37056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28676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77143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1394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604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83625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65882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65473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58930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77307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49837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78772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0634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67013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66409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87535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780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4437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412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2542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9885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23312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133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21195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03673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5895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0889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1530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7584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70309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3299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05493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7988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1730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23768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96379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285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82559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69360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6901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836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49667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95662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0837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75202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51288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6919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99536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7428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30928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13502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01066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06632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98832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42481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33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97591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0168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73319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0915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69058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20066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9221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4273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27672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72361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89104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0560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70100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9934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7035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53727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64444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65268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02033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45549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84776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04057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1665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85065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7427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35730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62305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95675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72877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8392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92236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78085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1859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3064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91612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25228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18734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9156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22136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84752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32247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30761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161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6365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70006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1784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486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26383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01279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288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21700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70868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13126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9849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1695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35852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5700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1676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6906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37186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26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9324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1929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24573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96000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8325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96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7171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44819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92849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20131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2018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10334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9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39287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1670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0205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3686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46811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07606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69321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286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044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4120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927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28164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75748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35224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0273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83711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06605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29332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0719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74439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45245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68693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92944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0365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221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17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4052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07700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878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91826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53771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80047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54060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2939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70253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61832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8343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04993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55974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50566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89699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2087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25895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7661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72415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90655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99075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01894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0305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9405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055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33448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3289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48946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3029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0053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8691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68659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30032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86179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21188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4442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5128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56923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6141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0579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441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837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8749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74481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49544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183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26290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614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09839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385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21995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34519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49904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2584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82767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2824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04050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2342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20527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759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6071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08090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08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80615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4475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07538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84653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3555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78883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6710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27276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9628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2693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97970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32595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79141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87238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81211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18816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14468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60010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8796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40009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908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3146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55232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694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38449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00329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35558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3590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52585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36930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21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85517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04939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6627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97307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1141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0687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7573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44016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47735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2019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9779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45810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4568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980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4713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8164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59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777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39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068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85728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87413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65381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95528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1675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8193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98150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32627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656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2574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80792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7499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56057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39240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9786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65964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7675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48738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2727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6090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5934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1495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33599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1490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61978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55403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710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87959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912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52632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8798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9228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919842">
                          <w:marLeft w:val="-75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\Users\B026633\AppData\Local\Temp\LexDaniaPreview\e1629bfbf6d54a32b17ed55474817fb3\preview.html" TargetMode="External"/><Relationship Id="rId18" Type="http://schemas.openxmlformats.org/officeDocument/2006/relationships/hyperlink" Target="file:///C:\Users\B026633\AppData\Local\Temp\LexDaniaPreview\e1629bfbf6d54a32b17ed55474817fb3\preview.htm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B026633\AppData\Local\Temp\LexDaniaPreview\e1629bfbf6d54a32b17ed55474817fb3\preview.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file:///C:\Users\B026633\AppData\Local\Temp\LexDaniaPreview\e1629bfbf6d54a32b17ed55474817fb3\preview.html" TargetMode="External"/><Relationship Id="rId17" Type="http://schemas.openxmlformats.org/officeDocument/2006/relationships/hyperlink" Target="file:///C:\Users\B026633\AppData\Local\Temp\LexDaniaPreview\e1629bfbf6d54a32b17ed55474817fb3\preview.html" TargetMode="External"/><Relationship Id="rId25" Type="http://schemas.openxmlformats.org/officeDocument/2006/relationships/hyperlink" Target="file:///C:\Users\B026633\AppData\Local\Temp\LexDaniaPreview\e1629bfbf6d54a32b17ed55474817fb3\preview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B026633\AppData\Local\Temp\LexDaniaPreview\e1629bfbf6d54a32b17ed55474817fb3\preview.html" TargetMode="External"/><Relationship Id="rId20" Type="http://schemas.openxmlformats.org/officeDocument/2006/relationships/hyperlink" Target="file:///C:\Users\B026633\AppData\Local\Temp\LexDaniaPreview\e1629bfbf6d54a32b17ed55474817fb3\preview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B026633\AppData\Local\Temp\LexDaniaPreview\e1629bfbf6d54a32b17ed55474817fb3\preview.html" TargetMode="External"/><Relationship Id="rId24" Type="http://schemas.openxmlformats.org/officeDocument/2006/relationships/hyperlink" Target="file:///C:\Users\B026633\AppData\Local\Temp\LexDaniaPreview\e1629bfbf6d54a32b17ed55474817fb3\preview.html" TargetMode="External"/><Relationship Id="rId5" Type="http://schemas.openxmlformats.org/officeDocument/2006/relationships/styles" Target="styles.xml"/><Relationship Id="rId15" Type="http://schemas.openxmlformats.org/officeDocument/2006/relationships/hyperlink" Target="file:///C:\Users\B026633\AppData\Local\Temp\LexDaniaPreview\e1629bfbf6d54a32b17ed55474817fb3\preview.html" TargetMode="External"/><Relationship Id="rId23" Type="http://schemas.openxmlformats.org/officeDocument/2006/relationships/hyperlink" Target="file:///C:\Users\B026633\AppData\Local\Temp\LexDaniaPreview\e1629bfbf6d54a32b17ed55474817fb3\preview.html" TargetMode="External"/><Relationship Id="rId10" Type="http://schemas.openxmlformats.org/officeDocument/2006/relationships/hyperlink" Target="file:///C:\Users\B026633\AppData\Local\Temp\LexDaniaPreview\e1629bfbf6d54a32b17ed55474817fb3\preview.html" TargetMode="External"/><Relationship Id="rId19" Type="http://schemas.openxmlformats.org/officeDocument/2006/relationships/hyperlink" Target="file:///C:\Users\B026633\AppData\Local\Temp\LexDaniaPreview\e1629bfbf6d54a32b17ed55474817fb3\preview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file:///C:\Users\B026633\AppData\Local\Temp\LexDaniaPreview\e1629bfbf6d54a32b17ed55474817fb3\preview.html" TargetMode="External"/><Relationship Id="rId22" Type="http://schemas.openxmlformats.org/officeDocument/2006/relationships/hyperlink" Target="file:///C:\Users\B026633\AppData\Local\Temp\LexDaniaPreview\e1629bfbf6d54a32b17ed55474817fb3\preview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EAEXP2DD475P-1149199250-4443458</_dlc_DocId>
    <_dlc_DocIdUrl xmlns="8f557624-d6a7-40e5-a06f-ebe44359847b">
      <Url>https://erstdk.sharepoint.com/teams/share/_layouts/15/DocIdRedir.aspx?ID=EAEXP2DD475P-1149199250-4443458</Url>
      <Description>EAEXP2DD475P-1149199250-4443458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6" ma:contentTypeDescription="Opret et nyt dokument." ma:contentTypeScope="" ma:versionID="955128df3a0a1b63f1d35187f68c4dbd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d16e8d07703f996dab192e3a0650c65d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5D1C9-146A-4B92-ADC4-36B695EA007A}">
  <ds:schemaRefs>
    <ds:schemaRef ds:uri="http://schemas.microsoft.com/office/2006/metadata/properties"/>
    <ds:schemaRef ds:uri="http://schemas.microsoft.com/office/infopath/2007/PartnerControls"/>
    <ds:schemaRef ds:uri="8f557624-d6a7-40e5-a06f-ebe44359847b"/>
  </ds:schemaRefs>
</ds:datastoreItem>
</file>

<file path=customXml/itemProps2.xml><?xml version="1.0" encoding="utf-8"?>
<ds:datastoreItem xmlns:ds="http://schemas.openxmlformats.org/officeDocument/2006/customXml" ds:itemID="{9255D133-DCD7-499B-B1EB-AD7BBB20C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B435D-A6E3-42AE-9B67-95439FD6101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77820A-C69A-4C85-A46B-4C12AA803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15</Pages>
  <Words>7149</Words>
  <Characters>40754</Characters>
  <Application>Microsoft Office Word</Application>
  <DocSecurity>0</DocSecurity>
  <Lines>339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47808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Kessy Jensen (FVST)</dc:creator>
  <cp:keywords/>
  <dc:description/>
  <cp:lastModifiedBy>Liu, Lei</cp:lastModifiedBy>
  <cp:revision>4</cp:revision>
  <dcterms:created xsi:type="dcterms:W3CDTF">2019-10-08T09:09:00Z</dcterms:created>
  <dcterms:modified xsi:type="dcterms:W3CDTF">2019-10-23T10:01:00Z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0x01010028823DAD65BFDC47A3186F100C863B32</vt:lpwstr>
  </property>
  <property fmtid="{D5CDD505-2E9C-101B-9397-08002B2CF9AE}" pid="3" name="_dlc_policyId">
    <vt:lpwstr>/teams/share/data</vt:lpwstr>
  </property>
  <property fmtid="{D5CDD505-2E9C-101B-9397-08002B2CF9AE}" pid="4" name="ItemRetentionFormula">
    <vt:lpwstr/>
  </property>
  <property fmtid="{D5CDD505-2E9C-101B-9397-08002B2CF9AE}" pid="5" name="_dlc_DocIdItemGuid">
    <vt:lpwstr>3aeea060-d6de-4100-9027-5de1aa74b5f7</vt:lpwstr>
  </property>
</Properties>
</file>