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053D68CE" w:rsidR="00EA4D8C" w:rsidRDefault="006D355F" w:rsidP="00EA4D8C">
      <w:pPr>
        <w:jc w:val="both"/>
        <w:rPr>
          <w:rFonts w:ascii="Arial" w:hAnsi="Arial" w:cs="Arial"/>
          <w:b/>
        </w:rPr>
      </w:pPr>
      <w:r>
        <w:rPr>
          <w:rFonts w:ascii="Arial" w:hAnsi="Arial"/>
          <w:b/>
        </w:rPr>
        <w:t>BESLUTNING</w:t>
      </w:r>
      <w:r w:rsidR="00545285">
        <w:rPr>
          <w:rFonts w:ascii="Arial" w:hAnsi="Arial"/>
          <w:b/>
        </w:rPr>
        <w:t>...</w:t>
      </w:r>
      <w:r>
        <w:rPr>
          <w:rFonts w:ascii="Arial" w:hAnsi="Arial"/>
          <w:b/>
        </w:rPr>
        <w:t xml:space="preserve"> FRA GENERALDIREKTORATET FOR REGULERING AF SPIL OM ÆNDRING AF BESLUTNING AF 12. JULI 2012 OM GODKENDELSE AF BESTEMMELSEN, SOM GENNEMGØRER ARTIKEL 26 OG 27 I KONGELIGT DEKRET NR. 1613/2011 AF 14. NOVEMBER OM IDENTIFICERING AF DELTAGERE I SPIL SAMT KONTROL MED SUBJEKTIVE FORBUD I FORBINDELSE MED DELTAGELSE, OG BESLUTNING AF 6. OKTOBER 2014 FRA GENERALDIREKTORATET FOR REGULERING AF SPIL OM VEDTAGELSE AF DATAMODELLEN FOR INFORMATIONSOVERVÅGNINGSSYSTEMET FOR REGISTRENE OVER SPILAKTIVITETER.</w:t>
      </w:r>
    </w:p>
    <w:p w14:paraId="0EA78337" w14:textId="77777777" w:rsidR="00554712" w:rsidRPr="002800C6" w:rsidRDefault="00554712" w:rsidP="00554712">
      <w:pPr>
        <w:jc w:val="both"/>
        <w:rPr>
          <w:rFonts w:ascii="Arial" w:hAnsi="Arial" w:cs="Arial"/>
        </w:rPr>
      </w:pPr>
      <w:r>
        <w:rPr>
          <w:rFonts w:ascii="Arial" w:hAnsi="Arial"/>
        </w:rPr>
        <w:t>Lov nr. 13/2011 af 27. maj om regulering af spil fastsætter den lovgivningsmæssige ramme for spillevirksomhed på statsniveau for at sikre beskyttelsen af den offentlige orden, bekæmpe svig, forebygge misbrugsadfærd, værne om mindreåriges rettigheder og beskytte spilledeltagernes rettigheder.</w:t>
      </w:r>
    </w:p>
    <w:p w14:paraId="480515CE" w14:textId="159D44D5" w:rsidR="00050794" w:rsidRDefault="00E82824" w:rsidP="007B6331">
      <w:pPr>
        <w:jc w:val="both"/>
        <w:rPr>
          <w:rFonts w:ascii="Arial" w:hAnsi="Arial" w:cs="Arial"/>
        </w:rPr>
      </w:pPr>
      <w:r>
        <w:rPr>
          <w:rFonts w:ascii="Arial" w:hAnsi="Arial"/>
        </w:rPr>
        <w:t xml:space="preserve">Kongeligt dekret 1613/2011 af 14. november, der gennemfører lov 13/2011 af 27. maj om regulering af spil, for så vidt angår de tekniske krav til spilvirksomhed, blev bekendtgjort ved gennemførelsen af denne lov. I artikel 26 og 27 regulerede denne bestemmelse identificering af deltagere samt kontrol af subjektive forbud i forbindelse med deltagelse i spil gennem et verificeringssystem, der skulle gennemføres af spiludbydere. </w:t>
      </w:r>
    </w:p>
    <w:p w14:paraId="69F382CD" w14:textId="76176572" w:rsidR="00E82824" w:rsidRPr="00E82824" w:rsidRDefault="00F117CE" w:rsidP="007B6331">
      <w:pPr>
        <w:jc w:val="both"/>
        <w:rPr>
          <w:rFonts w:ascii="Arial" w:hAnsi="Arial" w:cs="Arial"/>
        </w:rPr>
      </w:pPr>
      <w:r>
        <w:rPr>
          <w:rFonts w:ascii="Arial" w:hAnsi="Arial"/>
        </w:rPr>
        <w:t xml:space="preserve">I forbindelse med gennemførelsen af disse bestemmelser udstedte generaldirektoratet for regulering af spil den 12. juli 2012 en beslutning med henblik på at godkende bestemmelsen om gennemførelse af artikel 26 og 27 i kongeligt dekret 1613/2011 af 14. november om identificering af deltagere i spil samt kontrol med subjektive forbud i forbindelse med deltagelse, som ændret, med henblik på at styrke spiludbydernes procedurer til verificering af deltagernes identitet på baggrund af de fremlagte oplysninger, ved beslutning af 31. oktober 2018 fra generaldirektoratet for regulering af spil om ændring af visse beslutninger vedrørende spilaktiviteter i lov nr. 13/2011 af 27. maj om regulering af spil. </w:t>
      </w:r>
    </w:p>
    <w:p w14:paraId="3AC1AA50" w14:textId="76C55535" w:rsidR="008E4897" w:rsidRDefault="008E4897" w:rsidP="008D4EA9">
      <w:pPr>
        <w:jc w:val="both"/>
        <w:rPr>
          <w:rFonts w:ascii="Arial" w:hAnsi="Arial" w:cs="Arial"/>
        </w:rPr>
      </w:pPr>
      <w:r>
        <w:rPr>
          <w:rFonts w:ascii="Arial" w:hAnsi="Arial"/>
        </w:rPr>
        <w:t xml:space="preserve">Fire år efter den seneste ændring og ti år efter godkendelsen af ovennævnte lovgivningsmæssige ramme er det på baggrund af de erfaringer, der er gjort i denne periode, hensigtsmæssigt at ajourføre disse identitetsverificeringsprocedurer, der udføres af spiludbydere gennem en ny ændring af beslutningen af 12. juli 2012. </w:t>
      </w:r>
    </w:p>
    <w:p w14:paraId="73AA14DE" w14:textId="621F2406" w:rsidR="00E82824" w:rsidRDefault="00E82824" w:rsidP="008D4EA9">
      <w:pPr>
        <w:jc w:val="both"/>
        <w:rPr>
          <w:rFonts w:ascii="Arial" w:hAnsi="Arial" w:cs="Arial"/>
        </w:rPr>
      </w:pPr>
      <w:r>
        <w:rPr>
          <w:rFonts w:ascii="Arial" w:hAnsi="Arial"/>
        </w:rPr>
        <w:t xml:space="preserve">Med denne beslutning ajourføres navnlig udbydernes forpligtelser med hensyn til de meddelelser, de skal indberette til generaldirektoratet for regulering af spil, idet forpligtelsen til at fremsende visse rapporter vedrørende antallet af forespørgsler, der er foretaget, fjernes, og der indføres en pligt til at meddele annullering af brugerregistreringer. På samme måde reguleres den telematiske adgang til afsnittet om afdøde personer i civilregistret gennem identifikationsverifikationstjenesten, og der fastsættes betingelser, der pålægger udbyderne regelmæssigt at kontrollere deltagernes identitet og sikre, at de ikke er omfattet af de subjektive forbud mod deltagelse, enten på eget initiativ eller på generaldirektoratet for regulering af spils initiativ. </w:t>
      </w:r>
    </w:p>
    <w:p w14:paraId="498C1B01" w14:textId="0658F4E7" w:rsidR="00EA4D8C" w:rsidRDefault="00E81705" w:rsidP="00EA4D8C">
      <w:pPr>
        <w:jc w:val="both"/>
        <w:rPr>
          <w:rFonts w:ascii="Arial" w:hAnsi="Arial" w:cs="Arial"/>
        </w:rPr>
      </w:pPr>
      <w:r>
        <w:rPr>
          <w:rFonts w:ascii="Arial" w:hAnsi="Arial"/>
        </w:rPr>
        <w:t xml:space="preserve">Endelig ændres beslutning af 6. oktober 2014 fra generaldirektoratet for regulering af spil om vedtagelse af datamodellen for informationsovervågningssystemet for registrene over spilaktiviteter med henblik på at indføre en ny spillerstatus.  </w:t>
      </w:r>
    </w:p>
    <w:p w14:paraId="591328C1" w14:textId="77777777" w:rsidR="005D3D4D" w:rsidRPr="008D47DC" w:rsidRDefault="005D3D4D" w:rsidP="009B4DF9">
      <w:pPr>
        <w:jc w:val="both"/>
        <w:rPr>
          <w:rFonts w:ascii="Arial" w:hAnsi="Arial" w:cs="Arial"/>
        </w:rPr>
      </w:pPr>
      <w:r>
        <w:rPr>
          <w:rFonts w:ascii="Arial" w:hAnsi="Arial"/>
        </w:rPr>
        <w:lastRenderedPageBreak/>
        <w:t>Denne bestemmelse har været underlagt en informationsprocedure med hensyn til tekniske standarder og forskrifter samt forskrifter for informationssamfundets tjenester fastlagt i Europa-Parlamentet og Rådets direktiv (EU) 2015/1535 af 9. september 2015 om en informationsprocedure med hensyn til tekniske forskrifter samt forskrifter for informationssamfundets tjenester.</w:t>
      </w:r>
    </w:p>
    <w:p w14:paraId="4F0F688D" w14:textId="6F01AAE2" w:rsidR="00F116AB" w:rsidRPr="008D47DC" w:rsidRDefault="00B57B31" w:rsidP="00B369ED">
      <w:pPr>
        <w:jc w:val="both"/>
        <w:rPr>
          <w:rFonts w:ascii="Arial" w:hAnsi="Arial" w:cs="Arial"/>
        </w:rPr>
      </w:pPr>
      <w:r>
        <w:rPr>
          <w:rFonts w:ascii="Arial" w:hAnsi="Arial"/>
        </w:rPr>
        <w:t xml:space="preserve">På denne baggrund og efter en positiv rapport fra statsadvokatens kontor under forbrugerministeriet træffer generaldirektoratet følgende beslutning: </w:t>
      </w:r>
    </w:p>
    <w:p w14:paraId="1D2ACD67" w14:textId="3730E816" w:rsidR="00D825A8" w:rsidRPr="00B55FF0" w:rsidRDefault="005B0F06" w:rsidP="00D825A8">
      <w:pPr>
        <w:jc w:val="both"/>
        <w:rPr>
          <w:rFonts w:ascii="Arial" w:hAnsi="Arial" w:cs="Arial"/>
        </w:rPr>
      </w:pPr>
      <w:r>
        <w:rPr>
          <w:rFonts w:ascii="Arial" w:hAnsi="Arial"/>
          <w:b/>
        </w:rPr>
        <w:t>Artikel 1. Ændring af beslutning af 12. juli 2012 om godkendelse af bestemmelsen, som gennemfører artikel 26 og 27 i kongeligt dekret 1613/2011 af 14. november om identificering af deltagere i spil samt kontrol med subjektive forbud i forbindelse med deltagelse som følger:</w:t>
      </w:r>
    </w:p>
    <w:p w14:paraId="3733892D" w14:textId="365CE94D" w:rsidR="00523061" w:rsidRPr="00523061" w:rsidRDefault="005B0F06" w:rsidP="00523061">
      <w:pPr>
        <w:jc w:val="both"/>
        <w:rPr>
          <w:rFonts w:ascii="Arial" w:hAnsi="Arial" w:cs="Arial"/>
        </w:rPr>
      </w:pPr>
      <w:r>
        <w:rPr>
          <w:rFonts w:ascii="Arial" w:hAnsi="Arial"/>
        </w:rPr>
        <w:t>1</w:t>
      </w:r>
      <w:r>
        <w:rPr>
          <w:rFonts w:ascii="Arial" w:hAnsi="Arial"/>
          <w:b/>
        </w:rPr>
        <w:t>.</w:t>
      </w:r>
      <w:r>
        <w:rPr>
          <w:rFonts w:ascii="Arial" w:hAnsi="Arial"/>
        </w:rPr>
        <w:t xml:space="preserve"> Afsnit 7, stk. 6, i bilag I udgår</w:t>
      </w:r>
    </w:p>
    <w:p w14:paraId="09434F7D" w14:textId="1FB9E75B" w:rsidR="00EB1D43" w:rsidRPr="00523061" w:rsidRDefault="005B0F06" w:rsidP="00EB1D43">
      <w:pPr>
        <w:jc w:val="both"/>
        <w:rPr>
          <w:rFonts w:ascii="Arial" w:hAnsi="Arial" w:cs="Arial"/>
        </w:rPr>
      </w:pPr>
      <w:r>
        <w:rPr>
          <w:rFonts w:ascii="Arial" w:hAnsi="Arial"/>
        </w:rPr>
        <w:t>2</w:t>
      </w:r>
      <w:r>
        <w:rPr>
          <w:rFonts w:ascii="Arial" w:hAnsi="Arial"/>
          <w:b/>
        </w:rPr>
        <w:t>.</w:t>
      </w:r>
      <w:r>
        <w:rPr>
          <w:rFonts w:ascii="Arial" w:hAnsi="Arial"/>
        </w:rPr>
        <w:t xml:space="preserve"> Afsnit 11, stk. 5, i bilag I udgår</w:t>
      </w:r>
    </w:p>
    <w:p w14:paraId="1D47C45E" w14:textId="2ACFA05B" w:rsidR="00523061" w:rsidRDefault="00EB1D43" w:rsidP="00B369ED">
      <w:pPr>
        <w:jc w:val="both"/>
        <w:rPr>
          <w:rFonts w:ascii="Arial" w:hAnsi="Arial" w:cs="Arial"/>
          <w:b/>
        </w:rPr>
      </w:pPr>
      <w:r>
        <w:rPr>
          <w:rFonts w:ascii="Arial" w:hAnsi="Arial"/>
        </w:rPr>
        <w:t>3</w:t>
      </w:r>
      <w:r>
        <w:rPr>
          <w:rFonts w:ascii="Arial" w:hAnsi="Arial"/>
          <w:b/>
        </w:rPr>
        <w:t xml:space="preserve">. </w:t>
      </w:r>
      <w:r>
        <w:rPr>
          <w:rFonts w:ascii="Arial" w:hAnsi="Arial"/>
        </w:rPr>
        <w:t>I bilag I, trettende afsnit, tilføjes et nyt stk. 4, der har følgende ordlyd:</w:t>
      </w:r>
      <w:r>
        <w:rPr>
          <w:rFonts w:ascii="Arial" w:hAnsi="Arial"/>
          <w:b/>
        </w:rPr>
        <w:t xml:space="preserve"> </w:t>
      </w:r>
    </w:p>
    <w:p w14:paraId="485CBBD7" w14:textId="210D0A2B" w:rsidR="00523061" w:rsidRPr="00523061" w:rsidRDefault="002C716C" w:rsidP="00523061">
      <w:pPr>
        <w:jc w:val="both"/>
        <w:rPr>
          <w:rFonts w:ascii="Arial" w:hAnsi="Arial" w:cs="Arial"/>
          <w:b/>
        </w:rPr>
      </w:pPr>
      <w:r>
        <w:rPr>
          <w:rFonts w:ascii="Arial" w:hAnsi="Arial"/>
        </w:rPr>
        <w:t>"4. Udbyderen skal underrette generaldirektoratet for regulering af spil om annullering af brugerregistreringer. Meddelelsen skal ske via generaldirektoratet for regulering af spils identitetsverifikationstjeneste for deltagere. I overensstemmelse med punkt 11, stk. 3, i denne beslutning stiller generaldirektoratet for regulering af spil ikke oplysninger om annullerede brugerregistreringer til rådighed for udbyderne. Anmodningen til udbyderen om aktivering af en tidligere annulleret brugerregistrering kræver identificering af deltageren og verificering af, at de ikke er omfattet af nogen af de subjektive forbud i henhold til denne beslutning."</w:t>
      </w:r>
    </w:p>
    <w:p w14:paraId="573F59AF" w14:textId="4C454A2D" w:rsidR="00523061" w:rsidRDefault="00EB1D43" w:rsidP="00B369ED">
      <w:pPr>
        <w:jc w:val="both"/>
        <w:rPr>
          <w:rFonts w:ascii="Arial" w:hAnsi="Arial" w:cs="Arial"/>
          <w:b/>
        </w:rPr>
      </w:pPr>
      <w:r>
        <w:rPr>
          <w:rFonts w:ascii="Arial" w:hAnsi="Arial"/>
        </w:rPr>
        <w:t>4.</w:t>
      </w:r>
      <w:r>
        <w:rPr>
          <w:rFonts w:ascii="Arial" w:hAnsi="Arial"/>
          <w:b/>
        </w:rPr>
        <w:t xml:space="preserve"> </w:t>
      </w:r>
      <w:r>
        <w:rPr>
          <w:rFonts w:ascii="Arial" w:hAnsi="Arial"/>
        </w:rPr>
        <w:t>I bilag I indsættes et fjortende afsnit med følgende ordlyd:</w:t>
      </w:r>
    </w:p>
    <w:p w14:paraId="054E2766" w14:textId="0C4BDC28" w:rsidR="00523061" w:rsidRPr="00523061" w:rsidRDefault="009867C7" w:rsidP="00B369ED">
      <w:pPr>
        <w:jc w:val="both"/>
        <w:rPr>
          <w:rFonts w:ascii="Arial" w:hAnsi="Arial" w:cs="Arial"/>
          <w:bCs/>
        </w:rPr>
      </w:pPr>
      <w:r>
        <w:rPr>
          <w:rFonts w:ascii="Arial" w:hAnsi="Arial"/>
        </w:rPr>
        <w:t xml:space="preserve">"14. </w:t>
      </w:r>
      <w:r>
        <w:rPr>
          <w:rFonts w:ascii="Arial" w:hAnsi="Arial"/>
          <w:i/>
        </w:rPr>
        <w:t>Kontrol af forbud mod afdødes adgang til spil.</w:t>
      </w:r>
      <w:r>
        <w:rPr>
          <w:rFonts w:ascii="Arial" w:hAnsi="Arial"/>
        </w:rPr>
        <w:t xml:space="preserve"> </w:t>
      </w:r>
    </w:p>
    <w:p w14:paraId="1D7545B8" w14:textId="77777777" w:rsidR="00523061" w:rsidRPr="00EA4D8C" w:rsidRDefault="00523061" w:rsidP="00523061">
      <w:pPr>
        <w:jc w:val="both"/>
        <w:rPr>
          <w:rFonts w:ascii="Arial" w:hAnsi="Arial" w:cs="Arial"/>
          <w:bCs/>
        </w:rPr>
      </w:pPr>
      <w:r>
        <w:rPr>
          <w:rFonts w:ascii="Arial" w:hAnsi="Arial"/>
        </w:rPr>
        <w:t>1. Generaldirektoratet for regulering af spil stiller et system til rådighed for spiludbyderne med telematisk adgang til afsnittet om afdøde personer i civilregistret gennem generaldirektoratet for regulering af spils identitetsverifikationstjeneste for deltagere for at lette kontrollen med, at deltagerne ikke er døde.</w:t>
      </w:r>
    </w:p>
    <w:p w14:paraId="3700579F" w14:textId="77777777" w:rsidR="00523061" w:rsidRPr="00523061" w:rsidRDefault="00523061" w:rsidP="00523061">
      <w:pPr>
        <w:jc w:val="both"/>
        <w:rPr>
          <w:rFonts w:ascii="Arial" w:hAnsi="Arial" w:cs="Arial"/>
          <w:bCs/>
        </w:rPr>
      </w:pPr>
      <w:r>
        <w:rPr>
          <w:rFonts w:ascii="Arial" w:hAnsi="Arial"/>
        </w:rPr>
        <w:t xml:space="preserve">2. Spiludbyderne skal dagligt kontrollere, at deltagere med en aktiv brugerregistrering ikke er registreret som afdøde i generaldirektoratet for regulering af spils identitetsverifikationstjeneste for deltagere. Til dette formål skal generaldirektoratet for regulering af spil med den angivne hyppighed oprette og stille en opdateret computerfil til rådighed for udbyderne, som indeholder de ændringer, der som følge af registreringsdata i afsnittet om afdøde personer i civilregistret måtte være foretaget i generaldirektoratet for regulering af spils identitetsverifikationstjeneste for deltagere, og som berører de deltagere, der er registreret af hver enkelt udbyder. Hvis generaldirektoratet for regulering af spil af tekniske årsager eller fejl i tjenestens tilgængelighed ikke er i stand til at stille opdateringen af dataene til rådighed for udbyderne, vil verificeringen blive foretaget med dataene i den seneste opdatering. </w:t>
      </w:r>
    </w:p>
    <w:p w14:paraId="232E35F2" w14:textId="5549976A" w:rsidR="00523061" w:rsidRPr="00523061" w:rsidRDefault="00523061" w:rsidP="00523061">
      <w:pPr>
        <w:jc w:val="both"/>
        <w:rPr>
          <w:rFonts w:ascii="Arial" w:hAnsi="Arial" w:cs="Arial"/>
          <w:b/>
        </w:rPr>
      </w:pPr>
      <w:r>
        <w:rPr>
          <w:rFonts w:ascii="Arial" w:hAnsi="Arial"/>
        </w:rPr>
        <w:lastRenderedPageBreak/>
        <w:t>I de tilfælde, hvor ændringerne afslører, at en af deltagerne med aktiv brugerregistrering er registreret i afsnittet om afdøde personer i civilregistret, skal udbyderen foretage annulleringen heraf. I disse tilfælde vil annulleringen ikke forhindre afviklingen af spillekontoen og betalingen af de beløb, der i form af indskud eller præmier, som tidligere er betalt, tilfalder til den legitime arving i overensstemmelse med de gældende regler. Ved annullering af kontoen finder bestemmelserne i afsnit 13, stk. 4, i denne beslutning anvendelse."</w:t>
      </w:r>
    </w:p>
    <w:p w14:paraId="337D8F87" w14:textId="1A0D7223" w:rsidR="00523061" w:rsidRDefault="00EB1D43" w:rsidP="00B369ED">
      <w:pPr>
        <w:jc w:val="both"/>
        <w:rPr>
          <w:rFonts w:ascii="Arial" w:hAnsi="Arial" w:cs="Arial"/>
          <w:b/>
        </w:rPr>
      </w:pPr>
      <w:r>
        <w:rPr>
          <w:rFonts w:ascii="Arial" w:hAnsi="Arial"/>
        </w:rPr>
        <w:t>5.</w:t>
      </w:r>
      <w:r>
        <w:rPr>
          <w:rFonts w:ascii="Arial" w:hAnsi="Arial"/>
          <w:b/>
        </w:rPr>
        <w:t xml:space="preserve"> </w:t>
      </w:r>
      <w:r>
        <w:rPr>
          <w:rFonts w:ascii="Arial" w:hAnsi="Arial"/>
        </w:rPr>
        <w:t>I bilag I indsættes et femtende afsnit med følgende ordlyd:</w:t>
      </w:r>
    </w:p>
    <w:p w14:paraId="10C76A7F" w14:textId="03428FC8" w:rsidR="00523061" w:rsidRDefault="00932A74" w:rsidP="00B369ED">
      <w:pPr>
        <w:jc w:val="both"/>
        <w:rPr>
          <w:rFonts w:ascii="Arial" w:hAnsi="Arial" w:cs="Arial"/>
          <w:b/>
        </w:rPr>
      </w:pPr>
      <w:r>
        <w:rPr>
          <w:rFonts w:ascii="Arial" w:hAnsi="Arial"/>
        </w:rPr>
        <w:t xml:space="preserve">"15. </w:t>
      </w:r>
      <w:r>
        <w:rPr>
          <w:rFonts w:ascii="Arial" w:hAnsi="Arial"/>
          <w:i/>
        </w:rPr>
        <w:t>Regelmæssige revisioner</w:t>
      </w:r>
      <w:r>
        <w:rPr>
          <w:rFonts w:ascii="Arial" w:hAnsi="Arial"/>
          <w:b/>
        </w:rPr>
        <w:t xml:space="preserve"> </w:t>
      </w:r>
    </w:p>
    <w:p w14:paraId="412F544E" w14:textId="659D2F45" w:rsidR="00523061" w:rsidRPr="00523061" w:rsidRDefault="00523061" w:rsidP="00523061">
      <w:pPr>
        <w:jc w:val="both"/>
        <w:rPr>
          <w:rFonts w:ascii="Arial" w:hAnsi="Arial" w:cs="Arial"/>
          <w:bCs/>
        </w:rPr>
      </w:pPr>
      <w:r>
        <w:rPr>
          <w:rFonts w:ascii="Arial" w:hAnsi="Arial"/>
        </w:rPr>
        <w:t>1. Spiludbydere kan foretage specifik kontrol af deres deltagere i forbindelse med identificering og verificering af, at de ikke er omfattet af nogen af de subjektive forbud i henhold til denne beslutning. Udbyderen skal anmode om tilladelse og meddele begyndelsen og afslutningen af disse verificeringsprocesser via generaldirektoratet for regulering af spils identitetsverifikationstjeneste for deltagere på de vilkår, der er fastsat af generaldirektoratet for regulering af spil.</w:t>
      </w:r>
    </w:p>
    <w:p w14:paraId="4FC212F8" w14:textId="4973AE0F" w:rsidR="00523061" w:rsidRPr="00523061" w:rsidRDefault="00523061" w:rsidP="00523061">
      <w:pPr>
        <w:jc w:val="both"/>
        <w:rPr>
          <w:rFonts w:ascii="Arial" w:hAnsi="Arial" w:cs="Arial"/>
          <w:bCs/>
        </w:rPr>
      </w:pPr>
      <w:r>
        <w:rPr>
          <w:rFonts w:ascii="Arial" w:hAnsi="Arial"/>
        </w:rPr>
        <w:t>2. Generaldirektoratet for regulering af spil kan kræve, at spiludbyderne foretager specifik kontrol af deres deltagere i forbindelse med deres identificering og verificering, således at de ikke er omfattet af nogen af de subjektive forbud i henhold til denne beslutning. Med henblik herpå vil generaldirektoratet for regulering af spil oprette en computerfil, der indeholder de berørte deltagere og den handling, der skal gennemføres, og stille den til rådighed for udbyderne. Spiludbyderne skal dagligt kontrollere, at disse filer foreligger via generaldirektoratet for regulering af spils identitetsverifikationstjeneste for deltagere og, hvor det er relevant, anvende de nødvendige foranstaltninger."</w:t>
      </w:r>
    </w:p>
    <w:p w14:paraId="19A79385" w14:textId="3DCA6427" w:rsidR="0001091D" w:rsidRPr="00A9210D" w:rsidRDefault="0001091D" w:rsidP="00F17E13">
      <w:pPr>
        <w:jc w:val="both"/>
        <w:rPr>
          <w:rFonts w:ascii="Arial" w:hAnsi="Arial" w:cs="Arial"/>
          <w:bCs/>
        </w:rPr>
      </w:pPr>
      <w:r>
        <w:rPr>
          <w:rFonts w:ascii="Arial" w:hAnsi="Arial"/>
          <w:b/>
        </w:rPr>
        <w:t>Artikel 2. Ændring af beslutning af 6. oktober 2014 om vedtagelse af datamodellen for informationsovervågningssystemet for registrene over spilaktiviteter som følger:</w:t>
      </w:r>
      <w:r>
        <w:rPr>
          <w:rFonts w:ascii="Arial" w:hAnsi="Arial"/>
        </w:rPr>
        <w:t xml:space="preserve"> </w:t>
      </w:r>
    </w:p>
    <w:p w14:paraId="6AAD2B6A" w14:textId="14F9C745" w:rsidR="006F45C5" w:rsidRPr="00A9210D" w:rsidRDefault="009948B2" w:rsidP="006F45C5">
      <w:pPr>
        <w:jc w:val="both"/>
        <w:rPr>
          <w:rFonts w:ascii="Arial" w:hAnsi="Arial" w:cs="Arial"/>
          <w:bCs/>
        </w:rPr>
      </w:pPr>
      <w:r>
        <w:rPr>
          <w:rFonts w:ascii="Arial" w:hAnsi="Arial"/>
        </w:rPr>
        <w:t xml:space="preserve">Afsnit </w:t>
      </w:r>
      <w:r>
        <w:rPr>
          <w:rFonts w:ascii="Arial" w:hAnsi="Arial"/>
          <w:color w:val="1F3864"/>
        </w:rPr>
        <w:t>3.5.7.</w:t>
      </w:r>
      <w:r>
        <w:rPr>
          <w:rFonts w:ascii="Arial" w:hAnsi="Arial"/>
        </w:rPr>
        <w:t xml:space="preserve">2 ("Spillerstatus") i bilag I affattes således: </w:t>
      </w:r>
    </w:p>
    <w:p w14:paraId="3FB0A96C" w14:textId="77777777" w:rsidR="00C926BC" w:rsidRPr="00C926BC" w:rsidRDefault="00CD5D1C" w:rsidP="00C926BC">
      <w:pPr>
        <w:jc w:val="both"/>
        <w:rPr>
          <w:rFonts w:ascii="Arial" w:hAnsi="Arial" w:cs="Arial"/>
          <w:bCs/>
        </w:rPr>
      </w:pPr>
      <w:r>
        <w:rPr>
          <w:rFonts w:ascii="Arial" w:hAnsi="Arial"/>
        </w:rPr>
        <w:t xml:space="preserve">"3.5.7.2 Spillerstatus </w:t>
      </w:r>
    </w:p>
    <w:p w14:paraId="30B6715A" w14:textId="77777777" w:rsidR="00A303D7" w:rsidRPr="00112FA3" w:rsidRDefault="003B5C7A" w:rsidP="003B5C7A">
      <w:pPr>
        <w:jc w:val="both"/>
        <w:rPr>
          <w:rFonts w:ascii="Arial" w:hAnsi="Arial" w:cs="Arial"/>
          <w:bCs/>
        </w:rPr>
      </w:pPr>
      <w:r>
        <w:rPr>
          <w:rFonts w:ascii="Arial" w:hAnsi="Arial"/>
        </w:rPr>
        <w:t xml:space="preserve">Spillerens "status" består af to felter:  </w:t>
      </w:r>
    </w:p>
    <w:p w14:paraId="371979A3" w14:textId="60D04365" w:rsidR="003B5C7A" w:rsidRPr="00112FA3" w:rsidRDefault="003B5C7A" w:rsidP="003B5C7A">
      <w:pPr>
        <w:jc w:val="both"/>
        <w:rPr>
          <w:rFonts w:ascii="Arial" w:hAnsi="Arial" w:cs="Arial"/>
          <w:bCs/>
        </w:rPr>
      </w:pPr>
      <w:r>
        <w:rPr>
          <w:rFonts w:ascii="Arial" w:hAnsi="Arial"/>
        </w:rPr>
        <w:t xml:space="preserve">EstadoCNJ [status CNJ], her bliver udbyderen bedt om at skelne mellem:  </w:t>
      </w:r>
    </w:p>
    <w:p w14:paraId="675C3934" w14:textId="77777777" w:rsidR="003B5C7A" w:rsidRPr="00112FA3" w:rsidRDefault="003B5C7A" w:rsidP="003B5C7A">
      <w:pPr>
        <w:jc w:val="both"/>
        <w:rPr>
          <w:rFonts w:ascii="Arial" w:hAnsi="Arial" w:cs="Arial"/>
          <w:bCs/>
        </w:rPr>
      </w:pPr>
      <w:r>
        <w:rPr>
          <w:rFonts w:ascii="Arial" w:hAnsi="Arial"/>
        </w:rPr>
        <w:t xml:space="preserve">● A: Aktiv. Afspejler, at spilleren er behørigt identificeret og verificeret med dokumentation. </w:t>
      </w:r>
    </w:p>
    <w:p w14:paraId="580B7BAC" w14:textId="77777777" w:rsidR="003B5C7A" w:rsidRPr="00112FA3" w:rsidRDefault="003B5C7A" w:rsidP="003B5C7A">
      <w:pPr>
        <w:jc w:val="both"/>
        <w:rPr>
          <w:rFonts w:ascii="Arial" w:hAnsi="Arial" w:cs="Arial"/>
          <w:bCs/>
        </w:rPr>
      </w:pPr>
      <w:r>
        <w:rPr>
          <w:rFonts w:ascii="Arial" w:hAnsi="Arial"/>
        </w:rPr>
        <w:t xml:space="preserve">● PV: Afventer verificering af dokumentation. Afspejler, at der er tale om en herboende spiller, hvis identitet ikke på pålidelig vis er blevet kontrolleret ved brug af et system til verificering af dokumentation. </w:t>
      </w:r>
    </w:p>
    <w:p w14:paraId="4B945205" w14:textId="77777777" w:rsidR="003B5C7A" w:rsidRPr="00112FA3" w:rsidRDefault="003B5C7A" w:rsidP="003B5C7A">
      <w:pPr>
        <w:jc w:val="both"/>
        <w:rPr>
          <w:rFonts w:ascii="Arial" w:hAnsi="Arial" w:cs="Arial"/>
          <w:bCs/>
        </w:rPr>
      </w:pPr>
      <w:r>
        <w:rPr>
          <w:rFonts w:ascii="Arial" w:hAnsi="Arial"/>
        </w:rPr>
        <w:t xml:space="preserve">● S: Suspenderet. Afspejler, at spilleren efter to års kontinuerlig inaktivitet er blevet suspenderet af udbyderen. </w:t>
      </w:r>
    </w:p>
    <w:p w14:paraId="141B702C" w14:textId="77777777" w:rsidR="003B5C7A" w:rsidRPr="00112FA3" w:rsidRDefault="003B5C7A" w:rsidP="003B5C7A">
      <w:pPr>
        <w:jc w:val="both"/>
        <w:rPr>
          <w:rFonts w:ascii="Arial" w:hAnsi="Arial" w:cs="Arial"/>
          <w:bCs/>
        </w:rPr>
      </w:pPr>
      <w:r>
        <w:rPr>
          <w:rFonts w:ascii="Arial" w:hAnsi="Arial"/>
        </w:rPr>
        <w:t xml:space="preserve">● C: Annulleret. Afspejler, at spilleren er blevet annulleret efter en periode på fire år efter at være blevet suspenderet. </w:t>
      </w:r>
    </w:p>
    <w:p w14:paraId="7BAB001A" w14:textId="77777777" w:rsidR="003B5C7A" w:rsidRPr="00112FA3" w:rsidRDefault="003B5C7A" w:rsidP="003B5C7A">
      <w:pPr>
        <w:jc w:val="both"/>
        <w:rPr>
          <w:rFonts w:ascii="Arial" w:hAnsi="Arial" w:cs="Arial"/>
          <w:bCs/>
        </w:rPr>
      </w:pPr>
      <w:r>
        <w:rPr>
          <w:rFonts w:ascii="Arial" w:hAnsi="Arial"/>
        </w:rPr>
        <w:lastRenderedPageBreak/>
        <w:t>● CD Annulleret på grund af dødsfald. Afspejler, at spilleren er blevet identificeret som afdød.</w:t>
      </w:r>
    </w:p>
    <w:p w14:paraId="6A2FE785" w14:textId="77777777" w:rsidR="003B5C7A" w:rsidRPr="00112FA3" w:rsidRDefault="003B5C7A" w:rsidP="003B5C7A">
      <w:pPr>
        <w:jc w:val="both"/>
        <w:rPr>
          <w:rFonts w:ascii="Arial" w:hAnsi="Arial" w:cs="Arial"/>
          <w:bCs/>
        </w:rPr>
      </w:pPr>
      <w:r>
        <w:rPr>
          <w:rFonts w:ascii="Arial" w:hAnsi="Arial"/>
        </w:rPr>
        <w:t xml:space="preserve">● SC: Forebyggende suspension. Afspejler, at spilleren er under forebyggende suspension af udbyderen på grund af mistanke om svigagtig eller bedragerisk adfærd eller for at have tilladt brug af brugerregistrering af tredjeparter. </w:t>
      </w:r>
    </w:p>
    <w:p w14:paraId="4AD1BFBE" w14:textId="77777777" w:rsidR="003B5C7A" w:rsidRPr="00112FA3" w:rsidRDefault="003B5C7A" w:rsidP="003B5C7A">
      <w:pPr>
        <w:jc w:val="both"/>
        <w:rPr>
          <w:rFonts w:ascii="Arial" w:hAnsi="Arial" w:cs="Arial"/>
          <w:bCs/>
        </w:rPr>
      </w:pPr>
      <w:r>
        <w:rPr>
          <w:rFonts w:ascii="Arial" w:hAnsi="Arial"/>
        </w:rPr>
        <w:t xml:space="preserve">● AC: Annulleret kontrakt. Afspejler, at spilleren er under forebyggende suspension og efter udbyderens opfattelse blevet påvist at have begået bedrag, svig eller givet sin brugerkonto til en tredjepart, hvilket fik udbyderen til at ophæve kontrakten ensidigt. </w:t>
      </w:r>
    </w:p>
    <w:p w14:paraId="6BB5C179" w14:textId="77777777" w:rsidR="003B5C7A" w:rsidRPr="00112FA3" w:rsidRDefault="003B5C7A" w:rsidP="003B5C7A">
      <w:pPr>
        <w:jc w:val="both"/>
        <w:rPr>
          <w:rFonts w:ascii="Arial" w:hAnsi="Arial" w:cs="Arial"/>
          <w:bCs/>
        </w:rPr>
      </w:pPr>
      <w:r>
        <w:rPr>
          <w:rFonts w:ascii="Arial" w:hAnsi="Arial"/>
        </w:rPr>
        <w:t xml:space="preserve">● PR: Subjektivt forbud. Afspejler, at spilleren er omfattet af et af de subjektive forbud, der er fastsat i artikel 6 i lov 13/2011 (mindreårige, personer som er registreret i RGIAJ, foreninger, ...) </w:t>
      </w:r>
    </w:p>
    <w:p w14:paraId="36CC3CEA" w14:textId="77777777" w:rsidR="003B5C7A" w:rsidRPr="00112FA3" w:rsidRDefault="003B5C7A" w:rsidP="003B5C7A">
      <w:pPr>
        <w:jc w:val="both"/>
        <w:rPr>
          <w:rFonts w:ascii="Arial" w:hAnsi="Arial" w:cs="Arial"/>
          <w:bCs/>
        </w:rPr>
      </w:pPr>
      <w:r>
        <w:rPr>
          <w:rFonts w:ascii="Arial" w:hAnsi="Arial"/>
        </w:rPr>
        <w:t xml:space="preserve">● AE: Frivilligt udelukket. Afspejler, at spilleren frivilligt har taget beslutning om at udelukke sig selv fra det spil, som udbyderen tilbyder. </w:t>
      </w:r>
    </w:p>
    <w:p w14:paraId="54499D85" w14:textId="77777777" w:rsidR="003B5C7A" w:rsidRPr="00112FA3" w:rsidRDefault="003B5C7A" w:rsidP="003B5C7A">
      <w:pPr>
        <w:jc w:val="both"/>
        <w:rPr>
          <w:rFonts w:ascii="Arial" w:hAnsi="Arial" w:cs="Arial"/>
          <w:bCs/>
        </w:rPr>
      </w:pPr>
      <w:r>
        <w:rPr>
          <w:rFonts w:ascii="Arial" w:hAnsi="Arial"/>
        </w:rPr>
        <w:t xml:space="preserve">● O: Andet. Andre mulige spillersituationer, der ikke er omfattet af ovenstående. </w:t>
      </w:r>
    </w:p>
    <w:p w14:paraId="272CE038" w14:textId="77777777" w:rsidR="003B5C7A" w:rsidRPr="00112FA3" w:rsidRDefault="003B5C7A" w:rsidP="003B5C7A">
      <w:pPr>
        <w:jc w:val="both"/>
        <w:rPr>
          <w:rFonts w:ascii="Arial" w:hAnsi="Arial" w:cs="Arial"/>
          <w:bCs/>
        </w:rPr>
      </w:pPr>
      <w:r>
        <w:rPr>
          <w:rFonts w:ascii="Arial" w:hAnsi="Arial"/>
        </w:rPr>
        <w:t>EstadoOperador [status udbyder], hvor udbyderen skal angive betegnelse for status, som den er betegnet på dennes platform."</w:t>
      </w:r>
    </w:p>
    <w:p w14:paraId="40371930" w14:textId="4F5B9E39" w:rsidR="004A6475" w:rsidRPr="00C73313" w:rsidRDefault="00BE2A52" w:rsidP="00F17E13">
      <w:pPr>
        <w:jc w:val="both"/>
        <w:rPr>
          <w:rFonts w:ascii="Arial" w:hAnsi="Arial" w:cs="Arial"/>
          <w:b/>
        </w:rPr>
      </w:pPr>
      <w:r>
        <w:rPr>
          <w:rFonts w:ascii="Arial" w:hAnsi="Arial"/>
          <w:b/>
        </w:rPr>
        <w:t>Enkelt afsluttende bestemmelse. Ikrafttrædelse</w:t>
      </w:r>
    </w:p>
    <w:p w14:paraId="1CCE2500" w14:textId="7F190632" w:rsidR="001151E6" w:rsidRPr="00C169ED" w:rsidRDefault="001B4699" w:rsidP="0044700B">
      <w:pPr>
        <w:jc w:val="both"/>
        <w:rPr>
          <w:rFonts w:ascii="Arial" w:hAnsi="Arial" w:cs="Arial"/>
          <w:sz w:val="20"/>
        </w:rPr>
      </w:pPr>
      <w:r>
        <w:rPr>
          <w:rFonts w:ascii="Arial" w:hAnsi="Arial"/>
        </w:rPr>
        <w:t xml:space="preserve">Nærværende beslutning træder i kraft seks måneder efter offentliggørelsen i det spanske statstidende.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Madrid, den XX YY 2022</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GENERALDIREKTORATET FOR REGULERING AF SPIL</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5285"/>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1546</Words>
  <Characters>8814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5</cp:revision>
  <cp:lastPrinted>2022-11-25T11:05:00Z</cp:lastPrinted>
  <dcterms:created xsi:type="dcterms:W3CDTF">2022-11-25T12:23:00Z</dcterms:created>
  <dcterms:modified xsi:type="dcterms:W3CDTF">2023-01-27T09:16:00Z</dcterms:modified>
</cp:coreProperties>
</file>