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Kaip:</w:t>
      </w:r>
      <w:r>
        <w:rPr>
          <w:sz w:val="16"/>
          <w:rFonts w:ascii="Verdana" w:hAnsi="Verdana"/>
        </w:rPr>
        <w:t xml:space="preserve"> </w:t>
      </w:r>
      <w:r>
        <w:rPr>
          <w:sz w:val="16"/>
          <w:rFonts w:ascii="Verdana" w:hAnsi="Verdana"/>
        </w:rPr>
        <w:t xml:space="preserve">2021 m. kovo 15 d.</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Žiniasklaidos tarpininkų reguliavimo statutas pagal Valstybinės žiniasklaidos sutarties 96 straipsnį</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 statutas)</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Remiantis 2020 m. balandžio 14–28 d. Valstybinės žiniasklaidos sutarties (MStV) 96 straipsnio 1 sakiniu (... nuoroda), [federalinė valstybinės žiniasklaidos institucijos pavadinimas], susitarus su kitomis federalinės valstybinės žiniasklaidos institucijomis, priima šį statutą:</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1 skyrius.</w:t>
      </w:r>
      <w:r>
        <w:rPr>
          <w:b/>
          <w:sz w:val="22"/>
          <w:rFonts w:ascii="Calibri" w:hAnsi="Calibri"/>
        </w:rPr>
        <w:t xml:space="preserve"> </w:t>
      </w:r>
      <w:r>
        <w:rPr>
          <w:b/>
          <w:sz w:val="22"/>
          <w:rFonts w:ascii="Calibri" w:hAnsi="Calibri"/>
        </w:rPr>
        <w:t xml:space="preserve">Bendrosios nuostatos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1 straipsnis</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Tikslas ir siekis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Pagal MStV 96 straipsnį šis statutas reglamentuoja išsamią informaciją apie žiniasklaidos tarpininkų ir žiniasklaidos tarpininkų teikėjų reguliavimo teisinių nuostatų materialinę ir procedūrinę specifikaciją (straipsniai 91–95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Šis statutas padeda užtikrinti nuomonių įvairovę (pasiūlymo ir teikėjų įvairovę).</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Taikant šį statutą atsižvelgiama į žiniasklaidos tarpininkų vaidmenį atitinkamose vartotojų grupėse.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2 straipsnis</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Taikymo sritis</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Įstatų taikymo sritis apima žiniasklaidos tarpininkus, integruotus žiniasklaidos tarpininkus ir jų teikėjus.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Sąvoka „integruotasis žiniasklaidos tarpininkas“ pagal MStV 91 straipsnio 1 dalį apima bet kokį tarpininko funkcijos integravimą į trečiųjų šalių pasiūlą, kuri leidžia trečiųjų šalių siūlomų paslaugų vartotojams naudotis tarpininko funkcija.</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Naudotojų skaičius pagal 91 straipsnio 2 dalies 1 pastraipą MStV yra unikalių mėnesio naudotojų suma.</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Jei žiniasklaidos tarpininko teikėjas remiasi 91 straipsnio 2 dalies 1 punkto MStV reglamentu, jis kompetentingos federalinės valstybinės žiniasklaidos institucijos prašymu per mėnesį pateikia ir pagrindžia naudotojų skaičių bei pateikia tyrimui reikalingus dokumentus ir informaciją.</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Jei tarpininko funkcija dar nebuvo pasiūlyta arba buvo pasiūlyta trumpiau nei šešis mėnesius, žiniasklaidos tarpininko teikėjas kompetentingos federalinės valstybinės žiniasklaidos institucijos prašymu pateikia naudotojų numerių progresavimo prognozę, kaip apibrėžta 91 straipsnio 2 dalies 1 pastraipoje, ir pateikia patikimus įrodymus, taip pat pateikia tyrimui reikalingus dokumentus ir informaciją.</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3 straipsnis</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Įgaliotasis atstovas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Įgaliotasis atstovas gali būti fizinis arba juridinis asmuo.</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Fizinių asmenų nuolatinė gyvenamoji vieta arba nuolatinė gyvenamoji vieta, juridinių asmenų pagrindinė verslo vieta turi būti Vokietijos Federacinėje Respublikoje.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Nurodomas pašaukiamas adresas.</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Reikalavimai pagal 92 straipsnio 1 sakinio antrąjį sakinį MStV paprastai įvykdomi, jei įgaliotasis agentas yra paskirtas pagal Televizijos įstatymo (TMG) 5 straipsnio 1 dalį ir MStV 18 straipsnio 1 dalį.</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2 skyrius.</w:t>
      </w:r>
      <w:r>
        <w:rPr>
          <w:b/>
          <w:sz w:val="22"/>
          <w:rFonts w:ascii="Calibri" w:hAnsi="Calibri"/>
        </w:rPr>
        <w:t xml:space="preserve"> </w:t>
      </w:r>
      <w:r>
        <w:rPr>
          <w:b/>
          <w:sz w:val="22"/>
          <w:rFonts w:ascii="Calibri" w:hAnsi="Calibri"/>
        </w:rPr>
        <w:t xml:space="preserve">Skaidrumas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4 straipsnis</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Tikslas ir siekis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Šio skirsnio nuostatomis siekiama užtikrinti tinkamą žiniasklaidos tarpininkų naudotojų skaidrumą, susijusį su MStV 93 straipsnio 1 dalyje ir 6 dalyje išvardyta informacija (informacija turi būti skaidri).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Visų pirma tai turėtų sudaryti sąlygas žiniasklaidos tarpininkui naudotis informacija apie žurnalistinio redakcinio turinio kaupimą, atranką ir pateikimą.</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Jie taip pat kreipiasi į žurnalistų redakcinio turinio teikėjus.</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5 straipsnis</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Oficialūs reikalavimai</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Informacija pagal MStV 93 straipsnio 1 dalį, pakeitimai pagal MStV 93 straipsnio 3 dalį ir informacija pagal 6 straipsnį turi būti skaidrūs vokiečių kalba.</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Informacija, kurią reikia padaryti skaidria, yra lengvai suprantama, kaip apibrėžta MStV 93 straipsnyje, jei ji yra aiškiai suvokiamoje padėtyje vidutiniam vartotojui, atsižvelgiant į tipinę žiniasklaidos tarpininko naudojimo padėtį.</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Paprastai taip yra tada, kai skaidrią informaciją galima aiškiai atskirti nuo likusio turinio ir ji yra tiesiogiai susijusi su įvesties ar navigacijos galimybėmis, kurios yra būtinos žiniasklaidos tarpininko naudojimui.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Naudojant žiniatinklio nuorodą, kurioje daroma nuoroda į informaciją, kuri turi būti skaidri, atitinkamai taikomi pirmiau nurodyti reikalavimai.</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Informacija, kuri turi būti skaidri, yra iš karto prieinama pagal MStV 93 straipsnį, jei ji vartotojui pastebima be reikšmingų tarpinių etapų.</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Tai ypač netaikoma, jei informacija yra prieinama su daugiau nei dviem interneto nuorodomis ir (arba) informacijos gavimas priklauso nuo išankstinės registracijos arba prisijungimo.</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Informacija, kuri turi būti skaidri, visada prieinama pagal MStV 93 straipsnį, jei naudotojas gali ja naudotis bet kuriuo metu.</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Informacija, kuri turi būti skaidri, pateikiama suprantama kalba, kaip apibrėžta MStV 93 straipsnyje, jei ji gali padėti vidutiniam naudotojui iš esmės suprasti aplinkybes, nurodytas MStV 93 straipsnio 1 dalyje, kurios reikalingos informacijai naudotis žiniasklaidos tarpininku.</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Jei žiniasklaidos tarpininkas daugiausia naudojamas balsu, informacija, kurią reikia padaryti skaidria, vartotojo prašymu taip pat turėtų būti atgaminama akustiškai, o akustinis nurodymas, kur pateikiama skaidri informacija, yra pakankamas.</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6 straipsnis</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Pareigos teikti informaciją</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 Žiniasklaidos tarpininko teikėjas privalo skaidriai nustatyti kriterijus, pagal kuriuos nustatoma prieiga prie turinio žiniasklaidos tarpininkui ir jo išsaugojimas (93 straipsnio 1 dalies 1 pastraipa).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Šiuo tikslu žiniasklaidos tarpininko teikėjas visų pirma privalo pateikti šią informaciją:</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Techninių, ekonominių, su paslaugų teikėju susijusių, su naudotoju ir su turiniu susijusių sąlygų, pagal kurias nustatoma, ar turinys yra suvokiamas per žiniasklaidos tarpininką, aprašymas,</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tuo atveju, kai tam tikras turinys filtruojamas, mažinamas ar pagerinamas jautrumu, kai jis patenka į žiniasklaidos tarpininką ir lieka jame, visų pirma naudojant automatines sistemas, nurodoma atitinkamo turinio kategorija ir tikslai, kurių siekiama filtruojant ar klasifikuojant, ir</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informacija apie tai, ar ir kaip (jei taip) prieigai prie turinio ir jo išsaugojimui žiniasklaidos tarpininke daro ar gali turėti įtakos mokėjimai ar kita tiesioginė ar netiesioginė nauda natūra</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Žiniasklaidos tarpininko teikėjas yra įpareigotas pagal 93 straipsnio 1 dalies 2 punktą užtikrinti, kad pagrindiniai turinio apibendrinimo, atrankos ir pateikimo kriterijai bei jų svoris, įskaitant informaciją apie naudojamų algoritmų veikimą, būtų skaidrūs.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Šiuo tikslu žiniasklaidos tarpininko teikėjas visų pirma privalo pateikti šią informaciją:</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pagrindinių žiniasklaidos paslaugų teikėjo taikomų sujungimo, atrankos ir pateikimo kriterijų aprašymą,</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pagrindinių kriterijų santykinio svorio aprašymas, atsižvelgiant į necentrinius kriterijus ir jų neskaidrumą,</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pagrindiniais kriterijais siekiamų optimizavimo tikslų aprašymą,</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informaciją apie tai, ar sumokėjus mokesčius ar kitus tiesioginius ar netiesioginius atlygio sumetimus, ir, jei taip, kaip žiniasklaidos tarpininke galima rasti turinį,</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pagrindinių proceso etapų, kuriais grindžiamas turinio apibendrinimas, atranka ir pateikimas, įskaitant tuos, kurie asmens ir kiti duomenys įtraukti į apibendrinimą, atranką ir pateikimą, aprašymą,</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informaciją apie naudotos individualizacijos tipą ir mastą, ar ir, jei taip, kaip vertinama turinio svarba atitinkamam naudotojui,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informaciją apie tai, ar ir, jei taip, kokiu būdu naudotojo elgesys žiniasklaidos tarpininke gali turėti įtakos turinio kaupimui, atrankai ir pateikimui, įskaitant informaciją apie galimybes daryti įtaką vartotojui per nustatymus ir dalines funkcijas, ir</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informaciją apie tai, ar žiniasklaidos tarpininko teikėjas nagrinėja savo turinį, susijusios bendrovės turinį (AktG įstatymo 15 straipsnis) arba bendradarbiavimo partnerių turinį specialiu būdu per sujungimo, atrankos ir (arba) pateikimo procesus, ir, jei taip, kaip tai daro.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Svarbūs kriterijų, kurie turi būti padaryti skaidrūs pagal MStV 93 straipsnio 1 dalį, pakeitimai turi būti nedelsiant pastebimi.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Šiuo tikslu žiniasklaidos tarpininko teikėjas turi galimybę susipažinti su apžvalga, rodančia reikšmingus pokyčius, padarytus per tam tikrą laiką.</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Visi kiti kriterijų, kurie turi būti padaryti skaidrūs pagal MStV 93 straipsnio 1 dalį, pakeitimai atskleidžiami ne rečiau kaip kas keturis mėnesius nuo šio statuto įsigaliojimo.</w:t>
      </w:r>
      <w:r>
        <w:rPr>
          <w:sz w:val="22"/>
          <w:rFonts w:ascii="Calibri" w:hAnsi="Calibri"/>
        </w:rPr>
        <w:t xml:space="preserve"> </w:t>
      </w:r>
      <w:r>
        <w:rPr>
          <w:sz w:val="22"/>
          <w:rFonts w:ascii="Calibri" w:hAnsi="Calibri"/>
        </w:rPr>
        <w:t xml:space="preserve">5 straipsnis atitinkamai taikomas.</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3 skyrius.</w:t>
      </w:r>
      <w:r>
        <w:rPr>
          <w:b/>
          <w:sz w:val="22"/>
          <w:rFonts w:ascii="Calibri" w:hAnsi="Calibri"/>
        </w:rPr>
        <w:t xml:space="preserve"> </w:t>
      </w:r>
      <w:r>
        <w:rPr>
          <w:b/>
          <w:sz w:val="22"/>
          <w:rFonts w:ascii="Calibri" w:hAnsi="Calibri"/>
        </w:rPr>
        <w:t xml:space="preserve">Nediskriminavimas</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7 straipsnis</w:t>
      </w:r>
      <w:r>
        <w:rPr>
          <w:b/>
          <w:sz w:val="22"/>
          <w:rFonts w:ascii="Calibri" w:hAnsi="Calibri"/>
        </w:rPr>
        <w:br/>
      </w:r>
      <w:r>
        <w:rPr>
          <w:b/>
          <w:sz w:val="22"/>
          <w:rFonts w:ascii="Calibri" w:hAnsi="Calibri"/>
        </w:rPr>
        <w:t xml:space="preserve">Bendrosios nuostatos</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Žiniasklaidos tarpininko įsipareigojimas pagal MStV 94 skirsnio 1 dalį taip pat apima aiškias žurnalistų redakcinio pasiūlymo dalis ir įnašus.</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Nustatant ypač didelę įtaką MStV 94 straipsnio 1 dalies prasme, žiniasklaidos tarpininko įtaka žurnalistinio redakcinio turinio suvokimui nuomonės formavimo procese yra lemiama.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Vertinant visų pirma galima atsižvelgti į:</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žiniasklaidos tarpininko padėtį atitinkamose susijusiose rinkose;</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bendrą naudojimo vaizdą, pavyzdžiui, atsižvelgiant į turimą naudojimo spektrą, naudotojų numerius, naudotojų trukmę ir veiklą arba kiekvieno naudotojo nuomonių skaičių.</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8 straipsnis Sisteminis nukrypimas pagal 94 straipsnio 2 dalį, pirmasis alternatyvus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Lemiamas vertinant, ar taikomas 94 straipsnio 2 dalies pirmasis alternatyvus MStV pažeidimas</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ar kriterijai ir informacija apie kriterijų, kuriuos žiniasklaidos tarpininkas skelbia, kad įvykdytų savo įsipareigojimą pagal MStV 93 straipsnio 1 dalį, svorį, arba</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kriterijus ir informaciją apie kriterijų, kuriuos žiniasklaidos tarpininkas turėtų skelbti, kad įvykdytų savo įsipareigojimus pagal MStV 93 straipsnio 1 dalį, svarbą.</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Nukrypimas, kaip apibrėžta 94 straipsnio 2 dalyje, laikomas pirmuoju alternatyviu MStV, ypač jei žiniasklaidos tarpininko teikėjas</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netaiko paskelbtų kriterijų ar kriterijų, išskyrus tuos, kurie turi būti paskelbti pagal 93 straipsnio 1 dalies 1 ir 2 pastraipas, arba</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nukrypsta nuo paskelbtų pagrindinių turinio apibendrinimo, atrankos ir pateikimo kriterijų.</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Kai, ar nukrypimas, kaip apibrėžta 94 straipsnio 2 dalyje, yra sistemingas, pirmoji alternatyva MStV yra sisteminga, remiantis bendru visų aplinkybių vertinimu.</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Visų pirma atsižvelgiama į nuokrypio trukmę, reguliarumą, pakartojimą ir tvarkaraštį.</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Nukrypimas pateisinamas, jei taip yra dėl objektyviai pagrįstos priežasties.</w:t>
      </w:r>
      <w:r>
        <w:rPr>
          <w:sz w:val="22"/>
          <w:rFonts w:ascii="Calibri" w:hAnsi="Calibri"/>
        </w:rPr>
        <w:t xml:space="preserve"> </w:t>
      </w:r>
      <w:r>
        <w:rPr>
          <w:sz w:val="22"/>
          <w:rFonts w:ascii="Calibri" w:hAnsi="Calibri"/>
        </w:rPr>
        <w:t xml:space="preserve">Priežastys, dėl kurių tai gali būti taikoma:</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teisiniai draudimai ar teisiniai įsipareigojimai;</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pateikimo naudotojui techninės sąlygos;</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paslaugos vientisumo apsaugos reikalavimai.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Įvertinus susijusių šalių interesus ir atsižvelgus į MStV tikslą užtikrinti nuomonių įvairovę, vertinama, ar yra objektyviai pagrįsta priežastis.</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9 straipsnis</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Nepagrįstas obstrukcija pagal 94 straipsnio 2 dalį, antroji alternatyvi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Kliūtis, kaip apibrėžta 94 straipsnio 2 dalyje, antroji alternatyva MStV yra tiesioginis ar netiesioginis sutrikimas, susijęs su prieiga prie žurnalistų redakcinio pasiūlymo arba jo randamumu.</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Atitinkamai taikoma 8 straipsnio 1 dalis.</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Kai 94 straipsnio 2 dalies prasme, antroji alternatyva MStV yra sisteminga, turi būti nustatoma remiantis bendru visų aplinkybių vertinimu.</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Būtina atsižvelgti į trukmę, reguliarumą, pasikartojimą ir reguliarumą.</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Nepagrįstas kliūčių pobūdis vertinamas remiantis šalių interesų pusiausvyra, atsižvelgiant į MStV tikslą išsaugoti nuomonių įvairovę.</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Nepagrįstas kliūčių pobūdis gali atsirasti dėl atskirų kriterijų arba dėl kelių kriterijų kumuliacinės sąveikos.</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4 skyrius.</w:t>
      </w:r>
      <w:r>
        <w:rPr>
          <w:b/>
          <w:sz w:val="22"/>
          <w:rFonts w:ascii="Calibri" w:hAnsi="Calibri"/>
        </w:rPr>
        <w:t xml:space="preserve"> </w:t>
      </w:r>
      <w:r>
        <w:rPr>
          <w:b/>
          <w:sz w:val="22"/>
          <w:rFonts w:ascii="Calibri" w:hAnsi="Calibri"/>
        </w:rPr>
        <w:t xml:space="preserve">Procedūra ir tyrimas</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10 straipsnis</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ZAK kompetencija</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Vykdant užduotis pagal šį statutą, kompetentingos federalinė valstybinės žiniasklaidos institucijos licencijavimo ir priežiūros komisija (ZAK) veikia kaip tinkamas organas (104 straipsnio, 2 dalies, 1 sakinys Nr. 1, 105 straipsnio, 1 dalies, 1 sakinys Nr. 10 MStV kartu su ZAK darbo tvarkos taisyklėmis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Kompetentinga federalinė valstybinės žiniasklaidos institucija nedelsdama per Jungtinę tarnybą perduoda skundus ZAK pagal 11 straipsnį ir informuoja ją apie „ex officio“ tyrimus.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nagrinėja bylą tol, kol bus priimtas sprendimas.</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11 straipsnis</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Nediskriminavimo procedūra</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Kompetentinga federalinė valstybinės žiniasklaidos institucija, remdamasi skundu arba akivaizdžiai „ex officio“ atvejais, per ZAK nagrinėja, ar žiniasklaidos tarpininko teikėjas pažeidžia MStV 94 straipsnio 1 ir 2 dalių arba 8 ir 9 straipsnių nuostatas.</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Teisė paduoti apeliacinį skundą, kaip apibrėžta 94 straipsnio 3 dalies 1 sakinyje MStV suteikiama:</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žurnalistinio redakcinio turinio teikėjams ir</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žiniasklaidos platformų ir vartotojų sąsajų teikėjams, jei jie skundžiasi dėl jų siūlomo žurnalistinio redakcinio turinio paketų diskriminacijos.</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Skundo pateikėjas nurodo savo apeliacinio skundo priežastis.</w:t>
      </w:r>
      <w:r>
        <w:rPr>
          <w:sz w:val="22"/>
          <w:rFonts w:ascii="Calibri" w:hAnsi="Calibri"/>
        </w:rPr>
        <w:t xml:space="preserve"> </w:t>
      </w:r>
      <w:r>
        <w:rPr>
          <w:sz w:val="22"/>
          <w:rFonts w:ascii="Calibri" w:hAnsi="Calibri"/>
        </w:rPr>
        <w:t xml:space="preserve">Šiuo tikslu pateikiami atitinkami įrodymai, iš kurių bus gauta pakankamai įrodymų, pagrindžiančių tariamą jos žurnalistinio redakcinio turinio diskriminaciją, kaip apibrėžta MStV 94 straipsnio 2 dalyje arba 8 ir 9 dalyse.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Visų pirma gali būti pateikta:</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vertinimas, ar žiniasklaidos tarpininke galima rasti savo žurnalistinį redakcinį turinį, ir</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tinkami tyrimai.</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Be to, jei įmanoma, skundo pateikėjas pateikia tinkamus įrodymus, kuriais remiantis yra pakankamai įrodymų, kad žiniasklaidos tarpininkas daro ypač didelę įtaką žurnalistų redakcinio turinio priimtinumui, kaip apibrėžta MStV 94 straipsnio 1 dalyje.</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Akivaizdus atvejis pagal 94 straipsnio 3 dalies 2 sakinį MStV ir 1 dalį yra, jei trečiosios šalys aiškiai identifikuoja diskriminacijos draudimo pažeidimą pagrindžiančius faktus.</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12 straipsnis</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Ištaisymas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Jei kompetentinga federalinė žiniasklaidos institucija per ZAK nustato, kad žiniasklaidos tarpininko teikėjas pažeidžia 92–94 straipsnius arba šio statuto nuostatas, žiniasklaidos tarpininko teikėjas nedelsdamas ištaiso tarpininką.</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Žiniasklaidos tarpininko teikėjas yra įpareigotas tinkamai ir suprantamai pateikti kompetentingai federalinės valstybinės žiniasklaidos institucijai ištaisymo įrodymus.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13 straipsnis</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Informacija ir dokumentų pateikimas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Siekiant patikrinti galimą pažeidimą, žiniasklaidos tarpininko teikėjas privalo pateikti visą būtiną informaciją, pateikti informaciją ir pateikti dokumentus.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Kompetentinga federalinės valstybinės žiniasklaidos institucija gali visų pirma</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reikalauti pateikti visus dokumentus, įrodančius kriterijus, kaip apibrėžta 93 straipsnio 1 dalies 1 punkte, arba pagrindinius kriterijus ir jų svertinį sandą, taip pat naudojamų algoritmų veikimą, kaip apibrėžta 93 straipsnio 1 dalies 2 punkte;</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kaip liudininkai išklauso žiniasklaidos tarpininko teikėjo darbuotojus, dalyvaujančius apibrėžiant, techniškai įgyvendinant ir keičiant kriterijus, kaip apibrėžta 93 straipsnio 1 dalies 1 punkte, MStV arba centriniuose kriterijuose ir jų svoriuose, taip pat algoritmuose, kaip apibrėžta 93 straipsnio 1 dalies 2 punkte;</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reikalauti iš žiniasklaidos tarpininko teikėjo pateikti prašymą dėl informacijos skaidrumo pagal MStV 93 straipsnio 1 dalį ir 6 dalį;</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reikalauti, kad žiniasklaidos tarpininkui būtų pateikti sutartiniai susitarimai, įsipareigojimai ar kiti įsipareigojimai, kurie yra objektyviai susiję su turinio prieiga ir saugojimu, visų pirma tiek, kiek jie susiję su žurnalistinio redakcinio turinio įtraukimu, pateikimu ir saugojimu.</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Pateikdamas 1 dalyje nurodytus dokumentus, žiniasklaidos tarpininkas pažymi tas dokumentų dalis, kuriose yra verslo arba komercinių paslapčių.</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Šiuo atveju jos taip pat turi pateikti versiją, kurią, jų nuomone, trečiosios šalys gali peržiūrėti neatskleisdamos verslo ar komercinių paslapčių.</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Jei tai nebus padaryta, federalinė valstybinės žiniasklaidos institucija gali priimti sutikimą atlikti patikrinimą, nebent ji žino apie ypatingas aplinkybes, kurios nepateisina tokios prezumpcijos.</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Jei federalinė valstybinė žiniasklaidos institucija mano, kad dokumentų žymėjimas komercinėmis ar verslo paslaptimis yra nepagrįstas, ji turi suteikti teikėjui galimybę pateikti pastabas prieš nuspręsdama, ar suteikti galimybę susipažinti su trečiaisiais asmenimis.</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5 skyrius.</w:t>
      </w:r>
      <w:r>
        <w:rPr>
          <w:b/>
          <w:sz w:val="22"/>
          <w:rFonts w:ascii="Calibri" w:hAnsi="Calibri"/>
        </w:rPr>
        <w:t xml:space="preserve"> </w:t>
      </w:r>
      <w:r>
        <w:rPr>
          <w:b/>
          <w:sz w:val="22"/>
          <w:rFonts w:ascii="Calibri" w:hAnsi="Calibri"/>
        </w:rPr>
        <w:t xml:space="preserve">Baigiamosios nuostatos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14 straipsnis</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Vertinimas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peržiūri šį statutą ne rečiau kaip kas trejus metus, ypač atsižvelgdama į:</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patirtį, įgytą taikant šį statutą;</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techninius ir ekonominius pokyčius reguliavimo srityje;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atskirų žiniasklaidos tarpininkų svarbą formuojant viešąją nuomonę;</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bendro reguliavimo pokyčius, pvz., visos pramonės įsipareigojimus;</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mokslinių tyrimų, susijusių su skaidrumu ir diskriminacija, plėtra;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mokslinių tyrimų ir mokslo plėtra duomenų analizės, dirbtinio intelekto ir mašininio mokymosi srityse.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15 straipsnis</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Įsigaliojimas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Šis teisės aktas įsigalioja 2021 m. rugsėjo 1 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Jei iki 2021 m. rugpjūčio 31 d. nebuvo priimti ir paskelbti atitinkami įstatai, šis statutas tampa nebeaktualus.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Federalinių valstybinių žiniasklaidos institucijų (DLM) direktorių konferencijos pirmininkas internete, po skėtiniu prekės ženklu „die medienanstalten“, paskelbia, ar visos federalinės valstybinės žiniasklaidos institucijos per 2 sakinyje nurodytą laikotarpį priėmė ir paskelbė atitinkamus įstatus.</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Pranešta pagal 2015 m. rugsėjo 9 d. Europos Parlamento ir Tarybos direktyvą (ES) Nr. 2015/1535, kuria nustatoma informacijos apie techninius reglamentus ir informacinės visuomenės paslaugų taisykles teikimo tvarka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lt-LT"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