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22" w:rsidRPr="00FC0D01" w:rsidRDefault="00251322" w:rsidP="00251322">
      <w:pPr>
        <w:spacing w:before="120" w:line="320" w:lineRule="exact"/>
        <w:rPr>
          <w:sz w:val="16"/>
          <w:szCs w:val="16"/>
          <w:rFonts w:ascii="Verdana" w:hAnsi="Verdana"/>
        </w:rPr>
      </w:pPr>
      <w:r>
        <w:rPr>
          <w:sz w:val="16"/>
          <w:rFonts w:ascii="Verdana" w:hAnsi="Verdana"/>
        </w:rPr>
        <w:t xml:space="preserve">Bħal fil-:</w:t>
      </w:r>
      <w:r>
        <w:rPr>
          <w:sz w:val="16"/>
          <w:rFonts w:ascii="Verdana" w:hAnsi="Verdana"/>
        </w:rPr>
        <w:t xml:space="preserve"> </w:t>
      </w:r>
      <w:r>
        <w:rPr>
          <w:sz w:val="16"/>
          <w:rFonts w:ascii="Verdana" w:hAnsi="Verdana"/>
        </w:rPr>
        <w:t xml:space="preserve">15 ta’ Marzu 2021</w:t>
      </w:r>
    </w:p>
    <w:p w:rsidR="002C21BC" w:rsidRPr="00B93BDE" w:rsidRDefault="009C24A4">
      <w:pPr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__________________________________________________________________________________</w:t>
      </w:r>
    </w:p>
    <w:p w:rsidR="009C24A4" w:rsidRPr="009C24A4" w:rsidRDefault="009C24A4" w:rsidP="003564B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8C60A0" w:rsidRPr="008C60A0" w:rsidRDefault="00D87095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Statut dwar ir-Regolament tal-Intermedjarji tal-Midja skont § 96 tat-Trattat dwar il-Midja tal-Istat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(Statut tal-MI)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br/>
      </w:r>
      <w:r>
        <w:rPr>
          <w:sz w:val="22"/>
          <w:b/>
          <w:rFonts w:ascii="Calibri" w:hAnsi="Calibri"/>
        </w:rPr>
        <w:t xml:space="preserve">ta’...</w:t>
      </w:r>
    </w:p>
    <w:p w:rsidR="008C60A0" w:rsidRPr="008C60A0" w:rsidRDefault="008C60A0" w:rsidP="003564B3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C60A0" w:rsidRPr="008C60A0" w:rsidRDefault="008C60A0" w:rsidP="003564B3">
      <w:pPr>
        <w:spacing w:line="276" w:lineRule="auto"/>
        <w:rPr>
          <w:bCs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Fuq il-bażi ta’ § 96, sentenza 1 tat-Trattat dwar il-Midja tal-Istat (MStV) mill-14 sat-28 ta’ April 2020 (... referenza), [isem l-awtorità tal-midja tal-istat federali], bi qbil mal-awtoritajiet l-oħra tal-midja tal-istat federali, b’dan tippromulga l-istatut li ġej: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Taqsima 1: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Dispożizzjonijiet ġenerali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Għan u objettiv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Skont § 96 tal-MStV, dan l-istatut għandu jirregola d-dettalji dwar l-ispeċifikazzjoni sostantiva u proċedurali tad-dispożizzjonijiet legali għar-regolamentazzjoni tal-intermedjarji tal-midja u l-fornituri ta’ intermedjarji tal-midja (§§ 91 sa 95 tal-MStV).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Dan l-istatut iservi biex jissalvagwardja d-diversità tal-opinjonijiet (diversità ta’ offerti u fornituri).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Ir-rwol ta’ gwida tal-intermedjarji tal-midja għall-gruppi ta’ utenti rispettivi għandu jittieħed inkunsiderazzjoni meta jiġi applikat dan l-istatut.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2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Kamp ta’ applikazzjoni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Il-kamp ta’ applikazzjoni tal-istatut jinkludi l-intermedjarji tal-midja, l-intermedjarji tal-midja integrati u l-fornituri tagħhom.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It-terminu “intermedjarju tal-midja integrat” skont § 91(1) tal-MStV ikopri kwalunkwe integrazzjoni ta’ funzjoni intermedjarja fl-offerti ta’ partijiet terzi, li tippermetti lill-utenti tal-offerti ta’ partijiet terzi jużaw il-funzjoni intermedjarja.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L-għadd ta’ utenti skont § 91(2), is-subparagrafu 1 tal-MStV huwa t-total tal-utenti uniċi kull xahar.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Jekk il-fornitur ta’ intermedjarju tal-midja jirreferi għar-regolament f’§ 91(2), is- subparagrafu 1 tal-MStV, huwa għandu, fuq talba tal-awtorità tal-midja tal-istat federali kompetenti, jippreżenta u jissostanzja l-għadd ta’ utenti fi żmien xahar u jissottometti d-dokumenti u l-informazzjoni meħtieġa għall-eżami.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Jekk il-funzjoni intermedjarja tkun għadha ma ġietx offruta jew tkun ġiet offruta għal inqas minn sitt xhur, il-fornitur tal-intermedjarju tal-midja għandu, fuq talba tal-awtorità kompetenti tal-midja tal-istat federali, jagħmel tbassir tal-progressjoni tal-għadd ta’ utenti skont it-tifsira ta’ § 91(2), is-subparagrafu 1 tal-MStV u jipprovdi evidenza kredibbli u jissottometti wkoll id-dokumenti u l-informazzjoni meħtieġa għall-eżami.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3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Aġent awtorizzat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Aġent awtorizzat jista’ jkun persuna fiżika jew ġuridika.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Il-persuni fiżiċi għandu jkollhom ir-residenza abitwali jew ta’ domiċilju tagħhom, il-persuni ġuridiċi għandu jkollhom l-uffiċċju rreġistrat tal-post prinċipali tan-negozju tagħhom fir-Repubblika Federali tal-Ġermanja.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Għandu jiġi indikat indirizz fejn jistgħu jiġu mħarrka.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Ir-rekwiżiti skont § 92, is-sentenza 1, it-tieni nofs sentenza tal-MStV normalment jiġu sodisfatti jekk l-aġent awtorizzat fi ħdan il-kamp ta’ applikazzjoni tal-informazzjoni meħtieġa minn § 5(1) tal-Att dwar it-Telemidja (TMG) u § 18(1) tal-MStV.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Taqsima 2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Trasparenza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4</w:t>
      </w:r>
    </w:p>
    <w:p w:rsid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Għan u objettiv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Id-dispożizzjonijiet ta’ din it-taqsima huma maħsuba biex jiżguraw li tinħoloq trasparenza xierqa għall-utenti tal-intermedjarji tal-midja fir-rigward tal-informazzjoni elenkata f’§ 93(1) tal-MStV u § 6 (l-informazzjoni għandha tkun trasparenti).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B’mod partikolari, dan għandu jippermetti użu infurmat tal-intermedjarju tal-midja fir-rigward tal-aggregazzjoni, l-għażla u l-preżentazzjoni ta’ kontenut ġurnalistiku-editorjali.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Huma jindirizzaw ukoll lill-fornituri ta’ kontenut ġurnalistiku-editorjali.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5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Rekwiżiti formali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L-informazzjoni skont § 93(1) tal-MStV, l-emendi skont § 93(3) MStV u l-informazzjoni skont § 6 għandhom ikunu trasparenti bil-Ġermaniż.</w:t>
      </w:r>
    </w:p>
    <w:p w:rsidR="002A4057" w:rsidRPr="00D87095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L-informazzjoni li għandha tkun trasparenti tista’ faċilment tidher skont it-tifsira ta’ § 93 tal-MStV, jekk titqiegħed f’pożizzjoni li tidher b’mod ċar għal utent medju, filwaqt li titqies is-sitwazzjoni tipika tal-użu mill-intermedjarju tal-midja.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Dan normalment ikun il-każ jekk l-informazzjoni li għandha tkun trasparenti tkun distinta b’mod ovvju mill-bqija tal-kontenut u tkun relatata direttament ma’ mezzi ta’ input jew ta’ navigazzjoni li huma essenzjali għall-użu tal-intermedjarju tal-midja.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Meta tintuża link tal-web li tirreferi għall-informazzjoni li għandha tkun trasparenti, ir-rekwiżiti ta’ hawn fuq japplikaw kif xieraq.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L-informazzjoni li għandha tkun trasparenti tkun aċċessibbli immedjatament skont it-tifsira ta’ § 93 tal-MStV, jekk tkun tidher għall-utent mingħajr passi intermedji sinifikanti.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Dan ma jkunx il-każ speċjalment jekk l-informazzjoni tkun aċċessibbli b’aktar minn żewġ links tal-web u/jew jekk it-tlugħ tal-informazzjoni jkun jiddependi fuq reġistrazzjoni jew login minn qabel.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L-informazzjoni li għandha tkun trasparenti tkun dejjem disponibbli skont it-tifsira ta’ § 93 tal-MStV, jekk l-utent ikun jista’ jaċċessaha fi kwalunkwe ħin.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L-informazzjoni li għandha tkun trasparenti tiġi pprovduta f’lingwa li tinftiehem skont it-tifsira ta’ § 93 tal-MStV, jekk tista’ tipprovdi lill-utent medju bil-fehim bażiku taċ-ċirkostanzi msemmija f’§ 93(1) tal-MStV meħtieġ għal użu infurmat tal-intermedjarju tal-midja.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(6) Jekk l-użu tal-intermedjarju tal-midja jkun fil-biċċa l-kbira mmexxi bil-vuċi, l-informazzjoni li għandha tkun trasparenti għandha tiġi riprodotta wkoll b’mod akustiku fuq talba tal-utent, fejn li tingħata indikazzjoni akustika ta’ fejn tinsab l-informazzjoni li għandha tkun trasparenti huwa biżżejjed.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6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Obbligi ta’ informazzjoni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Il-fornitur ta’ intermedjarju tal-midja huwa obbligat li jagħmel trasparenti l-kriterji li jiddeterminaw l-aċċess tal-kontenut għal intermedjarju tal-midja u ż-żamma tiegħu (§ 93(1), is-subparagrafu 1 tal-MStV).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Għal dan l-għan, il-fornitur ta’ intermedjarju tal-midja għandu b’mod partikolari jipprovdi l-informazzjoni li ġejja: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Deskrizzjoni tal-kundizzjonijiet tekniċi, ekonomiċi, relatati mal-fornitur, relatati mal-utent u relatati mal-kontenut li jiddeterminaw jekk il-kontenut ikunx jidher permezz ta’ intermedjarju tal-midja;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f’każ li ċertu kontenut jiġi ffiltrat jew jitnaqqas jew jittejjeb f’termini tal-perċettibbiltà meta wieħed jaċċessa u jibqa’ fl-intermedjarju tal-midja, b’mod partikolari permezz tal-użu ta’ sistemi awtomatiċi, il-kategorija tal-kontenut ikkonċernat u l-għanijiet segwiti mill-iffiltrar jew il-gradazzjoni għandhom jiġu indikati u</w:t>
      </w:r>
    </w:p>
    <w:p w:rsid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informazzjoni dwar jekk l-aċċess u ż-żamma tal-kontenut fl-intermedjarju tal-midja humiex jew jistgħux u, jekk iva, kif, influwenzati minn pagamenti jew benefiċċji oħra diretti jew indiretti mhux fi flus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Il-fornitur ta’ intermedjarju tal-midja huwa obbligat skont § 93(1), is-subparagrafu 2 tal-MStV li jagħmel trasparenti l-kriterji ċentrali għall-aggregazzjoni, l-għażla u l-preżentazzjoni tal-kontenut u l-ponderazzjoni tagħhom, inkluża informazzjoni dwar il-funzjonament tal-algoritmi użati.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Għal dan l-għan, il-fornitur ta’ intermedjarju tal-midja għandu b’mod partikolari jipprovdi l-informazzjoni li ġejja: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deskrizzjoni tal-kriterji ċentrali għall-aggregazzjoni, l-għażla u l-preżentazzjoni użati mill-fornitur ta’ intermedjarju tal-midja,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deskrizzjoni tal-ponderazzjoni relattiva tal-kriterji ċentrali fir-rigward ta’ xulxin u fir-rigward ta’ kriterji mhux ċentrali, mingħajr ma dawn tal-aħħar isiru trasparenti;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deskrizzjoni tal-objettivi ta’ ottimizzazzjoni segwiti mill-kriterji ċentrali,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informazzjoni dwar jekk il-kapaċità ta’ sejba tal-kontenut fl-intermedjarju tal-midja hijiex jew tistax u, jekk iva, kif, tiġi influwenzata mill-ħlas ta’ tariffi jew kunsiderazzjonijiet oħra diretti jew indiretti ta’ remunerazzjoni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deskrizzjoni tal-passi tal-proċess bażiku li jirdfu l-aggregazzjoni, l-għażla u l-preżentazzjoni tal-kontenut, inkluż liema </w:t>
      </w:r>
      <w:r>
        <w:rPr>
          <w:sz w:val="22"/>
          <w:i/>
          <w:iCs/>
          <w:rFonts w:ascii="Calibri" w:hAnsi="Calibri"/>
        </w:rPr>
        <w:t xml:space="preserve">data</w:t>
      </w:r>
      <w:r>
        <w:rPr>
          <w:sz w:val="22"/>
          <w:rFonts w:ascii="Calibri" w:hAnsi="Calibri"/>
        </w:rPr>
        <w:t xml:space="preserve"> personali u </w:t>
      </w:r>
      <w:r>
        <w:rPr>
          <w:sz w:val="22"/>
          <w:i/>
          <w:iCs/>
          <w:rFonts w:ascii="Calibri" w:hAnsi="Calibri"/>
        </w:rPr>
        <w:t xml:space="preserve">data</w:t>
      </w:r>
      <w:r>
        <w:rPr>
          <w:sz w:val="22"/>
          <w:rFonts w:ascii="Calibri" w:hAnsi="Calibri"/>
        </w:rPr>
        <w:t xml:space="preserve"> oħra tiġi inkluża fl-aggregazzjoni, fl-għażla u fil-preżentazzjoni,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informazzjoni dwar it-tip u l-firxa ta’ personalizzazzjoni użata u jekk, u jekk iva, kif, jiġi vvalutat il-kontenut għar-rilevanza għall-utent rispettiv,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informazzjoni dwar jekk, u jekk iva, b’liema mod, l-imġiba tal-utent fl-intermedjarju tal-midja tista’ tinfluwenza l-aggregazzjoni, l-għażla u l-preżentazzjoni tal-kontenut, inklużi indikazzjonijiet tal-possibbiltajiet ta’ influwenza disponibbli għall-utent permezz ta’ settings u funzjonijiet parzjali u</w:t>
      </w:r>
    </w:p>
    <w:p w:rsid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informazzjoni dwar jekk, u jekk iva, kif, il-fornitur ta’ intermedjarju tal-midja jittratta l-kontenut proprju tiegħu, il-kontenut ta’ kumpanija affiljata (§ 15 tal-Att dwar il-Kumpaniji b’Ishma (AktG)) jew il-kontenut ta’ sħab fil-kooperazzjoni b’mod speċjali matul l-aggregazzjoni, l-għażla u/jew il-preżentazzjoni.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L-emendi importanti għall-kriterji li għandhom isiru trasparenti skont § 93(1) gzl-MStV għandhom ikunu jidhru minnufih.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Għal dan l-għan, il-fornitur ta’ intermedjarju tal-midja għandu jżomm disponibbli ħarsa ġenerali li turi l-bidliet sinifikanti li jkunu saru matul iż-żmien.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L-emendi l-oħra kollha għall-kriterji li għandhom ikunu trasparenti skont § 93(1) tal-MStV għandhom jiġu żvelati mill-inqas kull erba’ xhur mid-dħul fis-seħħ ta’ dan l-istatut.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§ 5 għandu japplika kif xieraq.</w:t>
      </w:r>
    </w:p>
    <w:p w:rsid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Taqsima 3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Nondiskriminazzjoni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7 Dispożizzjonijiet ġenerali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L-obbligu ta’ intermedjarju tal-midja skont § 94(1) tal-MStV jinkludi wkoll partijiet u kontribuzzjonijiet li jistgħu jiġu ddefiniti ta’ natura ġurnalistika-editorjali.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Fid-determinazzjoni ta’ influwenza partikolarment għolja fis-sens ta’ § 94(1) tal-MStV, l-influwenza tal-intermedjarju tal-midja fuq kemm jidher il-kontenut ġurnalistiku-editorjali fil-proċess tal-iffurmar tal-opinjonijiet hija deċiżiva.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Il-valutazzjoni tista’ tqis b’mod partikolari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il-pożizzjoni tal-intermedjarju tal-midja fis-swieq rilevanti rispettivi;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ħarsa ġenerali tal-użu, pereżempju fuq il-bażi tal-firxa disponibbli ta’ użu, in-numri tal-utenti, it-tul u l-attività tal-utenti jew in-numru ta’ views għal kull utent.</w:t>
      </w:r>
      <w:r>
        <w:rPr>
          <w:sz w:val="22"/>
          <w:rFonts w:ascii="Calibri" w:hAnsi="Calibri"/>
        </w:rPr>
        <w:t xml:space="preserve"> </w:t>
      </w:r>
    </w:p>
    <w:p w:rsidR="002A4057" w:rsidRPr="002A4057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8</w:t>
      </w: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Devjazzjoni sistemika skont § 94(2), l-ewwel alternattiva tal-MStV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Bħala fatturi deċiżivi għall-valutazzjoni ta’ jekk japplikax ksur ta’ § 94(2), l-ewwel alternattiva tal-MStV hemm</w:t>
      </w:r>
    </w:p>
    <w:p w:rsidR="00D87095" w:rsidRP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il-kriterji u l-informazzjoni dwar il-ponderazzjoni tal-kriterji li l-fornitur ta’ intermedjarju tal-midja jippubblika sabiex jissodisfa l-obbligu tiegħu skont § 93(1) tal-MStV jew</w:t>
      </w:r>
    </w:p>
    <w:p w:rsid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il-kriterji u l-informazzjoni dwar il-ponderazzjoni tal-kriterji li l-fornitur ta’ intermedjarju tal-midja jkollu jippubblika sabiex jissodisfa l-obbligu tiegħu skont § 93(1) tal-MStV.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Devjazzjoni skont it-tifsira ta’ § 94(2), l-ewwel alternattiva tal-MStV għandha titqies li teżisti b’mod partikolari jekk il-fornitur ta’ intermedjarju tal-midja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ma japplikax il-kriterji ppubblikati jew kriterji għajr dawk li għandhom jiġu ppubblikati skont § 93(1), is-subparagrafu 1 u 2 tal-MStV, jew</w:t>
      </w:r>
    </w:p>
    <w:p w:rsid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jiddevja mill-ponderazzjoni ppubblikata tal-kriterji ċentrali ta’ aggregazzjoni, għażla u preżentazzjoni ta’ kontenut.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Jekk devjazzjoni skont it-tifsira ta’ § 94(2), l-ewwel alternattiva tal-MStV hijiex sistematika għandu jiġi ddeterminat fuq il-bażi ta’ ħarsa ġenerali taċ-ċirkostanzi kollha.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B’mod partikolari, għandhom jitqiesu t-tul ta’ żmien, ir-regolarità, ir-repetizzjoni u l-iskedar tad-devjazzjoni.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Devjazzjoni hija ġġustifikata jekk din tkun dovuta għal raġuni oġġettivament ġustifikata.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B’mod partikolari, ir-raġunijiet għal dan jistgħu jkunu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projbizzjonijiet legali jew obbligi legali;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kundizzjonijiet tekniċi fil-preżentazzjoni lill-utent;</w:t>
      </w:r>
    </w:p>
    <w:p w:rsid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rekwiżiti għall-protezzjoni tal-integrità tas-servizz.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Jekk hemmx raġuni ġustifikata oġġettivament tiġi vvalutata wara li jitqiesu l-interessi tal-partijiet involuti, filwaqt li jitqies l-għan tal-MStV li tiġi żgurata d-diversità tal-opinjonijiet.</w:t>
      </w:r>
      <w:r>
        <w:rPr>
          <w:sz w:val="22"/>
          <w:rFonts w:ascii="Calibri" w:hAnsi="Calibri"/>
        </w:rPr>
        <w:t xml:space="preserve">  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9</w:t>
      </w: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Ostruzzjoni mhux raġonevoli skont § 94(2), it-tieni alternattiva tal-MStV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Ostruzzjoni fis-sens ta’ § 94(2), it-tieni alternattiva tal-MStV hija l-indeboliment dirett jew indirett f’termini ta’ aċċess għal offerta ġurnalistika-editorjali, jew is-sejba tagħha.</w:t>
      </w: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§ 8(1) japplika skont dan.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Jekk ostruzzjoni skont it-tifsira ta’ § 94(2), it-tieni alternattiva tal-MStV hijiex sistematika għandu jiġi ddeterminat fuq il-bażi ta’ ħarsa ġenerali taċ-ċirkostanzi kollha.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It-tul ta’ żmien, ir-regolarità, u r-repetizzjoni tal-ostruzzjoni għandhom jiġu kkunsidrati.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In-natura mhux raġonevoli ta’ ostruzzjoni għandha tiġi vvalutata fuq il-bażi ta’ bilanċ bejn l-interessi tal-partijiet, filwaqt li jitqies l-għan tal-MStV li tissalvagwardja d-diversità tal-opinjonijiet.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In-natura mhux raġonevoli ta’ ostruzzjoni tista’ tirriżulta minn kriterji individwali jew mill-interazzjoni kumulattiva ta’ diversi kriterji.</w:t>
      </w:r>
      <w:r>
        <w:rPr>
          <w:sz w:val="22"/>
          <w:rFonts w:ascii="Calibri" w:hAnsi="Calibri"/>
        </w:rPr>
        <w:t xml:space="preserve">  </w:t>
      </w:r>
    </w:p>
    <w:p w:rsid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Taqsima 4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Proċedura u investigazzjoni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10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Kompetenza taż-ZAK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Sabiex jitwettqu l-kompiti fil-qafas ta’ dan l-istatut, il-Kummissjoni għal-Liċenzjar u s-Superviżjoni (ZAK) tal-awtorità kompetenti tal-midja tal-istat federali sservi bħala organu xieraq (§ 104(2), l-ewwel sentenza, Nru 1, § 105(1), l-ewwel sentenza, Nru 10 tal-MStV flimkien mar-regoli ta’ proċedura taż-ZAK – GVO ZAK).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L-awtorità kompetenti tal-midja tal-istat federali għandha tibgħat l-ilmenti immedjatament liż-ZAK permezz tal-Uffiċċju Konġunt skont § 11 u tinfurmah bl-eżaminazzjonijiet ex officio.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Iż-ZAK imexxi l-proċeduri sakemm id-deċiżjoni tkun lesta.</w:t>
      </w:r>
    </w:p>
    <w:p w:rsidR="006E5D47" w:rsidRPr="006E5D47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11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Proċedura ta’ nondiskriminazzjoni</w:t>
      </w: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L-awtorità kompetenti tal-midja tal-istat federali għandha teżamina, permezz taż-ZAK, fuq il-bażi ta’ lment jew f’każijiet ovvji ex officio, jekk il-fornitur ta’ intermedjarju tal-midja huwiex jikser id-dispożizzjonijiet ta’ § 94(1) u (2) tal-MStV jew §§ 8 u 9.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Id-dritt għall-appell skont it-tifsira ta’ § 94(3), l-ewwel sentenza tal-MStV huwa mogħti lil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fornituri ta’ kontenut ġurnalistiku-editorjali u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fornituri ta’ pjattaformi tal-midja u interfaċċji tal-utenti, sa fejn ikunu qed jilmentaw dwar id-diskriminazzjoni kontra l-pakketti ta’ kontenut ġurnalistiku-editorjali li joffru.</w:t>
      </w:r>
    </w:p>
    <w:p w:rsidR="006E5D47" w:rsidRPr="00D87095" w:rsidRDefault="006E5D47" w:rsidP="006E5D4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Il-persuna li tkun ressqet l-ilment għandha tagħti r-raġunijiet għall-appell tagħha.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Għal dan l-għan, għandha tingħata prova xierqa li minnha tfeġġ biżżejjed evidenza għall-allegata diskriminazzjoni tal-kontenut ġurnalistiku-editorjali tiegħu fis-sens ta’ § 94(2) tal-MStV jew §§ 8 u 9.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B’mod partikolari, jistgħu jiġu sottomessi dawn li ġejjin: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evalwazzjonijiet tas-sejba tal-kontenut ġurnalistiku-editorjali proprju fl-intermedjarju tal-midja u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studji xierqa.</w:t>
      </w: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Barra minn hekk, min jagħmel l-ilment għandu, fejn possibbli, jipprovdi prova xierqa li tagħti biżżejjed evidenza tal-influwenza partikolarment għolja tal-intermedjarju tal-midja fuq il-perċettibbiltà tal-kontenut ġurnalistiku-editorjali skont it-tifsira ta’ § 94(1) tal-MStV.</w:t>
      </w:r>
      <w:r>
        <w:rPr>
          <w:sz w:val="22"/>
          <w:rFonts w:ascii="Calibri" w:hAnsi="Calibri"/>
        </w:rPr>
        <w:t xml:space="preserve"> 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Każ ovvju skont § 94(3), it-tieni sentenza tal-MStV u (1) ikun jeżisti jekk il-fatti li jirfdu l-ksur tal-projbizzjoni tad-diskriminazzjoni jkunu identifikabbli b’mod ċar għall-partijiet terzi.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12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Rettifika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Jekk l-awtorità kompetenti tal-midja tal-istat federali tiddetermina permezz taż-ZAK li l-fornitur ta’ intermedjarju tal-midja qed jikser §§ 92 sa 94 tal-MStV jew id-dispożizzjonijiet ta’ dan l-istatut, il-fornitur tal-intermedjarju tal-midja għandu jirrettifika immedjatament lill-intermedjarju tal-midja.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Il-fornitur tal-intermedjarju tal-midja huwa obbligat li jipprovdi evidenza tar-rettifika lill-awtorità kompetenti tal-midja federali tal-istat b’mod xieraq u li jinftiehem.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13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Informazzjoni u sottomissjoni ta’ dokumenti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Sabiex jivverifika ksur possibbli, il-fornitur ta’ intermedjarju tal-midja huwa obbligat li jipprovdi l-informazzjoni kollha meħtieġa, li jagħmel l-informazzjoni disponibbli u li jissottometti d-dokumenti.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L-awtorità kompetenti tal-midja tal-istat federali tista’ b’mod partikolari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titlob is-sottomissjoni tad-dokumentazzjoni kollha li tagħti prova tal-kriterji skont it-tifsira ta’ § 93(1), is-subparagrafu 1 tal-MStV jew il-kriterji ċentrali u l-ponderazzjoni tagħhom kif ukoll il-funzjonament tal-algoritmi użati fis-sens ta’ § 93(1), is-subparagrafu 2 tal-MStV;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tisma’ bħala xhieda lill-impjegati tal-fornitur tal-intermedjarju tal-midja involuti fid-definizzjoni, l-implimentazzjoni teknika u l-modifika tal-kriterji skont it-tifsira ta’ § 93(1), is-subparagrafu 1 tal-MStV jew il-kriterji ċentrali u l-ponderazzjoni tagħhom kif ukoll l-algoritmi użati fit-tifsira ta’ § 93(1), is-subparagrafu 2 tal-MStV;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titlob mingħand il-fornitur tal-intermedjarju tal-midja affidavit dwar l-informazzjoni li għandha tkun  trasparenti skont § 93(1) tal-MStV u § 6;</w:t>
      </w:r>
    </w:p>
    <w:p w:rsid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tirrikjedi l-preżentazzjoni ta’ ftehimiet kuntrattwali, impenji jew obbligi oħra li huma oġġettivament relatati mal-aċċess u ż-żamma tal-kontenut għall-intermedjarju tal-midja, b’mod partikolari sa fejn dawn jikkonċernaw l-inklużjoni, il-preżentazzjoni u ż-żamma ta’ kontenut ġurnalistiku-editorjali.</w:t>
      </w:r>
    </w:p>
    <w:p w:rsidR="00D622FF" w:rsidRPr="00D87095" w:rsidRDefault="00D622FF" w:rsidP="00D622F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Meta jissottometti d-dokumenti msemmija fil-paragrafu 1, il-fornitur tal-intermedjarju tal-midja għandu jimmarka dawk il-partijiet tad-dokumenti li jkun fihom sigrieti tan-negozju jew kummerċjali.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F’dan il-każ, huma għandhom addizzjonalment jissottomettu verżjoni li, mill-perspettiva tagħhom, jistgħu jarawha partijiet terzi mingħajr ma jiżvelaw sigrieti tan-negozju jew kummerċjali.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Jekk dan ma jsirx, l-awtorità tal-midja tal-istat federali tista’ tassumi l-kunsens għall-ispezzjoni, sakemm ma tkunx konxja ta’ ċirkostanzi speċjali li ma jiġġustifikawx tali preżunzjoni.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4</w:t>
      </w:r>
      <w:r>
        <w:rPr>
          <w:sz w:val="22"/>
          <w:rFonts w:ascii="Calibri" w:hAnsi="Calibri"/>
        </w:rPr>
        <w:t xml:space="preserve">Jekk l-awtorità tal-midja tal-istat federali tqis li l-immarkar tad-dokumenti bħala sigrieti kummerċjali jew tan-negozju ma jkunx ġustifikat, hija għandha tagħti lill-fornitur l-opportunità li jikkummenta qabel ma tiddeċiedi jekk tagħtix aċċess lil partijiet terzi.</w:t>
      </w:r>
    </w:p>
    <w:p w:rsid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 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Taqsima 5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Dispożizzjonijiet finali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14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Evalwazzjoni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Iż-ZAK għandu jirrevedi dan l-istatut mill-inqas kull tliet snin, billi jieħu inkunsiderazzjoni b’mod partikolari</w:t>
      </w:r>
      <w:r>
        <w:rPr>
          <w:sz w:val="22"/>
          <w:rFonts w:ascii="Calibri" w:hAnsi="Calibri"/>
        </w:rPr>
        <w:tab/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l-esperjenza miksuba mill-applikazzjoni prattika ta’ dan l-istatut;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l-iżviluppi tekniċi u ekonomiċi fil-qasam regolatorju;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l-importanza tal-intermedjarji individwali tal-midja għall-iffurmar tal-opinjoni pubblika;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żviluppi koregolatorji bħall-impenji tal-industrija kollha;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l-iżvilupp tar-riċerka dwar it-trasparenza u d-diskriminazzjoni;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l-iżvilupp tar-riċerka u x-xjenza fil-qasam tal-analiżi tad-</w:t>
      </w:r>
      <w:r>
        <w:rPr>
          <w:sz w:val="22"/>
          <w:i/>
          <w:iCs/>
          <w:rFonts w:ascii="Calibri" w:hAnsi="Calibri"/>
        </w:rPr>
        <w:t xml:space="preserve">data</w:t>
      </w:r>
      <w:r>
        <w:rPr>
          <w:sz w:val="22"/>
          <w:rFonts w:ascii="Calibri" w:hAnsi="Calibri"/>
        </w:rPr>
        <w:t xml:space="preserve">, l-intelliġenza artifiċjali u l-apprendiment awtomatiku.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 15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Dħul fis-seħħ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60A0" w:rsidRPr="008C60A0" w:rsidRDefault="006E5D47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Dan l-istatut għandu jidħol fis-seħħ fl-1 ta’ Settembru 2021.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Jekk, sal-31 ta’ Awwissu 2021, l-istatuti korrispondenti ma jkunux ġew promulgati u ppubblikati mill-awtoritajiet tal-midja tal-istat federali kollha, dan l-istatut ma għandux jibqa’ validu.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Il-President tal-Konferenza tad-Diretturi tal-Awtoritajiet tal-Midja tal-Istat Federali (DLM) għandu jippubblika fuq l-internet taħt il-marka globali “die medienanstalten” jekk l-awtoritajiet tal-midja tal-istat federali kollha jkunux ippromulgaw u ppubblikaw statuti korrispondenti fil-perjodu speċifikat fis-sentenza 2.</w:t>
      </w:r>
      <w:r w:rsidR="00CF50DB">
        <w:rPr>
          <w:rStyle w:val="Funotenzeichen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8C60A0" w:rsidRPr="008C60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DB6" w:rsidRDefault="00F32DB6" w:rsidP="00986629">
      <w:r>
        <w:separator/>
      </w:r>
    </w:p>
  </w:endnote>
  <w:endnote w:type="continuationSeparator" w:id="0">
    <w:p w:rsidR="00F32DB6" w:rsidRDefault="00F32DB6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344168373"/>
      <w:docPartObj>
        <w:docPartGallery w:val="Page Numbers (Bottom of Page)"/>
        <w:docPartUnique/>
      </w:docPartObj>
    </w:sdtPr>
    <w:sdtEndPr/>
    <w:sdtContent>
      <w:p w:rsidR="00C41351" w:rsidRPr="00C41351" w:rsidRDefault="00C41351">
        <w:pPr>
          <w:pStyle w:val="Fuzeile"/>
          <w:jc w:val="center"/>
          <w:rPr>
            <w:sz w:val="22"/>
            <w:szCs w:val="22"/>
            <w:rFonts w:asciiTheme="minorHAnsi" w:hAnsiTheme="minorHAnsi" w:cstheme="minorHAnsi"/>
          </w:rPr>
        </w:pPr>
        <w:r w:rsidRPr="00C41351">
          <w:rPr>
            <w:sz w:val="22"/>
            <w:rFonts w:asciiTheme="minorHAnsi" w:hAnsiTheme="minorHAnsi" w:cstheme="minorHAnsi"/>
          </w:rPr>
          <w:fldChar w:fldCharType="begin"/>
        </w:r>
        <w:r w:rsidRPr="00C41351">
          <w:rPr>
            <w:sz w:val="22"/>
            <w:rFonts w:asciiTheme="minorHAnsi" w:hAnsiTheme="minorHAnsi" w:cstheme="minorHAnsi"/>
          </w:rPr>
          <w:instrText>PAGE   \* MERGEFORMAT</w:instrText>
        </w:r>
        <w:r w:rsidRPr="00C41351">
          <w:rPr>
            <w:sz w:val="22"/>
            <w:rFonts w:asciiTheme="minorHAnsi" w:hAnsiTheme="minorHAnsi" w:cstheme="minorHAnsi"/>
          </w:rPr>
          <w:fldChar w:fldCharType="separate"/>
        </w:r>
        <w:r w:rsidR="00673759">
          <w:rPr>
            <w:sz w:val="22"/>
            <w:rFonts w:asciiTheme="minorHAnsi" w:hAnsiTheme="minorHAnsi" w:cstheme="minorHAnsi"/>
          </w:rPr>
          <w:t>8</w:t>
        </w:r>
        <w:r w:rsidRPr="00C41351">
          <w:rPr>
            <w:sz w:val="22"/>
            <w:rFonts w:asciiTheme="minorHAnsi" w:hAnsiTheme="minorHAnsi" w:cstheme="minorHAnsi"/>
          </w:rPr>
          <w:fldChar w:fldCharType="end"/>
        </w:r>
      </w:p>
    </w:sdtContent>
  </w:sdt>
  <w:p w:rsidR="00793947" w:rsidRDefault="007939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DB6" w:rsidRDefault="00F32DB6" w:rsidP="00986629">
      <w:r>
        <w:separator/>
      </w:r>
    </w:p>
  </w:footnote>
  <w:footnote w:type="continuationSeparator" w:id="0">
    <w:p w:rsidR="00F32DB6" w:rsidRDefault="00F32DB6" w:rsidP="00986629">
      <w:r>
        <w:continuationSeparator/>
      </w:r>
    </w:p>
  </w:footnote>
  <w:footnote w:id="1">
    <w:p w:rsidR="00CF50DB" w:rsidRDefault="00CF50DB" w:rsidP="00CF50DB">
      <w:pPr>
        <w:pStyle w:val="Funotentext"/>
      </w:pPr>
      <w:r>
        <w:rPr>
          <w:rStyle w:val="Funotenzeichen"/>
        </w:rPr>
        <w:footnoteRef/>
      </w:r>
      <w:r>
        <w:t xml:space="preserve"> Notifikat skont id-Direttiva (UE) 2015/1535 tal-Parlament Ewropew u tal-Kunsill tad-9 ta’ Settembru 2015 li tistabbilixxi proċedura għall-għoti ta’ informazzjoni fil-qasam tar-regolamenti tekniċi u tar-regoli dwar is-servizzi tas-Soċjetà tal-Informatika (ĠU L 241, 17.9.2015, p.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629" w:rsidRPr="00986629" w:rsidRDefault="00986629">
    <w:pPr>
      <w:pStyle w:val="Kopfzeile"/>
      <w:rPr>
        <w:sz w:val="16"/>
      </w:rPr>
    </w:pPr>
    <w:r>
      <w:rPr>
        <w:sz w:val="20"/>
      </w:rPr>
      <w:br/>
    </w:r>
    <w: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br/>
    </w:r>
    <w:r>
      <w:rPr>
        <w:sz w:val="20"/>
      </w:rPr>
      <w:br/>
    </w:r>
  </w:p>
  <w:p w:rsidR="00986629" w:rsidRDefault="009866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E2F"/>
    <w:multiLevelType w:val="hybridMultilevel"/>
    <w:tmpl w:val="18DABDC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51896"/>
    <w:multiLevelType w:val="hybridMultilevel"/>
    <w:tmpl w:val="EFC056D6"/>
    <w:lvl w:ilvl="0" w:tplc="683A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84E44"/>
    <w:multiLevelType w:val="hybridMultilevel"/>
    <w:tmpl w:val="90D252CA"/>
    <w:lvl w:ilvl="0" w:tplc="232480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BE0"/>
    <w:multiLevelType w:val="hybridMultilevel"/>
    <w:tmpl w:val="98522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CF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509B"/>
    <w:multiLevelType w:val="hybridMultilevel"/>
    <w:tmpl w:val="51242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9E5"/>
    <w:multiLevelType w:val="hybridMultilevel"/>
    <w:tmpl w:val="20A49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209C"/>
    <w:multiLevelType w:val="hybridMultilevel"/>
    <w:tmpl w:val="26E44C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F459E"/>
    <w:multiLevelType w:val="hybridMultilevel"/>
    <w:tmpl w:val="D2EC5AA2"/>
    <w:lvl w:ilvl="0" w:tplc="18A608C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7088F"/>
    <w:multiLevelType w:val="hybridMultilevel"/>
    <w:tmpl w:val="5A586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627A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95E"/>
    <w:multiLevelType w:val="hybridMultilevel"/>
    <w:tmpl w:val="5F7A48D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ED5ED2"/>
    <w:multiLevelType w:val="hybridMultilevel"/>
    <w:tmpl w:val="102A79D4"/>
    <w:lvl w:ilvl="0" w:tplc="533E0752">
      <w:start w:val="4"/>
      <w:numFmt w:val="bullet"/>
      <w:lvlText w:val="•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107676"/>
    <w:multiLevelType w:val="hybridMultilevel"/>
    <w:tmpl w:val="A37424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21B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023A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55E0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11B0F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4431"/>
    <w:multiLevelType w:val="hybridMultilevel"/>
    <w:tmpl w:val="2EBEBD2A"/>
    <w:lvl w:ilvl="0" w:tplc="71568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BCD"/>
    <w:multiLevelType w:val="hybridMultilevel"/>
    <w:tmpl w:val="AE6A8532"/>
    <w:lvl w:ilvl="0" w:tplc="2DF453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71A26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A1800"/>
    <w:multiLevelType w:val="hybridMultilevel"/>
    <w:tmpl w:val="FA22ABB6"/>
    <w:lvl w:ilvl="0" w:tplc="0407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C61D4"/>
    <w:multiLevelType w:val="hybridMultilevel"/>
    <w:tmpl w:val="578E6428"/>
    <w:lvl w:ilvl="0" w:tplc="1E38C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CA13AA"/>
    <w:multiLevelType w:val="hybridMultilevel"/>
    <w:tmpl w:val="079668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732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43BE5"/>
    <w:multiLevelType w:val="hybridMultilevel"/>
    <w:tmpl w:val="0E88EBC8"/>
    <w:lvl w:ilvl="0" w:tplc="274A95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85FB1"/>
    <w:multiLevelType w:val="hybridMultilevel"/>
    <w:tmpl w:val="F01601A0"/>
    <w:lvl w:ilvl="0" w:tplc="24ECC6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4070C1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0F6C"/>
    <w:multiLevelType w:val="hybridMultilevel"/>
    <w:tmpl w:val="5356724C"/>
    <w:lvl w:ilvl="0" w:tplc="2D9C35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679E"/>
    <w:multiLevelType w:val="hybridMultilevel"/>
    <w:tmpl w:val="18E8C4F4"/>
    <w:lvl w:ilvl="0" w:tplc="ABD6B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310F1"/>
    <w:multiLevelType w:val="hybridMultilevel"/>
    <w:tmpl w:val="49C8E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6E5"/>
    <w:multiLevelType w:val="hybridMultilevel"/>
    <w:tmpl w:val="9C448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2FD9"/>
    <w:multiLevelType w:val="hybridMultilevel"/>
    <w:tmpl w:val="BC302260"/>
    <w:lvl w:ilvl="0" w:tplc="B422F4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01D5B"/>
    <w:multiLevelType w:val="hybridMultilevel"/>
    <w:tmpl w:val="37307526"/>
    <w:lvl w:ilvl="0" w:tplc="951E0C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15989"/>
    <w:multiLevelType w:val="hybridMultilevel"/>
    <w:tmpl w:val="C7B61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07B0"/>
    <w:multiLevelType w:val="hybridMultilevel"/>
    <w:tmpl w:val="D9DA2D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72854"/>
    <w:multiLevelType w:val="hybridMultilevel"/>
    <w:tmpl w:val="230E27C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94F96"/>
    <w:multiLevelType w:val="hybridMultilevel"/>
    <w:tmpl w:val="7F901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C0987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45114"/>
    <w:multiLevelType w:val="hybridMultilevel"/>
    <w:tmpl w:val="4FACE3C8"/>
    <w:lvl w:ilvl="0" w:tplc="9FF4C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053D"/>
    <w:multiLevelType w:val="hybridMultilevel"/>
    <w:tmpl w:val="712C2D8E"/>
    <w:lvl w:ilvl="0" w:tplc="90C0BA8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FB5C93"/>
    <w:multiLevelType w:val="hybridMultilevel"/>
    <w:tmpl w:val="664E4A22"/>
    <w:lvl w:ilvl="0" w:tplc="0D56F5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22"/>
  </w:num>
  <w:num w:numId="9">
    <w:abstractNumId w:val="31"/>
  </w:num>
  <w:num w:numId="10">
    <w:abstractNumId w:val="12"/>
  </w:num>
  <w:num w:numId="11">
    <w:abstractNumId w:val="4"/>
  </w:num>
  <w:num w:numId="12">
    <w:abstractNumId w:val="34"/>
  </w:num>
  <w:num w:numId="13">
    <w:abstractNumId w:val="23"/>
  </w:num>
  <w:num w:numId="14">
    <w:abstractNumId w:val="37"/>
  </w:num>
  <w:num w:numId="15">
    <w:abstractNumId w:val="5"/>
  </w:num>
  <w:num w:numId="16">
    <w:abstractNumId w:val="30"/>
  </w:num>
  <w:num w:numId="17">
    <w:abstractNumId w:val="36"/>
  </w:num>
  <w:num w:numId="18">
    <w:abstractNumId w:val="28"/>
  </w:num>
  <w:num w:numId="19">
    <w:abstractNumId w:val="35"/>
  </w:num>
  <w:num w:numId="20">
    <w:abstractNumId w:val="7"/>
  </w:num>
  <w:num w:numId="21">
    <w:abstractNumId w:val="18"/>
  </w:num>
  <w:num w:numId="22">
    <w:abstractNumId w:val="19"/>
  </w:num>
  <w:num w:numId="23">
    <w:abstractNumId w:val="21"/>
  </w:num>
  <w:num w:numId="24">
    <w:abstractNumId w:val="8"/>
  </w:num>
  <w:num w:numId="25">
    <w:abstractNumId w:val="25"/>
  </w:num>
  <w:num w:numId="26">
    <w:abstractNumId w:val="41"/>
  </w:num>
  <w:num w:numId="27">
    <w:abstractNumId w:val="40"/>
  </w:num>
  <w:num w:numId="28">
    <w:abstractNumId w:val="26"/>
  </w:num>
  <w:num w:numId="29">
    <w:abstractNumId w:val="39"/>
  </w:num>
  <w:num w:numId="30">
    <w:abstractNumId w:val="29"/>
  </w:num>
  <w:num w:numId="31">
    <w:abstractNumId w:val="32"/>
  </w:num>
  <w:num w:numId="32">
    <w:abstractNumId w:val="33"/>
  </w:num>
  <w:num w:numId="33">
    <w:abstractNumId w:val="2"/>
  </w:num>
  <w:num w:numId="34">
    <w:abstractNumId w:val="16"/>
  </w:num>
  <w:num w:numId="35">
    <w:abstractNumId w:val="20"/>
  </w:num>
  <w:num w:numId="36">
    <w:abstractNumId w:val="38"/>
  </w:num>
  <w:num w:numId="37">
    <w:abstractNumId w:val="24"/>
  </w:num>
  <w:num w:numId="38">
    <w:abstractNumId w:val="14"/>
  </w:num>
  <w:num w:numId="39">
    <w:abstractNumId w:val="27"/>
  </w:num>
  <w:num w:numId="40">
    <w:abstractNumId w:val="17"/>
  </w:num>
  <w:num w:numId="41">
    <w:abstractNumId w:val="1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5"/>
    <w:rsid w:val="000045F8"/>
    <w:rsid w:val="00011024"/>
    <w:rsid w:val="000C657E"/>
    <w:rsid w:val="00133120"/>
    <w:rsid w:val="001333BE"/>
    <w:rsid w:val="001607B9"/>
    <w:rsid w:val="001D1CDD"/>
    <w:rsid w:val="001D2E17"/>
    <w:rsid w:val="00202046"/>
    <w:rsid w:val="00251322"/>
    <w:rsid w:val="002644D4"/>
    <w:rsid w:val="00281091"/>
    <w:rsid w:val="002A4057"/>
    <w:rsid w:val="002A4368"/>
    <w:rsid w:val="002C21BC"/>
    <w:rsid w:val="003564B3"/>
    <w:rsid w:val="003C28A6"/>
    <w:rsid w:val="003D2EE7"/>
    <w:rsid w:val="003E6BAD"/>
    <w:rsid w:val="004303CE"/>
    <w:rsid w:val="0045797A"/>
    <w:rsid w:val="004F1AEC"/>
    <w:rsid w:val="00511D74"/>
    <w:rsid w:val="00521970"/>
    <w:rsid w:val="00575BA9"/>
    <w:rsid w:val="005C3C1E"/>
    <w:rsid w:val="005D5943"/>
    <w:rsid w:val="00650B4F"/>
    <w:rsid w:val="00673759"/>
    <w:rsid w:val="00691044"/>
    <w:rsid w:val="006E5D47"/>
    <w:rsid w:val="00702C72"/>
    <w:rsid w:val="007417F7"/>
    <w:rsid w:val="00793947"/>
    <w:rsid w:val="007D4A2A"/>
    <w:rsid w:val="00816EE9"/>
    <w:rsid w:val="00817E45"/>
    <w:rsid w:val="0083446E"/>
    <w:rsid w:val="00862E68"/>
    <w:rsid w:val="0089595F"/>
    <w:rsid w:val="008C60A0"/>
    <w:rsid w:val="008F77BA"/>
    <w:rsid w:val="009217BC"/>
    <w:rsid w:val="00986629"/>
    <w:rsid w:val="009C24A4"/>
    <w:rsid w:val="00AD10EE"/>
    <w:rsid w:val="00AE0EB4"/>
    <w:rsid w:val="00AE3223"/>
    <w:rsid w:val="00AF7A0C"/>
    <w:rsid w:val="00B126BF"/>
    <w:rsid w:val="00B21DD1"/>
    <w:rsid w:val="00B25AAD"/>
    <w:rsid w:val="00B50565"/>
    <w:rsid w:val="00B82C25"/>
    <w:rsid w:val="00B93BDE"/>
    <w:rsid w:val="00BA4949"/>
    <w:rsid w:val="00C41351"/>
    <w:rsid w:val="00C65B4D"/>
    <w:rsid w:val="00C902B9"/>
    <w:rsid w:val="00C90B7C"/>
    <w:rsid w:val="00CF50DB"/>
    <w:rsid w:val="00D234F3"/>
    <w:rsid w:val="00D622FF"/>
    <w:rsid w:val="00D87095"/>
    <w:rsid w:val="00DC1A2C"/>
    <w:rsid w:val="00DD3710"/>
    <w:rsid w:val="00DF0BF7"/>
    <w:rsid w:val="00E14290"/>
    <w:rsid w:val="00E52E94"/>
    <w:rsid w:val="00EF480D"/>
    <w:rsid w:val="00F32DB6"/>
    <w:rsid w:val="00F33CAE"/>
    <w:rsid w:val="00F40F94"/>
    <w:rsid w:val="00F65A92"/>
    <w:rsid w:val="00F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t-MT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Textkrper">
    <w:name w:val="Body Text"/>
    <w:basedOn w:val="Standard"/>
    <w:rPr>
      <w:rFonts w:ascii="Arial" w:hAnsi="Arial"/>
      <w:sz w:val="21"/>
    </w:rPr>
  </w:style>
  <w:style w:type="character" w:customStyle="1" w:styleId="KommentartextZchn">
    <w:name w:val="Kommentartext Zchn"/>
    <w:link w:val="Kommentartext"/>
    <w:locked/>
    <w:rPr>
      <w:lang w:val="mt-MT" w:eastAsia="de-DE" w:bidi="ar-SA"/>
    </w:rPr>
  </w:style>
  <w:style w:type="paragraph" w:styleId="Kopfzeile">
    <w:name w:val="header"/>
    <w:basedOn w:val="Standard"/>
    <w:link w:val="KopfzeileZchn"/>
    <w:rsid w:val="00986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8662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6629"/>
    <w:rPr>
      <w:sz w:val="24"/>
      <w:szCs w:val="24"/>
    </w:rPr>
  </w:style>
  <w:style w:type="paragraph" w:customStyle="1" w:styleId="GGSZ">
    <w:name w:val="GGS ZÜ"/>
    <w:basedOn w:val="Standard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Absatz-Standardschriftar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enabsatz">
    <w:name w:val="List Paragraph"/>
    <w:basedOn w:val="Standard"/>
    <w:uiPriority w:val="34"/>
    <w:qFormat/>
    <w:rsid w:val="00650B4F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CF50D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F50DB"/>
  </w:style>
  <w:style w:type="character" w:styleId="Funotenzeichen">
    <w:name w:val="footnote reference"/>
    <w:basedOn w:val="Absatz-Standardschriftart"/>
    <w:rsid w:val="00CF5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0007-F058-44F5-87D7-C0DBC8FA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2426</Words>
  <Characters>15768</Characters>
  <Application>Microsoft Office Word</Application>
  <DocSecurity>4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Redmann, Petra, EC2</cp:lastModifiedBy>
  <cp:revision>2</cp:revision>
  <cp:lastPrinted>2014-01-13T11:15:00Z</cp:lastPrinted>
  <dcterms:created xsi:type="dcterms:W3CDTF">2021-03-16T11:15:00Z</dcterms:created>
  <dcterms:modified xsi:type="dcterms:W3CDTF">2021-03-16T11:15:00Z</dcterms:modified>
</cp:coreProperties>
</file>