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E0BF5" w14:textId="77777777" w:rsidR="00D43284" w:rsidRPr="007F62F1" w:rsidRDefault="00D43284" w:rsidP="00D43284">
      <w:pPr>
        <w:ind w:right="8"/>
        <w:jc w:val="center"/>
        <w:rPr>
          <w:rFonts w:ascii="Courier New" w:hAnsi="Courier New" w:cs="Courier New"/>
          <w:sz w:val="20"/>
        </w:rPr>
      </w:pPr>
      <w:r>
        <w:rPr>
          <w:rFonts w:ascii="Courier New" w:hAnsi="Courier New"/>
          <w:sz w:val="20"/>
        </w:rPr>
        <w:t>1. ------IND- 2020 0423 HU- FR- ------ 20200709 --- --- PROJET</w:t>
      </w:r>
    </w:p>
    <w:p w14:paraId="638D9C34" w14:textId="77777777" w:rsidR="007415C7" w:rsidRPr="003B28B3" w:rsidRDefault="007415C7" w:rsidP="007415C7">
      <w:pPr>
        <w:pStyle w:val="ListParagraph"/>
        <w:spacing w:after="0" w:line="240" w:lineRule="auto"/>
        <w:ind w:left="644"/>
        <w:jc w:val="center"/>
        <w:rPr>
          <w:b/>
          <w:sz w:val="24"/>
          <w:szCs w:val="24"/>
        </w:rPr>
      </w:pPr>
      <w:r>
        <w:rPr>
          <w:b/>
          <w:sz w:val="24"/>
        </w:rPr>
        <w:t>Décret gouvernemental nº …./2020 (…)</w:t>
      </w:r>
    </w:p>
    <w:p w14:paraId="4AAE6DCD" w14:textId="77777777" w:rsidR="007415C7" w:rsidRPr="003B28B3" w:rsidRDefault="007415C7" w:rsidP="007415C7">
      <w:pPr>
        <w:pStyle w:val="ListParagraph"/>
        <w:spacing w:after="0" w:line="240" w:lineRule="auto"/>
        <w:ind w:left="644"/>
        <w:jc w:val="center"/>
        <w:rPr>
          <w:b/>
          <w:sz w:val="24"/>
          <w:szCs w:val="24"/>
        </w:rPr>
      </w:pPr>
    </w:p>
    <w:p w14:paraId="20B7356E" w14:textId="77777777" w:rsidR="007415C7" w:rsidRPr="003B28B3" w:rsidRDefault="007415C7" w:rsidP="007415C7">
      <w:pPr>
        <w:spacing w:after="0" w:line="240" w:lineRule="auto"/>
        <w:jc w:val="center"/>
        <w:rPr>
          <w:b/>
          <w:sz w:val="24"/>
          <w:szCs w:val="24"/>
        </w:rPr>
      </w:pPr>
      <w:r>
        <w:rPr>
          <w:b/>
          <w:sz w:val="24"/>
        </w:rPr>
        <w:t>portant restriction à la mise sur le marché de certains produits en plastique à usage unique, ainsi que de certains autres produits en plastique</w:t>
      </w:r>
    </w:p>
    <w:p w14:paraId="2F897C47" w14:textId="77777777" w:rsidR="007415C7" w:rsidRPr="003B28B3" w:rsidRDefault="007415C7" w:rsidP="007415C7">
      <w:pPr>
        <w:spacing w:after="0" w:line="240" w:lineRule="auto"/>
        <w:jc w:val="center"/>
        <w:rPr>
          <w:b/>
          <w:sz w:val="24"/>
          <w:szCs w:val="24"/>
        </w:rPr>
      </w:pPr>
    </w:p>
    <w:p w14:paraId="487175ED" w14:textId="70BE25C2" w:rsidR="007415C7" w:rsidRPr="003B28B3" w:rsidRDefault="007415C7" w:rsidP="007415C7">
      <w:pPr>
        <w:spacing w:after="0" w:line="240" w:lineRule="auto"/>
        <w:rPr>
          <w:sz w:val="24"/>
          <w:szCs w:val="24"/>
        </w:rPr>
      </w:pPr>
      <w:r>
        <w:rPr>
          <w:sz w:val="24"/>
        </w:rPr>
        <w:t>En vertu des pouvoirs qui lui sont conférés par l’article 110, paragraphe 7, point 42, de la loi LIII de 1995 sur les règles générales de protection de l’environnement, et dans le cadre de ses compétences définies à l’article 15, paragraphe 1, de la Loi fondamentale, le gouvernement décrète ce qui suit:</w:t>
      </w:r>
    </w:p>
    <w:p w14:paraId="43C5DF89" w14:textId="77777777" w:rsidR="007415C7" w:rsidRPr="003B28B3" w:rsidRDefault="007415C7" w:rsidP="007415C7">
      <w:pPr>
        <w:spacing w:after="0" w:line="240" w:lineRule="auto"/>
        <w:rPr>
          <w:sz w:val="24"/>
          <w:szCs w:val="24"/>
        </w:rPr>
      </w:pPr>
    </w:p>
    <w:p w14:paraId="191D6DD4" w14:textId="77777777" w:rsidR="007415C7" w:rsidRPr="003B28B3" w:rsidRDefault="007415C7" w:rsidP="007415C7">
      <w:pPr>
        <w:pStyle w:val="ListParagraph"/>
        <w:widowControl/>
        <w:numPr>
          <w:ilvl w:val="0"/>
          <w:numId w:val="1"/>
        </w:numPr>
        <w:adjustRightInd/>
        <w:spacing w:after="0" w:line="240" w:lineRule="auto"/>
        <w:jc w:val="center"/>
        <w:textAlignment w:val="auto"/>
        <w:rPr>
          <w:b/>
          <w:sz w:val="24"/>
          <w:szCs w:val="24"/>
        </w:rPr>
      </w:pPr>
      <w:r>
        <w:rPr>
          <w:b/>
          <w:sz w:val="24"/>
        </w:rPr>
        <w:t>Application du décret</w:t>
      </w:r>
    </w:p>
    <w:p w14:paraId="190B1670" w14:textId="77777777" w:rsidR="007415C7" w:rsidRPr="003B28B3" w:rsidRDefault="007415C7" w:rsidP="007415C7">
      <w:pPr>
        <w:spacing w:after="0" w:line="240" w:lineRule="auto"/>
        <w:ind w:left="360"/>
        <w:rPr>
          <w:sz w:val="24"/>
          <w:szCs w:val="24"/>
        </w:rPr>
      </w:pPr>
    </w:p>
    <w:p w14:paraId="596897E9" w14:textId="77777777" w:rsidR="007415C7" w:rsidRPr="003B28B3" w:rsidRDefault="007415C7" w:rsidP="007415C7">
      <w:pPr>
        <w:tabs>
          <w:tab w:val="left" w:pos="284"/>
        </w:tabs>
        <w:adjustRightInd/>
        <w:spacing w:after="0" w:line="240" w:lineRule="auto"/>
        <w:jc w:val="left"/>
        <w:rPr>
          <w:sz w:val="24"/>
          <w:szCs w:val="24"/>
        </w:rPr>
      </w:pPr>
      <w:r>
        <w:rPr>
          <w:b/>
          <w:sz w:val="24"/>
        </w:rPr>
        <w:t xml:space="preserve">Article premier </w:t>
      </w:r>
      <w:r>
        <w:rPr>
          <w:sz w:val="24"/>
        </w:rPr>
        <w:t>1. Le présent décret s’applique:</w:t>
      </w:r>
    </w:p>
    <w:p w14:paraId="1C989B97" w14:textId="77777777" w:rsidR="007415C7" w:rsidRPr="003B28B3" w:rsidRDefault="007415C7" w:rsidP="007415C7">
      <w:pPr>
        <w:pStyle w:val="ListParagraph"/>
        <w:widowControl/>
        <w:adjustRightInd/>
        <w:spacing w:after="0" w:line="240" w:lineRule="auto"/>
        <w:ind w:left="0"/>
        <w:rPr>
          <w:sz w:val="24"/>
          <w:szCs w:val="24"/>
        </w:rPr>
      </w:pPr>
      <w:r>
        <w:rPr>
          <w:sz w:val="24"/>
        </w:rPr>
        <w:t>a) aux produits en plastique à usage unique définis aux annexes 1 et 2, et</w:t>
      </w:r>
    </w:p>
    <w:p w14:paraId="2595B072" w14:textId="77777777" w:rsidR="007415C7" w:rsidRPr="003B28B3" w:rsidRDefault="007415C7" w:rsidP="007415C7">
      <w:pPr>
        <w:pStyle w:val="ListParagraph"/>
        <w:widowControl/>
        <w:adjustRightInd/>
        <w:spacing w:after="0" w:line="240" w:lineRule="auto"/>
        <w:ind w:left="0"/>
        <w:jc w:val="left"/>
        <w:rPr>
          <w:sz w:val="24"/>
          <w:szCs w:val="24"/>
        </w:rPr>
      </w:pPr>
      <w:r>
        <w:rPr>
          <w:sz w:val="24"/>
        </w:rPr>
        <w:t xml:space="preserve">b) aux produits fabriqués à base de plastique oxodégradable. </w:t>
      </w:r>
    </w:p>
    <w:p w14:paraId="7A9ECEEA" w14:textId="77777777" w:rsidR="007415C7" w:rsidRPr="003B28B3" w:rsidRDefault="007415C7" w:rsidP="007415C7">
      <w:pPr>
        <w:widowControl/>
        <w:adjustRightInd/>
        <w:spacing w:after="0" w:line="240" w:lineRule="auto"/>
        <w:jc w:val="left"/>
        <w:rPr>
          <w:sz w:val="24"/>
          <w:szCs w:val="24"/>
        </w:rPr>
      </w:pPr>
      <w:r>
        <w:rPr>
          <w:sz w:val="24"/>
        </w:rPr>
        <w:t>2. Sont exclus du champ d’application du présent décret:</w:t>
      </w:r>
    </w:p>
    <w:p w14:paraId="3974EE7B" w14:textId="77777777" w:rsidR="007415C7" w:rsidRPr="003B28B3" w:rsidRDefault="007415C7" w:rsidP="007415C7">
      <w:pPr>
        <w:widowControl/>
        <w:adjustRightInd/>
        <w:spacing w:after="0" w:line="240" w:lineRule="auto"/>
        <w:rPr>
          <w:sz w:val="24"/>
          <w:szCs w:val="24"/>
        </w:rPr>
      </w:pPr>
      <w:r>
        <w:rPr>
          <w:sz w:val="24"/>
        </w:rPr>
        <w:t>a) les gobelets utilisés et destinés à stocker des denrées alimentaires liquides destinées à des fins médicales spéciales définies à l’article 2, paragraphe 2, point </w:t>
      </w:r>
      <w:r>
        <w:rPr>
          <w:i/>
          <w:sz w:val="24"/>
        </w:rPr>
        <w:t>g)</w:t>
      </w:r>
      <w:r>
        <w:rPr>
          <w:sz w:val="24"/>
        </w:rPr>
        <w:t>, du règlement (UE) nº 609/2013 du Parlement européen et du Conseil;</w:t>
      </w:r>
    </w:p>
    <w:p w14:paraId="55EDA7BE" w14:textId="77777777" w:rsidR="007415C7" w:rsidRPr="003B28B3" w:rsidRDefault="007415C7" w:rsidP="007415C7">
      <w:pPr>
        <w:widowControl/>
        <w:adjustRightInd/>
        <w:spacing w:after="0" w:line="240" w:lineRule="auto"/>
        <w:rPr>
          <w:sz w:val="24"/>
          <w:szCs w:val="24"/>
        </w:rPr>
      </w:pPr>
      <w:r>
        <w:rPr>
          <w:sz w:val="24"/>
        </w:rPr>
        <w:t>b) les pailles et les bâtonnets soumis à la directive 90/385/CEE ou à la directive 93/42/CEE.</w:t>
      </w:r>
    </w:p>
    <w:p w14:paraId="194913AB" w14:textId="77777777" w:rsidR="007415C7" w:rsidRPr="003B28B3" w:rsidRDefault="007415C7" w:rsidP="007415C7">
      <w:pPr>
        <w:widowControl/>
        <w:adjustRightInd/>
        <w:spacing w:after="0" w:line="240" w:lineRule="auto"/>
        <w:rPr>
          <w:sz w:val="24"/>
          <w:szCs w:val="24"/>
        </w:rPr>
      </w:pPr>
    </w:p>
    <w:p w14:paraId="23845353" w14:textId="77777777" w:rsidR="007415C7" w:rsidRPr="003B28B3" w:rsidRDefault="007415C7" w:rsidP="007415C7">
      <w:pPr>
        <w:widowControl/>
        <w:adjustRightInd/>
        <w:spacing w:after="0" w:line="240" w:lineRule="auto"/>
        <w:rPr>
          <w:sz w:val="24"/>
          <w:szCs w:val="24"/>
        </w:rPr>
      </w:pPr>
    </w:p>
    <w:p w14:paraId="267D6694" w14:textId="77777777" w:rsidR="007415C7" w:rsidRPr="003B28B3" w:rsidRDefault="007415C7" w:rsidP="007415C7">
      <w:pPr>
        <w:pStyle w:val="ListParagraph"/>
        <w:widowControl/>
        <w:numPr>
          <w:ilvl w:val="0"/>
          <w:numId w:val="1"/>
        </w:numPr>
        <w:adjustRightInd/>
        <w:spacing w:after="0" w:line="240" w:lineRule="auto"/>
        <w:jc w:val="center"/>
        <w:textAlignment w:val="auto"/>
        <w:rPr>
          <w:b/>
          <w:sz w:val="24"/>
          <w:szCs w:val="24"/>
        </w:rPr>
      </w:pPr>
      <w:r>
        <w:rPr>
          <w:b/>
          <w:sz w:val="24"/>
        </w:rPr>
        <w:t>Dispositions interprétatives</w:t>
      </w:r>
    </w:p>
    <w:p w14:paraId="33D503EC" w14:textId="77777777" w:rsidR="007415C7" w:rsidRPr="003B28B3" w:rsidRDefault="007415C7" w:rsidP="007415C7">
      <w:pPr>
        <w:tabs>
          <w:tab w:val="left" w:pos="284"/>
        </w:tabs>
        <w:adjustRightInd/>
        <w:spacing w:after="0" w:line="240" w:lineRule="auto"/>
        <w:jc w:val="left"/>
        <w:rPr>
          <w:b/>
          <w:sz w:val="24"/>
          <w:szCs w:val="24"/>
        </w:rPr>
      </w:pPr>
    </w:p>
    <w:p w14:paraId="0E044B81" w14:textId="77777777" w:rsidR="007415C7" w:rsidRPr="003B28B3" w:rsidRDefault="007415C7" w:rsidP="007415C7">
      <w:pPr>
        <w:tabs>
          <w:tab w:val="left" w:pos="284"/>
        </w:tabs>
        <w:adjustRightInd/>
        <w:spacing w:after="0" w:line="240" w:lineRule="auto"/>
        <w:jc w:val="left"/>
        <w:rPr>
          <w:b/>
          <w:sz w:val="24"/>
          <w:szCs w:val="24"/>
        </w:rPr>
      </w:pPr>
      <w:r>
        <w:rPr>
          <w:b/>
          <w:sz w:val="24"/>
        </w:rPr>
        <w:t xml:space="preserve">Article 2 </w:t>
      </w:r>
      <w:r>
        <w:rPr>
          <w:sz w:val="24"/>
        </w:rPr>
        <w:t>Aux fins du présent décret, on entend par:</w:t>
      </w:r>
    </w:p>
    <w:p w14:paraId="55D15460" w14:textId="77777777" w:rsidR="007415C7" w:rsidRPr="003B28B3" w:rsidRDefault="007415C7" w:rsidP="007415C7">
      <w:pPr>
        <w:tabs>
          <w:tab w:val="left" w:pos="284"/>
        </w:tabs>
        <w:adjustRightInd/>
        <w:spacing w:after="0" w:line="240" w:lineRule="auto"/>
        <w:rPr>
          <w:b/>
          <w:sz w:val="24"/>
          <w:szCs w:val="24"/>
        </w:rPr>
      </w:pPr>
      <w:r>
        <w:rPr>
          <w:i/>
          <w:sz w:val="24"/>
        </w:rPr>
        <w:t>1) plastique biodégradable:</w:t>
      </w:r>
      <w:r>
        <w:rPr>
          <w:sz w:val="24"/>
        </w:rPr>
        <w:t xml:space="preserve"> un plastique qui est de nature à pouvoir subir une décomposition physique ou biologique, de telle sorte qu’il se décompose finalement en dioxyde de carbone (CO</w:t>
      </w:r>
      <w:r>
        <w:rPr>
          <w:sz w:val="24"/>
          <w:vertAlign w:val="subscript"/>
        </w:rPr>
        <w:t>2</w:t>
      </w:r>
      <w:r>
        <w:rPr>
          <w:sz w:val="24"/>
        </w:rPr>
        <w:t>), en biomasse et en eau, et est, conformément aux normes européennes applicables aux emballages, valorisable par compostage et par digestion anaérobie;</w:t>
      </w:r>
    </w:p>
    <w:p w14:paraId="5A9ECFC6" w14:textId="77777777" w:rsidR="007415C7" w:rsidRPr="003B28B3" w:rsidRDefault="007415C7" w:rsidP="007415C7">
      <w:pPr>
        <w:spacing w:after="0" w:line="240" w:lineRule="auto"/>
        <w:rPr>
          <w:sz w:val="24"/>
          <w:szCs w:val="24"/>
        </w:rPr>
      </w:pPr>
      <w:r>
        <w:rPr>
          <w:i/>
          <w:sz w:val="24"/>
        </w:rPr>
        <w:t>2) produit en plastique à usage unique:</w:t>
      </w:r>
      <w:r>
        <w:rPr>
          <w:sz w:val="24"/>
        </w:rPr>
        <w:t xml:space="preserve"> un produit fabriqué entièrement ou partiellement à partir de plastique et qui n’est pas conçu, créé ou mis sur le marché pour accomplir, pendant sa durée de vie, plusieurs trajets ou rotations en étant retourné à un producteur pour être rempli à nouveau ou réutilisé pour un usage identique à celui pour lequel il a été conçu;</w:t>
      </w:r>
    </w:p>
    <w:p w14:paraId="1995C429" w14:textId="77777777" w:rsidR="007415C7" w:rsidRPr="003B28B3" w:rsidRDefault="007415C7" w:rsidP="007415C7">
      <w:pPr>
        <w:spacing w:after="0" w:line="240" w:lineRule="auto"/>
        <w:rPr>
          <w:sz w:val="24"/>
          <w:szCs w:val="24"/>
        </w:rPr>
      </w:pPr>
      <w:r>
        <w:rPr>
          <w:i/>
          <w:sz w:val="24"/>
        </w:rPr>
        <w:t>3) mise à disposition sur le marché:</w:t>
      </w:r>
      <w:r>
        <w:rPr>
          <w:sz w:val="24"/>
        </w:rPr>
        <w:t xml:space="preserve"> la fourniture d’un produit destiné à être distribué, consommé ou utilisé sur le marché d’un État membre dans le cadre d’une activité commerciale, que ce soit à titre onéreux ou gratuit;</w:t>
      </w:r>
    </w:p>
    <w:p w14:paraId="21931B95" w14:textId="77777777" w:rsidR="007415C7" w:rsidRPr="003B28B3" w:rsidRDefault="007415C7" w:rsidP="007415C7">
      <w:pPr>
        <w:spacing w:after="0" w:line="240" w:lineRule="auto"/>
        <w:rPr>
          <w:sz w:val="24"/>
          <w:szCs w:val="24"/>
        </w:rPr>
      </w:pPr>
      <w:r>
        <w:rPr>
          <w:i/>
          <w:sz w:val="24"/>
        </w:rPr>
        <w:t>4) mise sur le marché</w:t>
      </w:r>
      <w:r>
        <w:rPr>
          <w:sz w:val="24"/>
        </w:rPr>
        <w:t>: la première mise à disposition d’un produit sur le marché;</w:t>
      </w:r>
    </w:p>
    <w:p w14:paraId="2395EFEF" w14:textId="77777777" w:rsidR="007415C7" w:rsidRPr="003B28B3" w:rsidRDefault="007415C7" w:rsidP="007415C7">
      <w:pPr>
        <w:spacing w:after="0" w:line="240" w:lineRule="auto"/>
        <w:rPr>
          <w:sz w:val="24"/>
          <w:szCs w:val="24"/>
        </w:rPr>
      </w:pPr>
      <w:r>
        <w:rPr>
          <w:i/>
          <w:sz w:val="24"/>
        </w:rPr>
        <w:t xml:space="preserve">5) gobelet pour boissons: </w:t>
      </w:r>
      <w:r>
        <w:rPr>
          <w:sz w:val="24"/>
        </w:rPr>
        <w:t>un gobelet fabriqué en plastique à usage unique, destiné à être rempli sur le lieu de consommation, y compris un gobelet en plastique destiné à répondre aux besoins personnels de la personne physique;</w:t>
      </w:r>
    </w:p>
    <w:p w14:paraId="4A225E45" w14:textId="77777777" w:rsidR="007415C7" w:rsidRPr="003B28B3" w:rsidRDefault="007415C7" w:rsidP="007415C7">
      <w:pPr>
        <w:spacing w:after="0" w:line="240" w:lineRule="auto"/>
        <w:rPr>
          <w:sz w:val="24"/>
          <w:szCs w:val="24"/>
        </w:rPr>
      </w:pPr>
      <w:r>
        <w:rPr>
          <w:i/>
          <w:sz w:val="24"/>
        </w:rPr>
        <w:t>6)</w:t>
      </w:r>
      <w:r>
        <w:rPr>
          <w:sz w:val="24"/>
        </w:rPr>
        <w:t xml:space="preserve"> </w:t>
      </w:r>
      <w:r>
        <w:rPr>
          <w:i/>
          <w:sz w:val="24"/>
        </w:rPr>
        <w:t>sacs en plastique légers:</w:t>
      </w:r>
      <w:r>
        <w:rPr>
          <w:sz w:val="24"/>
        </w:rPr>
        <w:t xml:space="preserve"> les sacs en plastique d’une épaisseur de paroi inférieure à 50 microns;</w:t>
      </w:r>
    </w:p>
    <w:p w14:paraId="23874A9F" w14:textId="77777777" w:rsidR="007415C7" w:rsidRPr="003B28B3" w:rsidRDefault="00660035" w:rsidP="007415C7">
      <w:pPr>
        <w:spacing w:after="0" w:line="240" w:lineRule="auto"/>
        <w:rPr>
          <w:sz w:val="24"/>
          <w:szCs w:val="24"/>
        </w:rPr>
      </w:pPr>
      <w:r>
        <w:rPr>
          <w:i/>
          <w:sz w:val="24"/>
        </w:rPr>
        <w:t>7)</w:t>
      </w:r>
      <w:r w:rsidR="007415C7">
        <w:rPr>
          <w:i/>
          <w:sz w:val="24"/>
        </w:rPr>
        <w:t xml:space="preserve"> plastique:</w:t>
      </w:r>
      <w:r w:rsidR="007415C7">
        <w:rPr>
          <w:sz w:val="24"/>
        </w:rPr>
        <w:t xml:space="preserve"> un polymère au sens de l’article 3, point 5, du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auquel des </w:t>
      </w:r>
      <w:r w:rsidR="007415C7">
        <w:rPr>
          <w:sz w:val="24"/>
        </w:rPr>
        <w:lastRenderedPageBreak/>
        <w:t>additifs ou d’autres substances peuvent avoir été ajoutés, et qui est capable de jouer le rôle de composant structurel principal du produit fini, incluant les plastiques biodégradables;</w:t>
      </w:r>
    </w:p>
    <w:p w14:paraId="1846692A" w14:textId="77777777" w:rsidR="007415C7" w:rsidRPr="003B28B3" w:rsidRDefault="007415C7" w:rsidP="007415C7">
      <w:pPr>
        <w:spacing w:after="0" w:line="240" w:lineRule="auto"/>
        <w:rPr>
          <w:sz w:val="24"/>
          <w:szCs w:val="24"/>
        </w:rPr>
      </w:pPr>
      <w:r>
        <w:rPr>
          <w:i/>
          <w:sz w:val="24"/>
        </w:rPr>
        <w:t>8) sacs en plastique:</w:t>
      </w:r>
      <w:r>
        <w:rPr>
          <w:sz w:val="24"/>
        </w:rPr>
        <w:t xml:space="preserve"> les sacs, avec ou sans poignées, composés de plastique, qui sont fournis aux consommateurs dans les points de vente de marchandises ou de produits;</w:t>
      </w:r>
    </w:p>
    <w:p w14:paraId="603D3AF6" w14:textId="77777777" w:rsidR="007415C7" w:rsidRPr="003B28B3" w:rsidRDefault="007415C7" w:rsidP="007415C7">
      <w:pPr>
        <w:spacing w:after="0" w:line="240" w:lineRule="auto"/>
        <w:rPr>
          <w:sz w:val="24"/>
          <w:szCs w:val="24"/>
        </w:rPr>
      </w:pPr>
      <w:r>
        <w:rPr>
          <w:i/>
          <w:sz w:val="24"/>
        </w:rPr>
        <w:t>9) sacs en plastique très légers:</w:t>
      </w:r>
      <w:r>
        <w:rPr>
          <w:sz w:val="24"/>
        </w:rPr>
        <w:t xml:space="preserve"> les sacs en plastique d’une épaisseur de paroi inférieure à 15 microns, utilisés à des fins hygiéniques ou utilisés pour l’emballage principal de denrées alimentaires en vrac dans les cas où cela contribue à prévenir le gaspillage alimentaire;</w:t>
      </w:r>
    </w:p>
    <w:p w14:paraId="280BCCE1" w14:textId="77777777" w:rsidR="007415C7" w:rsidRPr="003B28B3" w:rsidRDefault="007415C7" w:rsidP="007415C7">
      <w:pPr>
        <w:spacing w:after="0" w:line="240" w:lineRule="auto"/>
        <w:rPr>
          <w:sz w:val="24"/>
          <w:szCs w:val="24"/>
        </w:rPr>
      </w:pPr>
      <w:r>
        <w:rPr>
          <w:i/>
          <w:sz w:val="24"/>
        </w:rPr>
        <w:t>10) plastique oxodégradable:</w:t>
      </w:r>
      <w:r>
        <w:rPr>
          <w:sz w:val="24"/>
        </w:rPr>
        <w:t xml:space="preserve"> des matières plastiques renfermant des additifs qui, sous l’effet de l’oxydation, conduisent à la fragmentation de la matière plastique en microfragments ou à une décomposition chimique;</w:t>
      </w:r>
    </w:p>
    <w:p w14:paraId="67BFA196" w14:textId="77777777" w:rsidR="007415C7" w:rsidRPr="003B28B3" w:rsidRDefault="007415C7" w:rsidP="007415C7">
      <w:pPr>
        <w:spacing w:after="0" w:line="240" w:lineRule="auto"/>
        <w:rPr>
          <w:sz w:val="24"/>
          <w:szCs w:val="24"/>
        </w:rPr>
      </w:pPr>
      <w:r>
        <w:rPr>
          <w:i/>
          <w:sz w:val="24"/>
        </w:rPr>
        <w:t>11) réutilisation:</w:t>
      </w:r>
      <w:r>
        <w:rPr>
          <w:sz w:val="24"/>
        </w:rPr>
        <w:t xml:space="preserve"> la réutilisation telle que définie dans la loi sur les déchets.</w:t>
      </w:r>
    </w:p>
    <w:p w14:paraId="3DA6ED21" w14:textId="77777777" w:rsidR="007415C7" w:rsidRPr="003B28B3" w:rsidRDefault="007415C7" w:rsidP="007415C7">
      <w:pPr>
        <w:spacing w:after="0" w:line="240" w:lineRule="auto"/>
        <w:rPr>
          <w:sz w:val="24"/>
          <w:szCs w:val="24"/>
        </w:rPr>
      </w:pPr>
    </w:p>
    <w:p w14:paraId="47E3EB92" w14:textId="77777777" w:rsidR="007415C7" w:rsidRPr="003B28B3" w:rsidRDefault="007415C7" w:rsidP="007415C7">
      <w:pPr>
        <w:pStyle w:val="ListParagraph"/>
        <w:widowControl/>
        <w:numPr>
          <w:ilvl w:val="0"/>
          <w:numId w:val="1"/>
        </w:numPr>
        <w:adjustRightInd/>
        <w:spacing w:after="0" w:line="240" w:lineRule="auto"/>
        <w:jc w:val="center"/>
        <w:textAlignment w:val="auto"/>
        <w:rPr>
          <w:b/>
          <w:sz w:val="24"/>
          <w:szCs w:val="24"/>
        </w:rPr>
      </w:pPr>
      <w:r>
        <w:rPr>
          <w:b/>
          <w:sz w:val="24"/>
        </w:rPr>
        <w:t>Exigences relatives à la mise sur le marché de certains produits en plastique à usage unique, ainsi que de certains autres produits en plastique</w:t>
      </w:r>
    </w:p>
    <w:p w14:paraId="0DD11F0D" w14:textId="77777777" w:rsidR="007415C7" w:rsidRPr="003B28B3" w:rsidRDefault="007415C7" w:rsidP="007415C7">
      <w:pPr>
        <w:spacing w:after="0" w:line="240" w:lineRule="auto"/>
        <w:rPr>
          <w:b/>
          <w:sz w:val="24"/>
          <w:szCs w:val="24"/>
        </w:rPr>
      </w:pPr>
    </w:p>
    <w:p w14:paraId="2AA0F57D" w14:textId="77777777" w:rsidR="007415C7" w:rsidRPr="003B28B3" w:rsidRDefault="007415C7" w:rsidP="007415C7">
      <w:pPr>
        <w:tabs>
          <w:tab w:val="left" w:pos="284"/>
        </w:tabs>
        <w:adjustRightInd/>
        <w:spacing w:after="0" w:line="240" w:lineRule="auto"/>
        <w:rPr>
          <w:sz w:val="24"/>
          <w:szCs w:val="24"/>
        </w:rPr>
      </w:pPr>
      <w:r>
        <w:rPr>
          <w:b/>
          <w:sz w:val="24"/>
        </w:rPr>
        <w:t xml:space="preserve">Article 3 </w:t>
      </w:r>
      <w:r>
        <w:rPr>
          <w:sz w:val="24"/>
        </w:rPr>
        <w:t xml:space="preserve">La mise sur le marché des produits en plastique à usage unique énumérés à l’annexe 1 et des produits en plastique oxodégradable est interdite. </w:t>
      </w:r>
    </w:p>
    <w:p w14:paraId="7BF685FD" w14:textId="77777777" w:rsidR="007415C7" w:rsidRPr="003B28B3" w:rsidRDefault="007415C7" w:rsidP="007415C7">
      <w:pPr>
        <w:tabs>
          <w:tab w:val="left" w:pos="284"/>
        </w:tabs>
        <w:adjustRightInd/>
        <w:spacing w:after="0" w:line="240" w:lineRule="auto"/>
        <w:rPr>
          <w:sz w:val="24"/>
          <w:szCs w:val="24"/>
        </w:rPr>
      </w:pPr>
      <w:r>
        <w:rPr>
          <w:b/>
          <w:sz w:val="24"/>
        </w:rPr>
        <w:t xml:space="preserve">Article 4 </w:t>
      </w:r>
      <w:r>
        <w:rPr>
          <w:sz w:val="24"/>
        </w:rPr>
        <w:t>La mise sur le marché des produits en plastique à usage unique énumérés à l’annexe 2 est interdite.</w:t>
      </w:r>
    </w:p>
    <w:p w14:paraId="3B7F22FC" w14:textId="77777777" w:rsidR="007415C7" w:rsidRPr="003B28B3" w:rsidRDefault="007415C7" w:rsidP="007415C7">
      <w:pPr>
        <w:tabs>
          <w:tab w:val="left" w:pos="284"/>
        </w:tabs>
        <w:adjustRightInd/>
        <w:spacing w:after="0" w:line="240" w:lineRule="auto"/>
        <w:rPr>
          <w:sz w:val="24"/>
          <w:szCs w:val="24"/>
        </w:rPr>
      </w:pPr>
    </w:p>
    <w:p w14:paraId="176E02ED" w14:textId="77777777" w:rsidR="007415C7" w:rsidRPr="003B28B3" w:rsidRDefault="007415C7" w:rsidP="007415C7">
      <w:pPr>
        <w:pStyle w:val="ListParagraph"/>
        <w:widowControl/>
        <w:numPr>
          <w:ilvl w:val="0"/>
          <w:numId w:val="1"/>
        </w:numPr>
        <w:adjustRightInd/>
        <w:spacing w:after="0" w:line="240" w:lineRule="auto"/>
        <w:jc w:val="center"/>
        <w:textAlignment w:val="auto"/>
        <w:rPr>
          <w:b/>
          <w:sz w:val="24"/>
          <w:szCs w:val="24"/>
        </w:rPr>
      </w:pPr>
      <w:r>
        <w:rPr>
          <w:b/>
          <w:sz w:val="24"/>
        </w:rPr>
        <w:t>Sanctions</w:t>
      </w:r>
    </w:p>
    <w:p w14:paraId="72730EB8" w14:textId="77777777" w:rsidR="007415C7" w:rsidRPr="003B28B3" w:rsidRDefault="007415C7" w:rsidP="007415C7">
      <w:pPr>
        <w:tabs>
          <w:tab w:val="left" w:pos="284"/>
        </w:tabs>
        <w:adjustRightInd/>
        <w:spacing w:after="0" w:line="240" w:lineRule="auto"/>
        <w:rPr>
          <w:sz w:val="24"/>
          <w:szCs w:val="24"/>
        </w:rPr>
      </w:pPr>
    </w:p>
    <w:p w14:paraId="430893C4" w14:textId="77777777" w:rsidR="007415C7" w:rsidRPr="003B28B3" w:rsidRDefault="007415C7" w:rsidP="007415C7">
      <w:pPr>
        <w:tabs>
          <w:tab w:val="left" w:pos="284"/>
        </w:tabs>
        <w:adjustRightInd/>
        <w:spacing w:after="0" w:line="240" w:lineRule="auto"/>
        <w:rPr>
          <w:sz w:val="24"/>
          <w:szCs w:val="24"/>
        </w:rPr>
      </w:pPr>
      <w:r>
        <w:rPr>
          <w:b/>
          <w:sz w:val="24"/>
        </w:rPr>
        <w:t xml:space="preserve">Article 5 </w:t>
      </w:r>
      <w:r>
        <w:rPr>
          <w:sz w:val="24"/>
        </w:rPr>
        <w:t>En ce qui concerne les sanctions relatives à la violation de l’interdiction de mise sur le marché telle que définie aux articles 3 et 4, la présente législation est considérée comme une législation portant sur la prévention de la production de déchets.</w:t>
      </w:r>
    </w:p>
    <w:p w14:paraId="3B19A7D6" w14:textId="77777777" w:rsidR="007415C7" w:rsidRPr="003B28B3" w:rsidRDefault="007415C7" w:rsidP="007415C7">
      <w:pPr>
        <w:tabs>
          <w:tab w:val="left" w:pos="284"/>
        </w:tabs>
        <w:adjustRightInd/>
        <w:spacing w:after="0" w:line="240" w:lineRule="auto"/>
        <w:rPr>
          <w:sz w:val="24"/>
          <w:szCs w:val="24"/>
        </w:rPr>
      </w:pPr>
    </w:p>
    <w:p w14:paraId="62488A37" w14:textId="77777777" w:rsidR="007415C7" w:rsidRPr="003B28B3" w:rsidRDefault="007415C7" w:rsidP="007415C7">
      <w:pPr>
        <w:pStyle w:val="ListParagraph"/>
        <w:widowControl/>
        <w:numPr>
          <w:ilvl w:val="0"/>
          <w:numId w:val="1"/>
        </w:numPr>
        <w:adjustRightInd/>
        <w:spacing w:after="0" w:line="240" w:lineRule="auto"/>
        <w:jc w:val="center"/>
        <w:textAlignment w:val="auto"/>
        <w:rPr>
          <w:b/>
          <w:sz w:val="24"/>
          <w:szCs w:val="24"/>
        </w:rPr>
      </w:pPr>
      <w:r>
        <w:rPr>
          <w:b/>
          <w:sz w:val="24"/>
        </w:rPr>
        <w:t>Dispositions finales</w:t>
      </w:r>
    </w:p>
    <w:p w14:paraId="13EB5924" w14:textId="77777777" w:rsidR="007415C7" w:rsidRPr="003B28B3" w:rsidRDefault="007415C7" w:rsidP="007415C7">
      <w:pPr>
        <w:spacing w:after="0" w:line="240" w:lineRule="auto"/>
        <w:rPr>
          <w:sz w:val="24"/>
          <w:szCs w:val="24"/>
        </w:rPr>
      </w:pPr>
    </w:p>
    <w:p w14:paraId="46C788E7" w14:textId="77777777" w:rsidR="007415C7" w:rsidRPr="003B28B3" w:rsidRDefault="007415C7" w:rsidP="007415C7">
      <w:pPr>
        <w:widowControl/>
        <w:adjustRightInd/>
        <w:spacing w:after="0" w:line="240" w:lineRule="auto"/>
        <w:jc w:val="left"/>
        <w:rPr>
          <w:sz w:val="24"/>
          <w:szCs w:val="24"/>
        </w:rPr>
      </w:pPr>
      <w:r>
        <w:rPr>
          <w:b/>
          <w:sz w:val="24"/>
        </w:rPr>
        <w:t xml:space="preserve">Article 6 </w:t>
      </w:r>
      <w:r>
        <w:rPr>
          <w:sz w:val="24"/>
        </w:rPr>
        <w:t>Le présent décret entre en vigueur le 1</w:t>
      </w:r>
      <w:r>
        <w:rPr>
          <w:sz w:val="24"/>
          <w:vertAlign w:val="superscript"/>
        </w:rPr>
        <w:t>er</w:t>
      </w:r>
      <w:r>
        <w:rPr>
          <w:sz w:val="24"/>
        </w:rPr>
        <w:t> juillet 2021.</w:t>
      </w:r>
    </w:p>
    <w:p w14:paraId="6FDBE30D" w14:textId="77777777" w:rsidR="007415C7" w:rsidRPr="003B28B3" w:rsidRDefault="007415C7" w:rsidP="007415C7">
      <w:pPr>
        <w:widowControl/>
        <w:adjustRightInd/>
        <w:spacing w:after="0" w:line="240" w:lineRule="auto"/>
        <w:rPr>
          <w:sz w:val="24"/>
          <w:szCs w:val="24"/>
        </w:rPr>
      </w:pPr>
    </w:p>
    <w:p w14:paraId="61A26175" w14:textId="77777777" w:rsidR="007415C7" w:rsidRPr="003B28B3" w:rsidRDefault="007415C7" w:rsidP="007415C7">
      <w:pPr>
        <w:widowControl/>
        <w:adjustRightInd/>
        <w:spacing w:after="0" w:line="240" w:lineRule="auto"/>
        <w:jc w:val="left"/>
        <w:rPr>
          <w:b/>
          <w:sz w:val="24"/>
          <w:szCs w:val="24"/>
        </w:rPr>
      </w:pPr>
      <w:r>
        <w:rPr>
          <w:b/>
          <w:sz w:val="24"/>
        </w:rPr>
        <w:t xml:space="preserve">Article 7 </w:t>
      </w:r>
      <w:r>
        <w:rPr>
          <w:sz w:val="24"/>
        </w:rPr>
        <w:t>1. Le présent décret est destiné à se conformer:</w:t>
      </w:r>
    </w:p>
    <w:p w14:paraId="2D81A989" w14:textId="77777777" w:rsidR="007415C7" w:rsidRPr="003B28B3" w:rsidRDefault="007415C7" w:rsidP="007415C7">
      <w:pPr>
        <w:pStyle w:val="ListParagraph"/>
        <w:widowControl/>
        <w:adjustRightInd/>
        <w:spacing w:after="0" w:line="240" w:lineRule="auto"/>
        <w:ind w:left="0"/>
        <w:rPr>
          <w:b/>
          <w:sz w:val="24"/>
          <w:szCs w:val="24"/>
        </w:rPr>
      </w:pPr>
      <w:r>
        <w:rPr>
          <w:i/>
          <w:sz w:val="24"/>
        </w:rPr>
        <w:t>a)</w:t>
      </w:r>
      <w:r>
        <w:rPr>
          <w:sz w:val="24"/>
        </w:rPr>
        <w:t xml:space="preserve"> à la directive (UE) 2015/720 du Parlement européen et du Conseil du 29 avril 2015 modifiant la directive 94/62/CE en ce qui concerne la réduction de la consommation de sacs en plastique légers et</w:t>
      </w:r>
    </w:p>
    <w:p w14:paraId="6251B30D" w14:textId="77777777" w:rsidR="007415C7" w:rsidRPr="003B28B3" w:rsidRDefault="007415C7" w:rsidP="007415C7">
      <w:pPr>
        <w:pStyle w:val="ListParagraph"/>
        <w:widowControl/>
        <w:adjustRightInd/>
        <w:spacing w:after="0" w:line="240" w:lineRule="auto"/>
        <w:ind w:left="0"/>
        <w:rPr>
          <w:b/>
          <w:sz w:val="24"/>
          <w:szCs w:val="24"/>
        </w:rPr>
      </w:pPr>
      <w:r>
        <w:rPr>
          <w:i/>
          <w:sz w:val="24"/>
        </w:rPr>
        <w:t>b)</w:t>
      </w:r>
      <w:r>
        <w:rPr>
          <w:sz w:val="24"/>
        </w:rPr>
        <w:t xml:space="preserve"> à la directive (UE) 2019/904 du Parlement européen et du Conseil du 5 juin 2019 relative à la réduction de l’incidence de certains produits en p</w:t>
      </w:r>
      <w:r w:rsidR="00660035">
        <w:rPr>
          <w:sz w:val="24"/>
        </w:rPr>
        <w:t>lastique sur l’environnement.</w:t>
      </w:r>
    </w:p>
    <w:p w14:paraId="734EE218" w14:textId="77777777" w:rsidR="007415C7" w:rsidRPr="003B28B3" w:rsidRDefault="007415C7" w:rsidP="007415C7">
      <w:pPr>
        <w:spacing w:after="0" w:line="240" w:lineRule="auto"/>
        <w:rPr>
          <w:sz w:val="24"/>
          <w:szCs w:val="24"/>
        </w:rPr>
      </w:pPr>
    </w:p>
    <w:p w14:paraId="3444B3E5" w14:textId="77777777" w:rsidR="007415C7" w:rsidRPr="003B28B3" w:rsidRDefault="007415C7" w:rsidP="007415C7">
      <w:pPr>
        <w:spacing w:after="0" w:line="240" w:lineRule="auto"/>
        <w:rPr>
          <w:sz w:val="24"/>
          <w:szCs w:val="24"/>
        </w:rPr>
      </w:pPr>
      <w:r>
        <w:rPr>
          <w:sz w:val="24"/>
        </w:rPr>
        <w:t>2. Le présent projet de décret a été notifié au préalable conformément à l’article 5, paragraphe 1, de la directive (UE) 2015/1535 du Parlement européen et du Conseil du 9 septembre 2015 prévoyant une procédure d’information dans le domaine des réglementations techniques et des règles relatives aux services de la société de l’information.</w:t>
      </w:r>
    </w:p>
    <w:p w14:paraId="4AB637BA" w14:textId="77777777" w:rsidR="007415C7" w:rsidRPr="003B28B3" w:rsidRDefault="007415C7" w:rsidP="007415C7">
      <w:pPr>
        <w:spacing w:after="0" w:line="240" w:lineRule="auto"/>
        <w:rPr>
          <w:sz w:val="24"/>
          <w:szCs w:val="24"/>
        </w:rPr>
      </w:pPr>
    </w:p>
    <w:p w14:paraId="4B84A4C0" w14:textId="77777777" w:rsidR="007415C7" w:rsidRPr="003B28B3" w:rsidRDefault="007415C7" w:rsidP="007415C7">
      <w:pPr>
        <w:widowControl/>
        <w:adjustRightInd/>
        <w:spacing w:after="0" w:line="240" w:lineRule="auto"/>
        <w:jc w:val="left"/>
        <w:rPr>
          <w:sz w:val="24"/>
          <w:szCs w:val="24"/>
        </w:rPr>
      </w:pPr>
      <w:r>
        <w:br w:type="page"/>
      </w:r>
    </w:p>
    <w:p w14:paraId="3AB12CD9" w14:textId="77777777" w:rsidR="007415C7" w:rsidRPr="003B28B3" w:rsidRDefault="007415C7" w:rsidP="007415C7">
      <w:pPr>
        <w:spacing w:after="0" w:line="240" w:lineRule="auto"/>
        <w:rPr>
          <w:sz w:val="24"/>
          <w:szCs w:val="24"/>
        </w:rPr>
      </w:pPr>
    </w:p>
    <w:p w14:paraId="3A12452B" w14:textId="77777777" w:rsidR="007415C7" w:rsidRPr="003B28B3" w:rsidRDefault="007415C7" w:rsidP="007415C7">
      <w:pPr>
        <w:widowControl/>
        <w:adjustRightInd/>
        <w:spacing w:after="0" w:line="240" w:lineRule="auto"/>
        <w:ind w:left="360"/>
        <w:jc w:val="right"/>
        <w:textAlignment w:val="auto"/>
        <w:rPr>
          <w:i/>
          <w:sz w:val="24"/>
        </w:rPr>
      </w:pPr>
      <w:r>
        <w:rPr>
          <w:i/>
          <w:sz w:val="24"/>
        </w:rPr>
        <w:t>Annexe 1 au décret gouvernemental nº .../2020 (...)</w:t>
      </w:r>
    </w:p>
    <w:p w14:paraId="69F44F45" w14:textId="77777777" w:rsidR="007415C7" w:rsidRPr="003B28B3" w:rsidRDefault="007415C7" w:rsidP="007415C7">
      <w:pPr>
        <w:spacing w:after="0" w:line="240" w:lineRule="auto"/>
        <w:jc w:val="center"/>
        <w:rPr>
          <w:b/>
          <w:sz w:val="24"/>
          <w:szCs w:val="24"/>
        </w:rPr>
      </w:pPr>
    </w:p>
    <w:p w14:paraId="5C92034D" w14:textId="77777777" w:rsidR="007415C7" w:rsidRPr="003B28B3" w:rsidRDefault="007415C7" w:rsidP="007415C7">
      <w:pPr>
        <w:spacing w:after="0" w:line="240" w:lineRule="auto"/>
        <w:jc w:val="center"/>
        <w:rPr>
          <w:b/>
          <w:sz w:val="24"/>
          <w:szCs w:val="24"/>
        </w:rPr>
      </w:pPr>
      <w:r>
        <w:rPr>
          <w:b/>
          <w:sz w:val="24"/>
        </w:rPr>
        <w:t>Produits en plastique à usage unique</w:t>
      </w:r>
    </w:p>
    <w:p w14:paraId="689576C3" w14:textId="77777777" w:rsidR="007415C7" w:rsidRPr="003B28B3" w:rsidRDefault="007415C7" w:rsidP="007415C7">
      <w:pPr>
        <w:spacing w:after="0" w:line="240" w:lineRule="auto"/>
        <w:jc w:val="center"/>
        <w:rPr>
          <w:b/>
          <w:sz w:val="24"/>
          <w:szCs w:val="24"/>
        </w:rPr>
      </w:pPr>
      <w:r>
        <w:rPr>
          <w:b/>
          <w:sz w:val="24"/>
        </w:rPr>
        <w:t>relevant de l’article 3 relatif aux restrictions à la mise sur le marché</w:t>
      </w:r>
    </w:p>
    <w:p w14:paraId="48FA1638" w14:textId="77777777" w:rsidR="007415C7" w:rsidRPr="003B28B3" w:rsidRDefault="007415C7" w:rsidP="007415C7">
      <w:pPr>
        <w:spacing w:after="0" w:line="240" w:lineRule="auto"/>
        <w:jc w:val="center"/>
        <w:rPr>
          <w:b/>
          <w:sz w:val="24"/>
          <w:szCs w:val="24"/>
        </w:rPr>
      </w:pPr>
    </w:p>
    <w:p w14:paraId="3D333417"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Bâtonnets de coton-tige; </w:t>
      </w:r>
    </w:p>
    <w:p w14:paraId="706236B6"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couverts (fourchettes, couteaux, cuillères, baguettes); </w:t>
      </w:r>
    </w:p>
    <w:p w14:paraId="02D9D497"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assiettes; </w:t>
      </w:r>
    </w:p>
    <w:p w14:paraId="79BD4AB1"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pailles; </w:t>
      </w:r>
    </w:p>
    <w:p w14:paraId="6DE75E17"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bâtonnets mélangeurs pour boissons; </w:t>
      </w:r>
    </w:p>
    <w:p w14:paraId="60117796"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tiges destinées à être fixées, en tant que support, à des ballons de baudruche, à l’exception des ballons de baudruche utilisés pour des usages et applications industriels ou professionnels et qui ne sont pas distribués aux consommateurs, et les mécanismes de ces tiges; </w:t>
      </w:r>
    </w:p>
    <w:p w14:paraId="1925B09A"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 xml:space="preserve">récipients pour aliments en polystyrène expansé, c’est-à-dire les récipients tels que les boîtes, avec ou sans moyen de fermeture, utilisés pour contenir des aliments qui: </w:t>
      </w:r>
    </w:p>
    <w:p w14:paraId="55F4C821" w14:textId="77777777" w:rsidR="007415C7" w:rsidRPr="003B28B3" w:rsidRDefault="007415C7" w:rsidP="007415C7">
      <w:pPr>
        <w:pStyle w:val="ListParagraph"/>
        <w:widowControl/>
        <w:adjustRightInd/>
        <w:spacing w:after="0" w:line="240" w:lineRule="auto"/>
        <w:ind w:left="1418"/>
        <w:rPr>
          <w:sz w:val="24"/>
          <w:szCs w:val="24"/>
        </w:rPr>
      </w:pPr>
      <w:r>
        <w:rPr>
          <w:sz w:val="24"/>
        </w:rPr>
        <w:t xml:space="preserve">7.1. sont destinés à être consommés immédiatement, soit sur place, soit à emporter, </w:t>
      </w:r>
    </w:p>
    <w:p w14:paraId="2AAE7F11" w14:textId="77777777" w:rsidR="007415C7" w:rsidRPr="003B28B3" w:rsidRDefault="007415C7" w:rsidP="007415C7">
      <w:pPr>
        <w:widowControl/>
        <w:adjustRightInd/>
        <w:spacing w:after="0" w:line="240" w:lineRule="auto"/>
        <w:ind w:left="1418" w:hanging="11"/>
        <w:rPr>
          <w:sz w:val="24"/>
          <w:szCs w:val="24"/>
        </w:rPr>
      </w:pPr>
      <w:r>
        <w:rPr>
          <w:sz w:val="24"/>
        </w:rPr>
        <w:t xml:space="preserve">7.2. sont généralement consommés dans le récipient, et </w:t>
      </w:r>
    </w:p>
    <w:p w14:paraId="034D8A4B" w14:textId="77777777" w:rsidR="007415C7" w:rsidRPr="003B28B3" w:rsidRDefault="007415C7" w:rsidP="007415C7">
      <w:pPr>
        <w:widowControl/>
        <w:adjustRightInd/>
        <w:spacing w:after="0" w:line="240" w:lineRule="auto"/>
        <w:ind w:left="1418" w:hanging="11"/>
        <w:rPr>
          <w:sz w:val="24"/>
          <w:szCs w:val="24"/>
        </w:rPr>
      </w:pPr>
      <w:r>
        <w:rPr>
          <w:sz w:val="24"/>
        </w:rPr>
        <w:t xml:space="preserve">7.3. sont prêts à être consommés sans autre préparation, telle que le fait de les cuire, de les bouillir ou de les réchauffer, </w:t>
      </w:r>
    </w:p>
    <w:p w14:paraId="50BF0DED" w14:textId="77777777" w:rsidR="007415C7" w:rsidRPr="003B28B3" w:rsidRDefault="007415C7" w:rsidP="007415C7">
      <w:pPr>
        <w:spacing w:after="0" w:line="240" w:lineRule="auto"/>
        <w:ind w:left="709" w:hanging="11"/>
        <w:rPr>
          <w:sz w:val="24"/>
          <w:szCs w:val="24"/>
        </w:rPr>
      </w:pPr>
      <w:r>
        <w:rPr>
          <w:sz w:val="24"/>
        </w:rPr>
        <w:t>y compris les récipients pour aliments utilisés pour l’alimentation rapide ou pour d’autres repas prêts à être consommés immédiatement, à l’exception des récipients pour boissons, des assiettes, et des sachets et emballages contenant des aliments;</w:t>
      </w:r>
    </w:p>
    <w:p w14:paraId="4C861D28"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récipients pour boissons en polystyrène expansé, y compris leurs bouchons et couvercles;</w:t>
      </w:r>
    </w:p>
    <w:p w14:paraId="50197321" w14:textId="77777777" w:rsidR="007415C7" w:rsidRPr="003B28B3" w:rsidRDefault="007415C7" w:rsidP="007415C7">
      <w:pPr>
        <w:pStyle w:val="ListParagraph"/>
        <w:widowControl/>
        <w:numPr>
          <w:ilvl w:val="0"/>
          <w:numId w:val="2"/>
        </w:numPr>
        <w:adjustRightInd/>
        <w:spacing w:after="0" w:line="240" w:lineRule="auto"/>
        <w:textAlignment w:val="auto"/>
        <w:rPr>
          <w:sz w:val="24"/>
          <w:szCs w:val="24"/>
        </w:rPr>
      </w:pPr>
      <w:r>
        <w:rPr>
          <w:sz w:val="24"/>
        </w:rPr>
        <w:t>gobelets pour boissons en polystyrène expansé, y compris leurs moyens de fermeture et couvercles.</w:t>
      </w:r>
    </w:p>
    <w:p w14:paraId="7B628C88" w14:textId="77777777" w:rsidR="007415C7" w:rsidRPr="003B28B3" w:rsidRDefault="007415C7" w:rsidP="007415C7">
      <w:pPr>
        <w:widowControl/>
        <w:adjustRightInd/>
        <w:spacing w:after="0" w:line="240" w:lineRule="auto"/>
        <w:jc w:val="left"/>
        <w:rPr>
          <w:sz w:val="24"/>
          <w:szCs w:val="24"/>
        </w:rPr>
      </w:pPr>
      <w:r>
        <w:br w:type="page"/>
      </w:r>
    </w:p>
    <w:p w14:paraId="0EB62B8E" w14:textId="77777777" w:rsidR="007415C7" w:rsidRPr="003B28B3" w:rsidRDefault="007415C7" w:rsidP="007415C7">
      <w:pPr>
        <w:widowControl/>
        <w:adjustRightInd/>
        <w:spacing w:after="0" w:line="240" w:lineRule="auto"/>
        <w:ind w:left="360"/>
        <w:jc w:val="right"/>
        <w:textAlignment w:val="auto"/>
        <w:rPr>
          <w:i/>
          <w:sz w:val="24"/>
        </w:rPr>
      </w:pPr>
      <w:r>
        <w:rPr>
          <w:i/>
          <w:sz w:val="24"/>
        </w:rPr>
        <w:lastRenderedPageBreak/>
        <w:t>Annexe 2 au décret gouvernemental nº .../2020 (...)</w:t>
      </w:r>
    </w:p>
    <w:p w14:paraId="7DB19AA8" w14:textId="77777777" w:rsidR="007415C7" w:rsidRPr="003B28B3" w:rsidRDefault="007415C7" w:rsidP="007415C7">
      <w:pPr>
        <w:spacing w:after="0" w:line="240" w:lineRule="auto"/>
        <w:jc w:val="center"/>
        <w:rPr>
          <w:b/>
          <w:sz w:val="24"/>
          <w:szCs w:val="24"/>
        </w:rPr>
      </w:pPr>
    </w:p>
    <w:p w14:paraId="21872874" w14:textId="77777777" w:rsidR="007415C7" w:rsidRPr="003B28B3" w:rsidRDefault="007415C7" w:rsidP="007415C7">
      <w:pPr>
        <w:spacing w:after="0" w:line="240" w:lineRule="auto"/>
        <w:jc w:val="center"/>
        <w:rPr>
          <w:b/>
          <w:sz w:val="24"/>
          <w:szCs w:val="24"/>
        </w:rPr>
      </w:pPr>
      <w:r>
        <w:rPr>
          <w:b/>
          <w:sz w:val="24"/>
        </w:rPr>
        <w:t>Produits en plastique à usage unique</w:t>
      </w:r>
    </w:p>
    <w:p w14:paraId="5927A2B6" w14:textId="77777777" w:rsidR="007415C7" w:rsidRPr="003B28B3" w:rsidRDefault="007415C7" w:rsidP="007415C7">
      <w:pPr>
        <w:spacing w:after="0" w:line="240" w:lineRule="auto"/>
        <w:jc w:val="center"/>
        <w:rPr>
          <w:b/>
          <w:sz w:val="24"/>
          <w:szCs w:val="24"/>
        </w:rPr>
      </w:pPr>
      <w:r>
        <w:rPr>
          <w:b/>
          <w:sz w:val="24"/>
        </w:rPr>
        <w:t xml:space="preserve"> relevant de l’article 4 relatif aux restrictions à la mise sur le marché</w:t>
      </w:r>
    </w:p>
    <w:p w14:paraId="6099FF46" w14:textId="77777777" w:rsidR="007415C7" w:rsidRPr="003B28B3" w:rsidRDefault="007415C7" w:rsidP="007415C7">
      <w:pPr>
        <w:spacing w:after="0" w:line="240" w:lineRule="auto"/>
        <w:jc w:val="center"/>
        <w:rPr>
          <w:sz w:val="24"/>
          <w:szCs w:val="24"/>
        </w:rPr>
      </w:pPr>
    </w:p>
    <w:p w14:paraId="0EE3147F" w14:textId="77777777" w:rsidR="007415C7" w:rsidRPr="003B28B3" w:rsidRDefault="007415C7" w:rsidP="007415C7">
      <w:pPr>
        <w:pStyle w:val="ListParagraph"/>
        <w:numPr>
          <w:ilvl w:val="0"/>
          <w:numId w:val="3"/>
        </w:numPr>
        <w:spacing w:after="0" w:line="240" w:lineRule="auto"/>
        <w:textAlignment w:val="auto"/>
        <w:rPr>
          <w:sz w:val="24"/>
          <w:szCs w:val="24"/>
        </w:rPr>
      </w:pPr>
      <w:r>
        <w:rPr>
          <w:sz w:val="24"/>
        </w:rPr>
        <w:t>Gobelets à boissons non visés à l’annexe 1, y compris leurs moyens de fermeture et couvercles;</w:t>
      </w:r>
    </w:p>
    <w:p w14:paraId="38960D7A" w14:textId="77777777" w:rsidR="007415C7" w:rsidRPr="003B28B3" w:rsidRDefault="007415C7" w:rsidP="007415C7">
      <w:pPr>
        <w:pStyle w:val="ListParagraph"/>
        <w:numPr>
          <w:ilvl w:val="0"/>
          <w:numId w:val="3"/>
        </w:numPr>
        <w:spacing w:after="0" w:line="240" w:lineRule="auto"/>
        <w:textAlignment w:val="auto"/>
        <w:rPr>
          <w:sz w:val="24"/>
          <w:szCs w:val="24"/>
        </w:rPr>
      </w:pPr>
      <w:r>
        <w:rPr>
          <w:sz w:val="24"/>
        </w:rPr>
        <w:t xml:space="preserve">sacs en plastique légers d’une épaisseur de paroi de 15 microns ou plus, autres que ceux en plastique biodégradable. </w:t>
      </w:r>
    </w:p>
    <w:p w14:paraId="6F8FC3C7" w14:textId="77777777" w:rsidR="001D404D" w:rsidRDefault="001D404D"/>
    <w:sectPr w:rsidR="001D4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B6813"/>
    <w:multiLevelType w:val="hybridMultilevel"/>
    <w:tmpl w:val="76947C22"/>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BD5401D"/>
    <w:multiLevelType w:val="hybridMultilevel"/>
    <w:tmpl w:val="3BDE02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A776D7F"/>
    <w:multiLevelType w:val="hybridMultilevel"/>
    <w:tmpl w:val="B8A41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5C7"/>
    <w:rsid w:val="001D404D"/>
    <w:rsid w:val="004F18DF"/>
    <w:rsid w:val="00660035"/>
    <w:rsid w:val="007415C7"/>
    <w:rsid w:val="00BE349F"/>
    <w:rsid w:val="00D432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D755"/>
  <w15:docId w15:val="{FD3BBEBF-C612-42FB-BFE8-2995ABAA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C7"/>
    <w:pPr>
      <w:widowControl w:val="0"/>
      <w:adjustRightInd w:val="0"/>
      <w:jc w:val="both"/>
      <w:textAlignment w:val="baseline"/>
    </w:pPr>
    <w:rPr>
      <w:rFonts w:ascii="Times New Roman" w:eastAsia="Times New Roman" w:hAnsi="Times New Roman" w:cs="Times New Roman"/>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ágrafo da Lista1,List Paragraph2,List Paragraph21,リスト段落1,List Paragraph1,LISTA"/>
    <w:basedOn w:val="Normal"/>
    <w:uiPriority w:val="34"/>
    <w:qFormat/>
    <w:rsid w:val="00741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1124</Words>
  <Characters>6407</Characters>
  <Application>Microsoft Office Word</Application>
  <DocSecurity>0</DocSecurity>
  <Lines>53</Lines>
  <Paragraphs>15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Fejes Edina dr.</dc:creator>
  <cp:lastModifiedBy>Diana STOICA</cp:lastModifiedBy>
  <cp:revision>5</cp:revision>
  <dcterms:created xsi:type="dcterms:W3CDTF">2020-06-24T06:44:00Z</dcterms:created>
  <dcterms:modified xsi:type="dcterms:W3CDTF">2020-07-09T16:15:00Z</dcterms:modified>
</cp:coreProperties>
</file>