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84" w:rsidRPr="007F62F1" w:rsidRDefault="00D43284" w:rsidP="00D43284">
      <w:pPr>
        <w:ind w:right="8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0423 HU- PL- ------ 20200709 --- --- PROJET</w:t>
      </w:r>
    </w:p>
    <w:p w:rsidR="007415C7" w:rsidRPr="003B28B3" w:rsidRDefault="007415C7" w:rsidP="007415C7">
      <w:pPr>
        <w:pStyle w:val="ListParagraph"/>
        <w:spacing w:after="0" w:line="240" w:lineRule="auto"/>
        <w:ind w:left="6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Dekret rządowy nr …/2020 (…)</w:t>
      </w:r>
    </w:p>
    <w:p w:rsidR="007415C7" w:rsidRPr="003B28B3" w:rsidRDefault="007415C7" w:rsidP="007415C7">
      <w:pPr>
        <w:pStyle w:val="ListParagraph"/>
        <w:spacing w:after="0" w:line="240" w:lineRule="auto"/>
        <w:ind w:left="644"/>
        <w:jc w:val="center"/>
        <w:rPr>
          <w:b/>
          <w:sz w:val="24"/>
          <w:szCs w:val="24"/>
        </w:rPr>
      </w:pPr>
    </w:p>
    <w:p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ograniczenia wprowadzania do obrotu niektórych jednorazowych produktów z tworzyw sztucznych i niektórych innych produktów z tworzyw sztucznych</w:t>
      </w:r>
    </w:p>
    <w:p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podstawie uprawnień udzielonych w art. 110 ust. 7 pkt 42 ustawy LIII z 1995 r. o ogólnych zasadach ochrony środowiska oraz działając zgodnie z zakresem kompetencji określonym w art. 15 ust. 1 ustawy zasadniczej Węgier, rząd niniejszym zarządza, co następuje: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Zakres dekretu</w:t>
      </w:r>
    </w:p>
    <w:p w:rsidR="007415C7" w:rsidRPr="003B28B3" w:rsidRDefault="007415C7" w:rsidP="007415C7">
      <w:pPr>
        <w:spacing w:after="0" w:line="240" w:lineRule="auto"/>
        <w:ind w:left="360"/>
        <w:rPr>
          <w:sz w:val="24"/>
          <w:szCs w:val="24"/>
        </w:rPr>
      </w:pP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  <w:b/>
        </w:rPr>
        <w:t xml:space="preserve">§ 1 </w:t>
      </w:r>
      <w:r>
        <w:rPr>
          <w:sz w:val="24"/>
          <w:szCs w:val="24"/>
        </w:rPr>
        <w:t xml:space="preserve">(1) Niniejszy dekret stosuje się do:</w:t>
      </w:r>
    </w:p>
    <w:p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a) jednorazowych produktów z tworzyw sztucznych określonych w załącznikach 1 i 2; oraz</w:t>
      </w:r>
    </w:p>
    <w:p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b) oksydegradowalnych produktów z tworzyw sztucznych.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(2) Niniejszy dekret nie ma zastosowania do:</w:t>
      </w:r>
    </w:p>
    <w:p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pojemników na napoje przewidzianych i stosowanych do żywności specjalnego przeznaczenia medycznego określonej w art. 2 ust. 2 lit. g) rozporządzenia Parlamentu Europejskiego i Rady (UE) nr 609/2013 i mającej postać płynną;</w:t>
      </w:r>
    </w:p>
    <w:p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słomek i patyczków podlegających zakresowi stosowania dyrektywy Rady 90/385/EWG lub dyrektywy Rady 93/42/EWG.</w:t>
      </w:r>
    </w:p>
    <w:p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Definicje</w:t>
      </w: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jc w:val="left"/>
        <w:rPr>
          <w:b/>
          <w:sz w:val="24"/>
          <w:szCs w:val="24"/>
        </w:rPr>
      </w:pP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jc w:val="left"/>
        <w:rPr>
          <w:b/>
          <w:sz w:val="24"/>
          <w:szCs w:val="24"/>
        </w:rPr>
      </w:pPr>
      <w:r>
        <w:rPr>
          <w:sz w:val="24"/>
          <w:szCs w:val="24"/>
          <w:b/>
        </w:rPr>
        <w:t xml:space="preserve">§ 2 </w:t>
      </w:r>
      <w:r>
        <w:rPr>
          <w:sz w:val="24"/>
          <w:szCs w:val="24"/>
        </w:rPr>
        <w:t xml:space="preserve">Do celów niniejszego dekretu:</w:t>
      </w: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i/>
          <w:iCs/>
        </w:rPr>
        <w:t xml:space="preserve">tworzywo sztuczne ulegające biodegradacji</w:t>
      </w:r>
      <w:r>
        <w:rPr>
          <w:sz w:val="24"/>
          <w:szCs w:val="24"/>
        </w:rPr>
        <w:t xml:space="preserve"> oznacza tworzywo sztuczne zdolne do fizycznego, biologicznego rozkładu prowadzącego ostatecznie do jego rozkładu na dwutlenek węgla (CO</w:t>
      </w:r>
      <w:r>
        <w:rPr>
          <w:sz w:val="24"/>
          <w:szCs w:val="24"/>
          <w:vertAlign w:val="subscript"/>
        </w:rPr>
        <w:t xml:space="preserve">2</w:t>
      </w:r>
      <w:r>
        <w:rPr>
          <w:sz w:val="24"/>
          <w:szCs w:val="24"/>
        </w:rPr>
        <w:t xml:space="preserve">), biomasę i wodę i które, zgodne z europejskimi normami dotyczącymi opakowań, nadaje się do odzysku poprzez kompostowanie i fermentację beztlenową;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i/>
          <w:iCs/>
        </w:rPr>
        <w:t xml:space="preserve">jednorazowy produkt z tworzyw sztucznych</w:t>
      </w:r>
      <w:r>
        <w:rPr>
          <w:sz w:val="24"/>
          <w:szCs w:val="24"/>
        </w:rPr>
        <w:t xml:space="preserve"> oznacza produkt, który jest w całości lub częściowo wykonany z tworzyw sztucznych i który nie został przeznaczony, zaprojektowany ani wprowadzony do obrotu tak, aby osiągnąć w ramach okresu żywotności wielokrotną rotację poprzez zwrócenie go do producenta w celu powtórnego napełnienia lub ponownego użycia do tego samego celu, do którego był pierwotnie przeznaczony;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i/>
        </w:rPr>
        <w:t xml:space="preserve">udostępnianie na rynku</w:t>
      </w:r>
      <w:r>
        <w:rPr>
          <w:sz w:val="24"/>
          <w:szCs w:val="24"/>
        </w:rPr>
        <w:t xml:space="preserve"> oznacza dostarczanie produktu na rynek na terytorium Węgier do celów dystrybucji, stosowania lub użytkowania w ramach działalności handlowej, odpłatnie lub nieodpłatnie;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i/>
        </w:rPr>
        <w:t xml:space="preserve">wprowadzenie do obrotu</w:t>
      </w:r>
      <w:r>
        <w:rPr>
          <w:sz w:val="24"/>
          <w:szCs w:val="24"/>
        </w:rPr>
        <w:t xml:space="preserve"> oznacza pierwsze udostępnienie produktu na rynku;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i/>
          <w:iCs/>
        </w:rPr>
        <w:t xml:space="preserve">kubki na napoje</w:t>
      </w:r>
      <w:r>
        <w:rPr>
          <w:sz w:val="24"/>
          <w:szCs w:val="24"/>
        </w:rPr>
        <w:t xml:space="preserve"> oznaczają kubki jednorazowe wykonane z tworzywa sztucznego, które są przeznaczone do napełniania w miejscu konsumpcji, w tym kubki z tworzywa sztucznego przeznaczone do zaspokajania potrzeb osobistych;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i/>
        </w:rPr>
        <w:t xml:space="preserve">lekkie plastikowe torby na zakupy</w:t>
      </w:r>
      <w:r>
        <w:rPr>
          <w:sz w:val="24"/>
          <w:szCs w:val="24"/>
        </w:rPr>
        <w:t xml:space="preserve"> oznaczają plastikowe torby na zakupy o grubości materiału poniżej 50 mikrometrów;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</w:rPr>
        <w:t xml:space="preserve">tworzywo sztuczne</w:t>
      </w:r>
      <w:r>
        <w:rPr>
          <w:sz w:val="24"/>
          <w:szCs w:val="24"/>
        </w:rPr>
        <w:t xml:space="preserve"> oznacza materiał składający się z polimeru w rozumieniu art. 3 ust. 5 rozporządzenia (WE) nr 1907/2006 Parlamentu Europejskiego i Rady z dnia 18 grudnia 2006 r. w sprawie rejestracji, oceny, udzielania zezwoleń i stosowanych ograniczeń w zakresie chemikaliów (REACH), utworzenia Europejskiej Agencji Chemikaliów, zmieniającego dyrektywę 1999/45/WE oraz uchylającego rozporządzenie Rady (EWG) nr 793/93 i rozporządzenie Komisji (WE) nr 1488/94, jak również dyrektywę Rady 76/769/EWG i dyrektywy Komisji 91/155/EWG, 93/67/EWG, 93/105/WE i 2000/21/WE, do którego mogły zostać dodane dodatki lub inne substancje i który może funkcjonować jako główny składnik strukturalny produktów końcowych, w tym tworzywo sztuczne ulegające biodegradacji;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  <w:i/>
          <w:iCs/>
        </w:rPr>
        <w:t xml:space="preserve">torby na zakupy</w:t>
      </w:r>
      <w:r>
        <w:rPr>
          <w:sz w:val="24"/>
          <w:szCs w:val="24"/>
        </w:rPr>
        <w:t xml:space="preserve"> oznaczają torby na zakupy z uchwytem lub bez uchwytu, wykonane z tworzywa sztucznego, które są dostarczane konsumentom w punkcie sprzedaży towarów lub produktów;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  <w:i/>
          <w:iCs/>
        </w:rPr>
        <w:t xml:space="preserve">bardzo lekkie plastikowe torby na zakupy</w:t>
      </w:r>
      <w:r>
        <w:rPr>
          <w:sz w:val="24"/>
          <w:szCs w:val="24"/>
        </w:rPr>
        <w:t xml:space="preserve"> oznaczają torby na zakupy o grubości materiału poniżej 15 mikrometrów, używane ze względów higienicznych lub jako opakowanie bezpośrednie żywności sprzedawanej luzem, jeśli pomaga to zapobiegać stratom;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  <w:i/>
          <w:iCs/>
        </w:rPr>
        <w:t xml:space="preserve">oksydegradowalne tworzywo sztuczne</w:t>
      </w:r>
      <w:r>
        <w:rPr>
          <w:sz w:val="24"/>
          <w:szCs w:val="24"/>
        </w:rPr>
        <w:t xml:space="preserve"> oznacza materiały z tworzyw sztucznych zawierające dodatki, które pod wpływem utleniania prowadzą do rozpadu tych materiałów na mikrofragmenty lub do ich rozkładu chemicznego;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  <w:i/>
          <w:iCs/>
        </w:rPr>
        <w:t xml:space="preserve">ponowne użycie</w:t>
      </w:r>
      <w:r>
        <w:rPr>
          <w:sz w:val="24"/>
          <w:szCs w:val="24"/>
        </w:rPr>
        <w:t xml:space="preserve"> oznacza ponowne użycie w rozumieniu ustawy o odpadach.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Wymagania dotyczące ograniczenia wprowadzania do obrotu niektórych jednorazowych produktów z tworzyw sztucznych i niektórych innych produktów z tworzyw sztucznych</w:t>
      </w:r>
    </w:p>
    <w:p w:rsidR="007415C7" w:rsidRPr="003B28B3" w:rsidRDefault="007415C7" w:rsidP="007415C7">
      <w:pPr>
        <w:spacing w:after="0" w:line="240" w:lineRule="auto"/>
        <w:rPr>
          <w:b/>
          <w:sz w:val="24"/>
          <w:szCs w:val="24"/>
        </w:rPr>
      </w:pP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  <w:b/>
        </w:rPr>
        <w:t xml:space="preserve">§ 3 </w:t>
      </w:r>
      <w:r>
        <w:rPr>
          <w:sz w:val="24"/>
          <w:szCs w:val="24"/>
        </w:rPr>
        <w:t xml:space="preserve">Zakazuje się wprowadzania do obrotu jednorazowych produktów z tworzyw sztucznych wymienionych w załączniku 1 oraz produktów wykonanych z oksydegradowalnych tworzyw sztucznych.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  <w:b/>
        </w:rPr>
        <w:t xml:space="preserve">§ 4 </w:t>
      </w:r>
      <w:r>
        <w:rPr>
          <w:sz w:val="24"/>
          <w:szCs w:val="24"/>
        </w:rPr>
        <w:t xml:space="preserve">Zakazuje się wprowadzania do obrotu jednorazowych produktów z tworzyw sztucznych wymienionych w załączniku 2.</w:t>
      </w: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Sankcje</w:t>
      </w: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  <w:b/>
        </w:rPr>
        <w:t xml:space="preserve">§ 5</w:t>
      </w:r>
      <w:r>
        <w:rPr>
          <w:sz w:val="24"/>
          <w:szCs w:val="24"/>
        </w:rPr>
        <w:t xml:space="preserve"> W odniesieniu do sankcji za nieprzestrzeganie zakazu wprowadzania do obrotu określonego w § 3 i 4 niniejszy dekret stanowi akt prawny dotyczący zapobiegania powstawaniu odpadów.</w:t>
      </w:r>
    </w:p>
    <w:p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Przepisy końcowe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  <w:b/>
        </w:rPr>
        <w:t xml:space="preserve">§ 6 </w:t>
      </w:r>
      <w:r>
        <w:rPr>
          <w:sz w:val="24"/>
          <w:szCs w:val="24"/>
        </w:rPr>
        <w:t xml:space="preserve">Niniejszy dekret wchodzi w życie z dniem 1 lipca 2021 r.</w:t>
      </w:r>
    </w:p>
    <w:p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widowControl/>
        <w:adjustRightInd/>
        <w:spacing w:after="0" w:line="240" w:lineRule="auto"/>
        <w:jc w:val="left"/>
        <w:rPr>
          <w:b/>
          <w:sz w:val="24"/>
          <w:szCs w:val="24"/>
        </w:rPr>
      </w:pPr>
      <w:r>
        <w:rPr>
          <w:sz w:val="24"/>
          <w:szCs w:val="24"/>
          <w:b/>
        </w:rPr>
        <w:t xml:space="preserve">§ 7 </w:t>
      </w:r>
      <w:r>
        <w:rPr>
          <w:sz w:val="24"/>
          <w:szCs w:val="24"/>
        </w:rPr>
        <w:t xml:space="preserve">(1) Niniejszy dekret służy celowi zapewnienia zgodności z:</w:t>
      </w:r>
    </w:p>
    <w:p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  <w:i/>
        </w:rPr>
        <w:t xml:space="preserve">a)</w:t>
      </w:r>
      <w:r>
        <w:rPr>
          <w:sz w:val="24"/>
          <w:szCs w:val="24"/>
        </w:rPr>
        <w:t xml:space="preserve"> dyrektywą Parlamentu Europejskiego i Rady (UE) 2015/720 z dnia 29 kwietnia 2015 r. zmieniającą dyrektywę 94/62/WE w odniesieniu do zmniejszenia zużycia lekkich plastikowych toreb na zakupy; oraz</w:t>
      </w:r>
    </w:p>
    <w:p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  <w:i/>
        </w:rPr>
        <w:t xml:space="preserve">b)</w:t>
      </w:r>
      <w:r>
        <w:rPr>
          <w:sz w:val="24"/>
          <w:szCs w:val="24"/>
        </w:rPr>
        <w:t xml:space="preserve"> dyrektywą Parlamentu Europejskiego i Rady (UE) 2019/904 z dnia 5 czerwca 2019 r. w sprawie zmniejszenia wpływu niektórych produktów z tworzyw sztucznych na środowisko.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(2) Spełniono wymóg dotyczący wcześniejszego powiadomienia w odniesieniu do niniejszego projektu dekretu zgodnie z art. 5 ust. 1 dyrektywy (UE) 2015/1535 Parlamentu Europejskiego i Rady z dnia 9 września 2015 r. ustanawiającej procedurę udzielania informacji w dziedzinie przepisów technicznych oraz zasad dotyczących usług społeczeństwa informacyjnego.</w:t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br w:type="page"/>
      </w:r>
    </w:p>
    <w:p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:rsidR="007415C7" w:rsidRPr="003B28B3" w:rsidRDefault="007415C7" w:rsidP="007415C7">
      <w:pPr>
        <w:widowControl/>
        <w:adjustRightInd/>
        <w:spacing w:after="0" w:line="240" w:lineRule="auto"/>
        <w:ind w:left="360"/>
        <w:jc w:val="right"/>
        <w:textAlignment w:val="auto"/>
        <w:rPr>
          <w:i/>
          <w:sz w:val="24"/>
        </w:rPr>
      </w:pPr>
      <w:r>
        <w:rPr>
          <w:i/>
          <w:sz w:val="24"/>
        </w:rPr>
        <w:t xml:space="preserve">Załącznik </w:t>
      </w:r>
      <w:r>
        <w:rPr>
          <w:i/>
          <w:sz w:val="24"/>
          <w:szCs w:val="24"/>
        </w:rPr>
        <w:t xml:space="preserve">1</w:t>
      </w:r>
      <w:r>
        <w:rPr>
          <w:i/>
          <w:sz w:val="24"/>
        </w:rPr>
        <w:t xml:space="preserve"> do rozporządzenia rządu nr       /2020 (...)</w:t>
      </w:r>
    </w:p>
    <w:p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Jednorazowe produkty z tworzyw sztucznych podlegające zakresowi § 3 w odniesieniu do ograniczenia w zakresie wprowadzania do obrotu</w:t>
      </w:r>
    </w:p>
    <w:p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jednorazowych naczyń z tworzyw sztucznych</w:t>
      </w:r>
    </w:p>
    <w:p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patyczki higieniczne;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sztućce (widelce. noże, łyżki, pałeczki);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talerze;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słomki;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mieszadełka do napojów;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patyczki mocowane do balonów i służące do tego, by balony się na nich opierały, w tym mechanizmy tych patyczków, z wyjątkiem balonów do użytku przemysłowego lub innych profesjonalnych zastosowań, które to balony nie są rozprowadzane wśród konsumentów;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pojemniki na żywność wykonane z polistyrenu ekspandowanego, tj. pojemniki takie jak pudełka, z pokrywką lub bez, stosowane w celu umieszczania w nich żywności, która: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7.1. jest przeznaczona do bezpośredniego spożycia, na miejscu lub na wynos;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widowControl/>
        <w:adjustRightInd/>
        <w:spacing w:after="0" w:line="240" w:lineRule="auto"/>
        <w:ind w:left="1418" w:hanging="11"/>
        <w:rPr>
          <w:sz w:val="24"/>
          <w:szCs w:val="24"/>
        </w:rPr>
      </w:pPr>
      <w:r>
        <w:rPr>
          <w:sz w:val="24"/>
          <w:szCs w:val="24"/>
        </w:rPr>
        <w:t xml:space="preserve">7.2. jest zazwyczaj spożywana bezpośrednio z pojemnika; oraz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widowControl/>
        <w:adjustRightInd/>
        <w:spacing w:after="0" w:line="240" w:lineRule="auto"/>
        <w:ind w:left="1418" w:hanging="11"/>
        <w:rPr>
          <w:sz w:val="24"/>
          <w:szCs w:val="24"/>
        </w:rPr>
      </w:pPr>
      <w:r>
        <w:rPr>
          <w:sz w:val="24"/>
          <w:szCs w:val="24"/>
        </w:rPr>
        <w:t xml:space="preserve">7.3 jest gotowa do spożycia bez dalszej obróbki, takiej jak przyrządzanie, gotowanie czy podgrzewanie;</w:t>
      </w:r>
      <w:r>
        <w:rPr>
          <w:sz w:val="24"/>
          <w:szCs w:val="24"/>
        </w:rPr>
        <w:t xml:space="preserve"> </w:t>
      </w:r>
    </w:p>
    <w:p w:rsidR="007415C7" w:rsidRPr="003B28B3" w:rsidRDefault="007415C7" w:rsidP="007415C7">
      <w:pPr>
        <w:spacing w:after="0" w:line="240" w:lineRule="auto"/>
        <w:ind w:left="709" w:hanging="11"/>
        <w:rPr>
          <w:sz w:val="24"/>
          <w:szCs w:val="24"/>
        </w:rPr>
      </w:pPr>
      <w:r>
        <w:rPr>
          <w:sz w:val="24"/>
          <w:szCs w:val="24"/>
        </w:rPr>
        <w:t xml:space="preserve">w tym pojemniki na żywność typu fast food lub na inne posiłki gotowe do bezpośredniego spożycia, z wyjątkiem pojemników na napoje, talerzy oraz paczek i owijek zawierających żywność;</w:t>
      </w:r>
    </w:p>
    <w:p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pojemniki na napoje wykonane z polistyrenu ekspandowanego, w tym ich zakrętki i wieczka;</w:t>
      </w:r>
    </w:p>
    <w:p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kubki na napoje wykonane z polistyrenu ekspandowanego, w tym ich zakrętki i wieczka.</w:t>
      </w:r>
    </w:p>
    <w:p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br w:type="page"/>
      </w:r>
    </w:p>
    <w:p w:rsidR="007415C7" w:rsidRPr="003B28B3" w:rsidRDefault="007415C7" w:rsidP="007415C7">
      <w:pPr>
        <w:widowControl/>
        <w:adjustRightInd/>
        <w:spacing w:after="0" w:line="240" w:lineRule="auto"/>
        <w:ind w:left="360"/>
        <w:jc w:val="right"/>
        <w:textAlignment w:val="auto"/>
        <w:rPr>
          <w:i/>
          <w:sz w:val="24"/>
        </w:rPr>
      </w:pPr>
      <w:r>
        <w:rPr>
          <w:i/>
          <w:sz w:val="24"/>
        </w:rPr>
        <w:t xml:space="preserve">Załącznik </w:t>
      </w:r>
      <w:r>
        <w:rPr>
          <w:i/>
          <w:sz w:val="24"/>
          <w:szCs w:val="24"/>
        </w:rPr>
        <w:t xml:space="preserve">2</w:t>
      </w:r>
      <w:r>
        <w:rPr>
          <w:i/>
          <w:sz w:val="24"/>
        </w:rPr>
        <w:t xml:space="preserve"> do rozporządzenia rządu nr       /2020 (...)</w:t>
      </w:r>
    </w:p>
    <w:p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Jednorazowe produkty z tworzyw sztucznych podlegające zakresowi § 4 w odniesieniu do ograniczenia w zakresie wprowadzania do obrotu</w:t>
      </w:r>
    </w:p>
    <w:p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jednorazowych naczyń z tworzyw sztucznych</w:t>
      </w:r>
    </w:p>
    <w:p w:rsidR="007415C7" w:rsidRPr="003B28B3" w:rsidRDefault="007415C7" w:rsidP="007415C7">
      <w:pPr>
        <w:spacing w:after="0" w:line="240" w:lineRule="auto"/>
        <w:jc w:val="center"/>
        <w:rPr>
          <w:sz w:val="24"/>
          <w:szCs w:val="24"/>
        </w:rPr>
      </w:pPr>
    </w:p>
    <w:p w:rsidR="007415C7" w:rsidRPr="003B28B3" w:rsidRDefault="007415C7" w:rsidP="007415C7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Kubki na napoje inne niż objęte zakresem załącznika 1, w tym ich zakrętki i wieczka;</w:t>
      </w:r>
    </w:p>
    <w:p w:rsidR="007415C7" w:rsidRPr="003B28B3" w:rsidRDefault="007415C7" w:rsidP="007415C7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lekkie plastikowe torby na zakupy o grubości materiału wynoszącej co najmniej 15 mikronów, z wyjątkiem ich wersji wykonanych z tworzyw sztucznych ulegających biodegradacji.</w:t>
      </w:r>
      <w:r>
        <w:rPr>
          <w:sz w:val="24"/>
          <w:szCs w:val="24"/>
        </w:rPr>
        <w:t xml:space="preserve"> </w:t>
      </w:r>
    </w:p>
    <w:p w:rsidR="001D404D" w:rsidRDefault="001D404D"/>
    <w:sectPr w:rsidR="001D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813"/>
    <w:multiLevelType w:val="hybridMultilevel"/>
    <w:tmpl w:val="76947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01D"/>
    <w:multiLevelType w:val="hybridMultilevel"/>
    <w:tmpl w:val="3BDE02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6D7F"/>
    <w:multiLevelType w:val="hybridMultilevel"/>
    <w:tmpl w:val="B8A41F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C7"/>
    <w:rsid w:val="001D404D"/>
    <w:rsid w:val="007415C7"/>
    <w:rsid w:val="00D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D5443E-E941-405F-AB5E-52524FE8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5C7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ágrafo da Lista1,List Paragraph2,List Paragraph21,リスト段落1,List Paragraph1,LISTA"/>
    <w:basedOn w:val="Normal"/>
    <w:uiPriority w:val="34"/>
    <w:qFormat/>
    <w:rsid w:val="00741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Fejes Edina dr.</dc:creator>
  <cp:lastModifiedBy>KARAGIANNI, Maria</cp:lastModifiedBy>
  <cp:revision>2</cp:revision>
  <dcterms:created xsi:type="dcterms:W3CDTF">2020-06-24T06:44:00Z</dcterms:created>
  <dcterms:modified xsi:type="dcterms:W3CDTF">2020-07-02T12:49:00Z</dcterms:modified>
</cp:coreProperties>
</file>