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6D12"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087612CD"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Decretul guvernului nr. 301/2021 din 1 iunie 2021</w:t>
      </w:r>
    </w:p>
    <w:p w14:paraId="34BBEBFC"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sz w:val="28"/>
        </w:rPr>
        <w:t>privind restricționarea introducerii pe piață a anumitor produse din plastic de unică folosință și a altor produse din plastic</w:t>
      </w:r>
    </w:p>
    <w:p w14:paraId="2858EE2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În temeiul mandatului acordat în conformitate cu articolul 110 alineatele (7) și (42) din Legea LIII din 1995 privind normele generale de protecție a mediului și acționând în sfera de aplicare a atribuțiilor sale, astfel cum sunt definite la articolul 15 alineatul (1) din Constituția Ungariei, prin prezentul, guvernul hotărăște următoarele:</w:t>
      </w:r>
    </w:p>
    <w:p w14:paraId="76B50C35"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1. Domeniul de aplicare al decretului</w:t>
      </w:r>
    </w:p>
    <w:p w14:paraId="1AA2366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Articolul 1. </w:t>
      </w:r>
      <w:r>
        <w:rPr>
          <w:rFonts w:ascii="Times New Roman" w:hAnsi="Times New Roman"/>
          <w:sz w:val="24"/>
        </w:rPr>
        <w:t>(1) Prezentul decret se aplică:</w:t>
      </w:r>
    </w:p>
    <w:p w14:paraId="5C0CFB1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(a)</w:t>
      </w:r>
      <w:r>
        <w:rPr>
          <w:rFonts w:ascii="Times New Roman" w:hAnsi="Times New Roman"/>
          <w:sz w:val="24"/>
        </w:rPr>
        <w:t xml:space="preserve"> produselor din plastic de unică folosință prevăzute în anexa 1; și</w:t>
      </w:r>
    </w:p>
    <w:p w14:paraId="7909384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(b)</w:t>
      </w:r>
      <w:r>
        <w:rPr>
          <w:rFonts w:ascii="Times New Roman" w:hAnsi="Times New Roman"/>
          <w:sz w:val="24"/>
        </w:rPr>
        <w:t xml:space="preserve"> paharelor pentru băuturi și produselor din material plastic oxodegradabil.</w:t>
      </w:r>
    </w:p>
    <w:p w14:paraId="71C1125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Prezentul decret nu se aplică:</w:t>
      </w:r>
    </w:p>
    <w:p w14:paraId="16E8D0D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(a) </w:t>
      </w:r>
      <w:r>
        <w:rPr>
          <w:rFonts w:ascii="Times New Roman" w:hAnsi="Times New Roman"/>
          <w:sz w:val="24"/>
        </w:rPr>
        <w:t xml:space="preserve">paharelor pentru băuturi destinate și utilizate pentru depozitarea și utilizarea alimentelor lichide destinate unor scopuri medicale speciale, astfel cum sunt definite la articolul 2 alineatul (2) litera </w:t>
      </w:r>
      <w:r>
        <w:rPr>
          <w:rFonts w:ascii="Times New Roman" w:hAnsi="Times New Roman"/>
          <w:i/>
          <w:sz w:val="24"/>
        </w:rPr>
        <w:t>(g)</w:t>
      </w:r>
      <w:r>
        <w:rPr>
          <w:rFonts w:ascii="Times New Roman" w:hAnsi="Times New Roman"/>
          <w:sz w:val="24"/>
        </w:rPr>
        <w:t xml:space="preserve"> din 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w:t>
      </w:r>
    </w:p>
    <w:p w14:paraId="7CA0CE73"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 xml:space="preserve">(b) </w:t>
      </w:r>
      <w:r>
        <w:rPr>
          <w:rFonts w:ascii="Times New Roman" w:hAnsi="Times New Roman"/>
          <w:sz w:val="24"/>
        </w:rPr>
        <w:t>paielor și bețelor care intră în domeniul de aplicare al Directivei 90/385/CEE a Consiliului din 20 iunie 1990 privind apropierea legislațiilor statelor membre referitoare la dispozitivele medicale active implantabile sau al Directivei 93/42/CEE a Consiliului din 14 iunie 1993 privind dispozitivele medicale.</w:t>
      </w:r>
    </w:p>
    <w:p w14:paraId="401D05C4"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2. Definiții</w:t>
      </w:r>
    </w:p>
    <w:p w14:paraId="347310F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Articolul 2</w:t>
      </w:r>
      <w:r>
        <w:rPr>
          <w:rFonts w:ascii="Times New Roman" w:hAnsi="Times New Roman"/>
          <w:sz w:val="24"/>
        </w:rPr>
        <w:t xml:space="preserve"> În sensul prezentului decret:</w:t>
      </w:r>
    </w:p>
    <w:p w14:paraId="3D5D8DC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„material plastic biodegradabil” înseamnă un material plastic care poate face obiectul descompunerii fizice, biologice, astfel încât să se descompună în final în dioxid de carbon (CO2), biomasă și apă, și este, în conformitate cu standardele europene privind ambalajele, recuperabil prin compostare și digestie anaerobă;</w:t>
      </w:r>
    </w:p>
    <w:p w14:paraId="49149C7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„produs din plastic de unică folosință” înseamnă un produs care este fabricat în întregime sau parțial din plastic și care nu este conceput, proiectat sau introdus pe piață pentru a realiza, în cadrul ciclului său de viață, mai multe cicluri sau rotații prin returnare la producător pentru a fi reumplut sau reutilizat în același scop în care a fost conceput;</w:t>
      </w:r>
    </w:p>
    <w:p w14:paraId="36C2D87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3. „punere la dispoziție pe piață” înseamnă orice tip de furnizare a unui produs în vederea distribuirii, consumului sau utilizării pe piețele de pe teritoriul Ungariei în cadrul unei activități comerciale, fie în schimbul unei plăți, fie gratuit;</w:t>
      </w:r>
    </w:p>
    <w:p w14:paraId="6BF754A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4. „introducere pe piață” înseamnă prima punere la dispoziție a unui produs pe piață;</w:t>
      </w:r>
    </w:p>
    <w:p w14:paraId="0A766096"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lastRenderedPageBreak/>
        <w:t>5. „pahare pentru băuturi” înseamnă pahare din plastic de unică folosință destinate a fi umplute la locul de consum, inclusiv pahare din plastic destinate să răspundă nevoilor personale ale persoanelor fizice;</w:t>
      </w:r>
    </w:p>
    <w:p w14:paraId="7A6401A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6. „pungi de transport din plastic subțire” înseamnă pungi de transport din plastic cu o grosime mai mică de 50 de microni;</w:t>
      </w:r>
    </w:p>
    <w:p w14:paraId="69A149F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7. „material plastic” înseamnă un material constând dintr-un polimer în sensul articolului 3 alineatul (5) din 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 la care este posibil să fi fost adăugați aditivi sau alte substanțe și care poate funcționa ca o componentă structurală principală a produselor finale, cu excepția polimerilor naturali nemodificați chimic;</w:t>
      </w:r>
    </w:p>
    <w:p w14:paraId="6B9FC6A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8. „pungi de transport din plastic” înseamnă pungi de transport, cu sau fără mâner, fabricate din plastic, furnizate consumatorilor la punctele de vânzare de bunuri sau de produse;</w:t>
      </w:r>
    </w:p>
    <w:p w14:paraId="6B959FEE"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9. „pungi de transport din plastic foarte subțire” înseamnă pungi de transport din plastic cu grosimea peretelui mai mică de 15 microni, care sunt necesare din motive de igienă sau care sunt utilizate ca ambalaje primare pentru produsele alimentare în vrac, atunci când acest lucru contribuie la prevenirea risipei de alimente;</w:t>
      </w:r>
    </w:p>
    <w:p w14:paraId="6625599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10. „materiale plastice oxodegradabile” înseamnă materiale din plastic care conțin aditivi care, prin oxidare, duc la fragmentarea materialelor plastice în microfragmente sau la descompunerea chimică;</w:t>
      </w:r>
    </w:p>
    <w:p w14:paraId="41EA872A"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3. Cerințe privind introducerea pe piață a anumitor produse de unică folosință și a altor produse din plastic</w:t>
      </w:r>
    </w:p>
    <w:p w14:paraId="5D502E86"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Articolul 3</w:t>
      </w:r>
      <w:r>
        <w:rPr>
          <w:rFonts w:ascii="Times New Roman" w:hAnsi="Times New Roman"/>
          <w:sz w:val="24"/>
        </w:rPr>
        <w:t xml:space="preserve"> Se interzice introducerea pe piață a produselor din plastic de unică folosință enumerate în anexa 1 și a produselor fabricate din material plastic oxodegradabil.</w:t>
      </w:r>
    </w:p>
    <w:p w14:paraId="6815A37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Articolul 4 </w:t>
      </w:r>
      <w:r>
        <w:rPr>
          <w:rFonts w:ascii="Times New Roman" w:hAnsi="Times New Roman"/>
          <w:sz w:val="24"/>
        </w:rPr>
        <w:t>(1) Introducerea pe piață a paharelor pentru băuturi care nu sunt incluse în anexa 1, inclusiv partea superioară și capacul acestora, este interzisă.</w:t>
      </w:r>
    </w:p>
    <w:p w14:paraId="212D15C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Se interzice introducerea pe piață a pungilor de transport din plastic foarte subțire cu grosimea peretelui de 15 microni sau mai mare, altele decât cele fabricate din materiale plastice biodegradabile.</w:t>
      </w:r>
    </w:p>
    <w:p w14:paraId="59AA1FD4"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4. Sancțiuni</w:t>
      </w:r>
    </w:p>
    <w:p w14:paraId="6E93F75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Articolul 5. </w:t>
      </w:r>
      <w:r>
        <w:rPr>
          <w:rFonts w:ascii="Times New Roman" w:hAnsi="Times New Roman"/>
          <w:sz w:val="24"/>
        </w:rPr>
        <w:t>În ceea ce privește sancționarea cazurilor de încălcare a interdicțiilor de introducere pe piață prevăzute la articolele 3 și 4, prezentul act legislativ se califică drept legislație privind prevenirea generării de deșeuri.</w:t>
      </w:r>
    </w:p>
    <w:p w14:paraId="3D855B1D" w14:textId="77777777" w:rsidR="00090B9A" w:rsidRPr="00090B9A" w:rsidRDefault="00090B9A" w:rsidP="00090B9A">
      <w:pPr>
        <w:autoSpaceDE w:val="0"/>
        <w:autoSpaceDN w:val="0"/>
        <w:adjustRightInd w:val="0"/>
        <w:spacing w:before="240" w:after="240" w:line="240" w:lineRule="auto"/>
        <w:jc w:val="center"/>
        <w:rPr>
          <w:rFonts w:ascii="Times New Roman" w:hAnsi="Times New Roman" w:cs="Times New Roman"/>
          <w:sz w:val="24"/>
          <w:szCs w:val="24"/>
        </w:rPr>
      </w:pPr>
      <w:r>
        <w:rPr>
          <w:rFonts w:ascii="Times New Roman" w:hAnsi="Times New Roman"/>
          <w:b/>
          <w:i/>
          <w:sz w:val="28"/>
        </w:rPr>
        <w:t>5. Dispoziții finale</w:t>
      </w:r>
    </w:p>
    <w:p w14:paraId="4005478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Articolul 6 </w:t>
      </w:r>
      <w:r>
        <w:rPr>
          <w:rFonts w:ascii="Times New Roman" w:hAnsi="Times New Roman"/>
          <w:sz w:val="24"/>
        </w:rPr>
        <w:t>(1) Prezentul decret intră în vigoare la 1 iulie 2021, cu excepția prevăzută la alineatul (2).</w:t>
      </w:r>
    </w:p>
    <w:p w14:paraId="259586F2"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Articolul 4 alineatul (1) intră în vigoare la 1 iulie 2023.</w:t>
      </w:r>
    </w:p>
    <w:p w14:paraId="7466AC4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b/>
          <w:sz w:val="24"/>
        </w:rPr>
        <w:t xml:space="preserve">Articolul 7. </w:t>
      </w:r>
      <w:r>
        <w:rPr>
          <w:rFonts w:ascii="Times New Roman" w:hAnsi="Times New Roman"/>
          <w:sz w:val="24"/>
        </w:rPr>
        <w:t>(1) Prezentul decret are ca scop respectarea:</w:t>
      </w:r>
    </w:p>
    <w:p w14:paraId="21EC331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lastRenderedPageBreak/>
        <w:t>(a)</w:t>
      </w:r>
      <w:r>
        <w:rPr>
          <w:rFonts w:ascii="Times New Roman" w:hAnsi="Times New Roman"/>
          <w:sz w:val="24"/>
        </w:rPr>
        <w:t xml:space="preserve"> Directivei (UE) 2015/720 a Parlamentului European și a Consiliului din 29 aprilie 2015 de modificare a Directivei 94/62/CE în ceea ce privește reducerea consumului de pungi de transport din plastic subțire; și</w:t>
      </w:r>
    </w:p>
    <w:p w14:paraId="7D714A7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i/>
          <w:sz w:val="24"/>
        </w:rPr>
        <w:t>(b)</w:t>
      </w:r>
      <w:r>
        <w:rPr>
          <w:rFonts w:ascii="Times New Roman" w:hAnsi="Times New Roman"/>
          <w:sz w:val="24"/>
        </w:rPr>
        <w:t xml:space="preserve"> Directivei (UE) 2019/904 a Parlamentului European și a Consiliului din 5 iunie 2019 privind reducerea impactului anumitor produse din plastic asupra mediului.</w:t>
      </w:r>
    </w:p>
    <w:p w14:paraId="7E4328F2"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7186CB37"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(2) Cerința privind notificarea prealabilă a prezentului proiect de decret, astfel cum este prevăzută la articolul 5 alineatul (1) din Directiva (UE) 2015/1535 a Parlamentului European și a Consiliului din 9 septembrie 2015 referitoare la procedura de furnizare de informații în domeniul reglementărilor tehnice și al normelor privind serviciile societății informaționale, a fost respectată.</w:t>
      </w:r>
    </w:p>
    <w:p w14:paraId="5B2EEE32" w14:textId="77777777" w:rsidR="00090B9A" w:rsidRPr="00090B9A" w:rsidRDefault="00090B9A" w:rsidP="00090B9A">
      <w:pPr>
        <w:autoSpaceDE w:val="0"/>
        <w:autoSpaceDN w:val="0"/>
        <w:adjustRightInd w:val="0"/>
        <w:spacing w:before="240" w:after="240" w:line="240" w:lineRule="auto"/>
        <w:rPr>
          <w:rFonts w:ascii="Times New Roman" w:hAnsi="Times New Roman" w:cs="Times New Roman"/>
          <w:sz w:val="24"/>
          <w:szCs w:val="24"/>
        </w:rPr>
      </w:pPr>
      <w:r>
        <w:rPr>
          <w:rFonts w:ascii="Times New Roman" w:hAnsi="Times New Roman"/>
          <w:i/>
          <w:sz w:val="28"/>
          <w:u w:val="single"/>
        </w:rPr>
        <w:t>Anexa 1 la Decretul guvernului nr. 301/2021 din 1 iunie 2021</w:t>
      </w:r>
    </w:p>
    <w:p w14:paraId="3274DFB0"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 Sub rezerva restricțiilor:</w:t>
      </w:r>
    </w:p>
    <w:p w14:paraId="48B62F84"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1.1. Bețișoare pentru urechi;</w:t>
      </w:r>
    </w:p>
    <w:p w14:paraId="1049A6D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1.2. Tacâmuri (furculițe, cuțite, linguri, bețișoare chinezești);</w:t>
      </w:r>
    </w:p>
    <w:p w14:paraId="7492F978"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1.3. Farfurii;</w:t>
      </w:r>
    </w:p>
    <w:p w14:paraId="45796F99"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1.4. Paie pentru băuturi;</w:t>
      </w:r>
    </w:p>
    <w:p w14:paraId="5EBB15EC"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1.5. Agitatoare pentru băuturi;</w:t>
      </w:r>
    </w:p>
    <w:p w14:paraId="4A44FAAA"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1.6. Bețe care se atașează baloanelor sau care sprijină baloane, cu excepția baloanelor de uz industrial sau pentru alte utilizări și aplicații profesionale, care nu sunt distribuite consumatorilor, inclusiv mecanismele acestor bețe;</w:t>
      </w:r>
    </w:p>
    <w:p w14:paraId="5351363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 Recipiente pentru alimente fabricate din polistiren expandat, cum ar fi cutiile cu sau fără capac, utilizate pentru a conține produse alimentare care:</w:t>
      </w:r>
    </w:p>
    <w:p w14:paraId="6D9A538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1.7.1. sunt destinate consumului imediat, fie pe loc, fie la pachet,</w:t>
      </w:r>
    </w:p>
    <w:p w14:paraId="5483DABB"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1.7.2. sunt de regulă consumate din recipient și</w:t>
      </w:r>
    </w:p>
    <w:p w14:paraId="616B0CAD"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1.7.3. sunt gata de consum fără a necesita o preparare suplimentară, precum gătirea, fierberea sau încălzirea, inclusiv recipiente pentru alimente utilizate pentru meniuri de tip fast food sau alte meniuri gata pentru consum imediat, cu excepția recipientelor pentru băuturi, a farfuriilor, a pachetelor și foliilor din material flexibil care conțin produsele alimentare;</w:t>
      </w:r>
    </w:p>
    <w:p w14:paraId="62D2336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1.8. Recipiente pentru băuturi fabricate din polistiren expandat, inclusiv dopurile și capacele acestora;</w:t>
      </w:r>
    </w:p>
    <w:p w14:paraId="350A8EC5" w14:textId="77777777" w:rsidR="00090B9A" w:rsidRPr="00090B9A" w:rsidRDefault="00090B9A" w:rsidP="00090B9A">
      <w:pPr>
        <w:autoSpaceDE w:val="0"/>
        <w:autoSpaceDN w:val="0"/>
        <w:adjustRightInd w:val="0"/>
        <w:spacing w:after="0" w:line="240" w:lineRule="auto"/>
        <w:ind w:firstLine="204"/>
        <w:jc w:val="both"/>
        <w:rPr>
          <w:rFonts w:ascii="Times New Roman" w:hAnsi="Times New Roman" w:cs="Times New Roman"/>
          <w:sz w:val="24"/>
          <w:szCs w:val="24"/>
        </w:rPr>
      </w:pPr>
      <w:r>
        <w:rPr>
          <w:rFonts w:ascii="Times New Roman" w:hAnsi="Times New Roman"/>
          <w:sz w:val="24"/>
        </w:rPr>
        <w:t>1.9. Pahare pentru băuturi fabricate din polistiren expandat, inclusiv capacele acestora.</w:t>
      </w:r>
    </w:p>
    <w:p w14:paraId="7113F6AD" w14:textId="77777777" w:rsidR="00090B9A" w:rsidRPr="00090B9A" w:rsidRDefault="00090B9A" w:rsidP="00090B9A">
      <w:pPr>
        <w:autoSpaceDE w:val="0"/>
        <w:autoSpaceDN w:val="0"/>
        <w:adjustRightInd w:val="0"/>
        <w:spacing w:after="0" w:line="240" w:lineRule="auto"/>
        <w:jc w:val="both"/>
        <w:rPr>
          <w:rFonts w:ascii="Times New Roman" w:hAnsi="Times New Roman" w:cs="Times New Roman"/>
          <w:sz w:val="24"/>
          <w:szCs w:val="24"/>
        </w:rPr>
      </w:pPr>
    </w:p>
    <w:p w14:paraId="25EB4642" w14:textId="77777777" w:rsidR="00C263EB" w:rsidRDefault="00C263EB"/>
    <w:sectPr w:rsidR="00C263EB" w:rsidSect="00B35AD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B9A"/>
    <w:rsid w:val="00090B9A"/>
    <w:rsid w:val="00C263EB"/>
    <w:rsid w:val="00F17C5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37C4"/>
  <w15:chartTrackingRefBased/>
  <w15:docId w15:val="{691AA1B5-9C6F-458B-9E57-5F1BBC68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kezds">
    <w:name w:val="Bekezdés"/>
    <w:uiPriority w:val="99"/>
    <w:rsid w:val="00090B9A"/>
    <w:pPr>
      <w:autoSpaceDE w:val="0"/>
      <w:autoSpaceDN w:val="0"/>
      <w:adjustRightInd w:val="0"/>
      <w:spacing w:after="0" w:line="240" w:lineRule="auto"/>
      <w:ind w:firstLine="202"/>
    </w:pPr>
    <w:rPr>
      <w:rFonts w:ascii="Times New Roman" w:hAnsi="Times New Roman" w:cs="Times New Roman"/>
      <w:sz w:val="24"/>
      <w:szCs w:val="24"/>
    </w:rPr>
  </w:style>
  <w:style w:type="paragraph" w:customStyle="1" w:styleId="Bekezds2">
    <w:name w:val="Bekezdés2"/>
    <w:uiPriority w:val="99"/>
    <w:rsid w:val="00090B9A"/>
    <w:pPr>
      <w:autoSpaceDE w:val="0"/>
      <w:autoSpaceDN w:val="0"/>
      <w:adjustRightInd w:val="0"/>
      <w:spacing w:after="0" w:line="240" w:lineRule="auto"/>
      <w:ind w:left="204" w:firstLine="204"/>
    </w:pPr>
    <w:rPr>
      <w:rFonts w:ascii="Times New Roman" w:hAnsi="Times New Roman" w:cs="Times New Roman"/>
      <w:sz w:val="24"/>
      <w:szCs w:val="24"/>
    </w:rPr>
  </w:style>
  <w:style w:type="paragraph" w:customStyle="1" w:styleId="Bekezds3">
    <w:name w:val="Bekezdés3"/>
    <w:uiPriority w:val="99"/>
    <w:rsid w:val="00090B9A"/>
    <w:pPr>
      <w:autoSpaceDE w:val="0"/>
      <w:autoSpaceDN w:val="0"/>
      <w:adjustRightInd w:val="0"/>
      <w:spacing w:after="0" w:line="240" w:lineRule="auto"/>
      <w:ind w:left="408" w:firstLine="204"/>
    </w:pPr>
    <w:rPr>
      <w:rFonts w:ascii="Times New Roman" w:hAnsi="Times New Roman" w:cs="Times New Roman"/>
      <w:sz w:val="24"/>
      <w:szCs w:val="24"/>
    </w:rPr>
  </w:style>
  <w:style w:type="paragraph" w:customStyle="1" w:styleId="Bekezds4">
    <w:name w:val="Bekezdés4"/>
    <w:uiPriority w:val="99"/>
    <w:rsid w:val="00090B9A"/>
    <w:pPr>
      <w:autoSpaceDE w:val="0"/>
      <w:autoSpaceDN w:val="0"/>
      <w:adjustRightInd w:val="0"/>
      <w:spacing w:after="0" w:line="240" w:lineRule="auto"/>
      <w:ind w:left="613" w:firstLine="204"/>
    </w:pPr>
    <w:rPr>
      <w:rFonts w:ascii="Times New Roman" w:hAnsi="Times New Roman" w:cs="Times New Roman"/>
      <w:sz w:val="24"/>
      <w:szCs w:val="24"/>
    </w:rPr>
  </w:style>
  <w:style w:type="paragraph" w:customStyle="1" w:styleId="DltCm">
    <w:name w:val="DôltCím"/>
    <w:uiPriority w:val="99"/>
    <w:rsid w:val="00090B9A"/>
    <w:pPr>
      <w:autoSpaceDE w:val="0"/>
      <w:autoSpaceDN w:val="0"/>
      <w:adjustRightInd w:val="0"/>
      <w:spacing w:before="480" w:after="240" w:line="240" w:lineRule="auto"/>
      <w:jc w:val="center"/>
    </w:pPr>
    <w:rPr>
      <w:rFonts w:ascii="Times New Roman" w:hAnsi="Times New Roman" w:cs="Times New Roman"/>
      <w:i/>
      <w:iCs/>
      <w:sz w:val="24"/>
      <w:szCs w:val="24"/>
    </w:rPr>
  </w:style>
  <w:style w:type="paragraph" w:customStyle="1" w:styleId="FejezetCm">
    <w:name w:val="FejezetCím"/>
    <w:uiPriority w:val="99"/>
    <w:rsid w:val="00090B9A"/>
    <w:pPr>
      <w:autoSpaceDE w:val="0"/>
      <w:autoSpaceDN w:val="0"/>
      <w:adjustRightInd w:val="0"/>
      <w:spacing w:before="480" w:after="240" w:line="240" w:lineRule="auto"/>
      <w:jc w:val="center"/>
    </w:pPr>
    <w:rPr>
      <w:rFonts w:ascii="Times New Roman" w:hAnsi="Times New Roman" w:cs="Times New Roman"/>
      <w:b/>
      <w:bCs/>
      <w:i/>
      <w:iCs/>
      <w:sz w:val="24"/>
      <w:szCs w:val="24"/>
    </w:rPr>
  </w:style>
  <w:style w:type="paragraph" w:customStyle="1" w:styleId="FCm">
    <w:name w:val="FôCím"/>
    <w:uiPriority w:val="99"/>
    <w:rsid w:val="00090B9A"/>
    <w:pPr>
      <w:autoSpaceDE w:val="0"/>
      <w:autoSpaceDN w:val="0"/>
      <w:adjustRightInd w:val="0"/>
      <w:spacing w:before="480" w:after="240" w:line="240" w:lineRule="auto"/>
      <w:jc w:val="center"/>
    </w:pPr>
    <w:rPr>
      <w:rFonts w:ascii="Times New Roman" w:hAnsi="Times New Roman" w:cs="Times New Roman"/>
      <w:b/>
      <w:bCs/>
      <w:sz w:val="28"/>
      <w:szCs w:val="28"/>
    </w:rPr>
  </w:style>
  <w:style w:type="paragraph" w:customStyle="1" w:styleId="Kikezds">
    <w:name w:val="Kikezdés"/>
    <w:uiPriority w:val="99"/>
    <w:rsid w:val="00090B9A"/>
    <w:pPr>
      <w:autoSpaceDE w:val="0"/>
      <w:autoSpaceDN w:val="0"/>
      <w:adjustRightInd w:val="0"/>
      <w:spacing w:after="0" w:line="240" w:lineRule="auto"/>
      <w:ind w:left="202" w:hanging="202"/>
    </w:pPr>
    <w:rPr>
      <w:rFonts w:ascii="Times New Roman" w:hAnsi="Times New Roman" w:cs="Times New Roman"/>
      <w:sz w:val="24"/>
      <w:szCs w:val="24"/>
    </w:rPr>
  </w:style>
  <w:style w:type="paragraph" w:customStyle="1" w:styleId="Kikezds2">
    <w:name w:val="Kikezdés2"/>
    <w:uiPriority w:val="99"/>
    <w:rsid w:val="00090B9A"/>
    <w:pPr>
      <w:autoSpaceDE w:val="0"/>
      <w:autoSpaceDN w:val="0"/>
      <w:adjustRightInd w:val="0"/>
      <w:spacing w:after="0" w:line="240" w:lineRule="auto"/>
      <w:ind w:left="408" w:hanging="202"/>
    </w:pPr>
    <w:rPr>
      <w:rFonts w:ascii="Times New Roman" w:hAnsi="Times New Roman" w:cs="Times New Roman"/>
      <w:sz w:val="24"/>
      <w:szCs w:val="24"/>
    </w:rPr>
  </w:style>
  <w:style w:type="paragraph" w:customStyle="1" w:styleId="Kikezds3">
    <w:name w:val="Kikezdés3"/>
    <w:uiPriority w:val="99"/>
    <w:rsid w:val="00090B9A"/>
    <w:pPr>
      <w:autoSpaceDE w:val="0"/>
      <w:autoSpaceDN w:val="0"/>
      <w:adjustRightInd w:val="0"/>
      <w:spacing w:after="0" w:line="240" w:lineRule="auto"/>
      <w:ind w:left="613" w:hanging="202"/>
    </w:pPr>
    <w:rPr>
      <w:rFonts w:ascii="Times New Roman" w:hAnsi="Times New Roman" w:cs="Times New Roman"/>
      <w:sz w:val="24"/>
      <w:szCs w:val="24"/>
    </w:rPr>
  </w:style>
  <w:style w:type="paragraph" w:customStyle="1" w:styleId="Kikezds4">
    <w:name w:val="Kikezdés4"/>
    <w:uiPriority w:val="99"/>
    <w:rsid w:val="00090B9A"/>
    <w:pPr>
      <w:autoSpaceDE w:val="0"/>
      <w:autoSpaceDN w:val="0"/>
      <w:adjustRightInd w:val="0"/>
      <w:spacing w:after="0" w:line="240" w:lineRule="auto"/>
      <w:ind w:left="817" w:hanging="202"/>
    </w:pPr>
    <w:rPr>
      <w:rFonts w:ascii="Times New Roman" w:hAnsi="Times New Roman" w:cs="Times New Roman"/>
      <w:sz w:val="24"/>
      <w:szCs w:val="24"/>
    </w:rPr>
  </w:style>
  <w:style w:type="paragraph" w:customStyle="1" w:styleId="kzp">
    <w:name w:val="közép"/>
    <w:uiPriority w:val="99"/>
    <w:rsid w:val="00090B9A"/>
    <w:pPr>
      <w:autoSpaceDE w:val="0"/>
      <w:autoSpaceDN w:val="0"/>
      <w:adjustRightInd w:val="0"/>
      <w:spacing w:before="240" w:after="240" w:line="240" w:lineRule="auto"/>
      <w:jc w:val="center"/>
    </w:pPr>
    <w:rPr>
      <w:rFonts w:ascii="Times New Roman" w:hAnsi="Times New Roman" w:cs="Times New Roman"/>
      <w:i/>
      <w:iCs/>
      <w:sz w:val="24"/>
      <w:szCs w:val="24"/>
    </w:rPr>
  </w:style>
  <w:style w:type="paragraph" w:customStyle="1" w:styleId="MellkletCm">
    <w:name w:val="MellékletCím"/>
    <w:uiPriority w:val="99"/>
    <w:rsid w:val="00090B9A"/>
    <w:pPr>
      <w:autoSpaceDE w:val="0"/>
      <w:autoSpaceDN w:val="0"/>
      <w:adjustRightInd w:val="0"/>
      <w:spacing w:before="480" w:after="240" w:line="240" w:lineRule="auto"/>
    </w:pPr>
    <w:rPr>
      <w:rFonts w:ascii="Times New Roman" w:hAnsi="Times New Roman" w:cs="Times New Roman"/>
      <w:i/>
      <w:iCs/>
      <w:sz w:val="24"/>
      <w:szCs w:val="24"/>
      <w:u w:val="single"/>
    </w:rPr>
  </w:style>
  <w:style w:type="paragraph" w:customStyle="1" w:styleId="NormlCm">
    <w:name w:val="NormálCím"/>
    <w:uiPriority w:val="99"/>
    <w:rsid w:val="00090B9A"/>
    <w:pPr>
      <w:autoSpaceDE w:val="0"/>
      <w:autoSpaceDN w:val="0"/>
      <w:adjustRightInd w:val="0"/>
      <w:spacing w:before="480" w:after="240" w:line="240" w:lineRule="auto"/>
      <w:jc w:val="center"/>
    </w:pPr>
    <w:rPr>
      <w:rFonts w:ascii="Times New Roman" w:hAnsi="Times New Roman" w:cs="Times New Roman"/>
      <w:sz w:val="24"/>
      <w:szCs w:val="24"/>
    </w:rPr>
  </w:style>
  <w:style w:type="paragraph" w:customStyle="1" w:styleId="VastagCm">
    <w:name w:val="VastagCím"/>
    <w:uiPriority w:val="99"/>
    <w:rsid w:val="00090B9A"/>
    <w:pPr>
      <w:autoSpaceDE w:val="0"/>
      <w:autoSpaceDN w:val="0"/>
      <w:adjustRightInd w:val="0"/>
      <w:spacing w:before="480" w:after="240" w:line="240" w:lineRule="auto"/>
      <w:jc w:val="center"/>
    </w:pPr>
    <w:rPr>
      <w:rFonts w:ascii="Times New Roman" w:hAnsi="Times New Roman" w:cs="Times New Roman"/>
      <w:b/>
      <w:bCs/>
      <w:sz w:val="24"/>
      <w:szCs w:val="24"/>
    </w:rPr>
  </w:style>
  <w:style w:type="paragraph" w:customStyle="1" w:styleId="vonal">
    <w:name w:val="vonal"/>
    <w:uiPriority w:val="99"/>
    <w:rsid w:val="00090B9A"/>
    <w:pPr>
      <w:autoSpaceDE w:val="0"/>
      <w:autoSpaceDN w:val="0"/>
      <w:adjustRightInd w:val="0"/>
      <w:spacing w:after="0" w:line="240" w:lineRule="auto"/>
      <w:jc w:val="center"/>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6904</Characters>
  <Application>Microsoft Office Word</Application>
  <DocSecurity>0</DocSecurity>
  <Lines>112</Lines>
  <Paragraphs>49</Paragraphs>
  <ScaleCrop>false</ScaleCrop>
  <HeadingPairs>
    <vt:vector size="2" baseType="variant">
      <vt:variant>
        <vt:lpstr>Cím</vt:lpstr>
      </vt:variant>
      <vt:variant>
        <vt:i4>1</vt:i4>
      </vt:variant>
    </vt:vector>
  </HeadingPairs>
  <TitlesOfParts>
    <vt:vector size="1" baseType="lpstr">
      <vt:lpstr/>
    </vt:vector>
  </TitlesOfParts>
  <Company>Egységes InfraStruktúra</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Fazekas Zsolt</dc:creator>
  <cp:keywords>class='Internal'</cp:keywords>
  <dc:description/>
  <cp:lastModifiedBy>Čedo Perić</cp:lastModifiedBy>
  <cp:revision>2</cp:revision>
  <dcterms:created xsi:type="dcterms:W3CDTF">2022-01-14T09:48:00Z</dcterms:created>
  <dcterms:modified xsi:type="dcterms:W3CDTF">2022-01-14T09:48:00Z</dcterms:modified>
</cp:coreProperties>
</file>