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B677B" w:rsidRPr="00332032" w14:paraId="139DE9EA" w14:textId="77777777" w:rsidTr="006B677B">
        <w:tc>
          <w:tcPr>
            <w:tcW w:w="9781" w:type="dxa"/>
            <w:shd w:val="clear" w:color="auto" w:fill="auto"/>
          </w:tcPr>
          <w:p w14:paraId="133FDA14" w14:textId="77777777" w:rsidR="006B677B" w:rsidRPr="00332032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Królestwo Belgii</w:t>
            </w:r>
          </w:p>
        </w:tc>
      </w:tr>
      <w:tr w:rsidR="006B677B" w14:paraId="6769F682" w14:textId="77777777" w:rsidTr="006B677B">
        <w:tc>
          <w:tcPr>
            <w:tcW w:w="9781" w:type="dxa"/>
            <w:shd w:val="clear" w:color="auto" w:fill="auto"/>
          </w:tcPr>
          <w:p w14:paraId="2C2375C6" w14:textId="77777777" w:rsidR="006B677B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_________</w:t>
            </w:r>
          </w:p>
        </w:tc>
      </w:tr>
      <w:tr w:rsidR="006B677B" w14:paraId="3B5E8C47" w14:textId="77777777" w:rsidTr="006B677B">
        <w:tc>
          <w:tcPr>
            <w:tcW w:w="9781" w:type="dxa"/>
            <w:shd w:val="clear" w:color="auto" w:fill="auto"/>
          </w:tcPr>
          <w:p w14:paraId="6722C14D" w14:textId="77777777" w:rsidR="006B677B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</w:p>
        </w:tc>
      </w:tr>
      <w:tr w:rsidR="006B677B" w:rsidRPr="00332032" w14:paraId="4B668975" w14:textId="77777777" w:rsidTr="006B677B">
        <w:tc>
          <w:tcPr>
            <w:tcW w:w="9781" w:type="dxa"/>
            <w:shd w:val="clear" w:color="auto" w:fill="auto"/>
          </w:tcPr>
          <w:p w14:paraId="35384973" w14:textId="77777777" w:rsidR="006B677B" w:rsidRPr="00332032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FEDERALNY URZĄD DS. ZDROWIA PUBLICZNEGO, BEZPIECZEŃSTWA ŁAŃCUCHA ŻYWNOŚCIOWEGO I ŚRODOWISKA</w:t>
            </w:r>
          </w:p>
        </w:tc>
      </w:tr>
      <w:tr w:rsidR="006B677B" w:rsidRPr="002F1661" w14:paraId="166FDFF8" w14:textId="77777777" w:rsidTr="006B677B">
        <w:tc>
          <w:tcPr>
            <w:tcW w:w="9781" w:type="dxa"/>
            <w:shd w:val="clear" w:color="auto" w:fill="auto"/>
          </w:tcPr>
          <w:p w14:paraId="37B42EB0" w14:textId="77777777" w:rsidR="006B677B" w:rsidRPr="002F1661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sz w:val="22"/>
              </w:rPr>
              <w:t>________________________</w:t>
            </w:r>
          </w:p>
        </w:tc>
      </w:tr>
      <w:tr w:rsidR="006B677B" w:rsidRPr="002F1661" w14:paraId="7C2D7430" w14:textId="77777777" w:rsidTr="006B677B">
        <w:tc>
          <w:tcPr>
            <w:tcW w:w="9781" w:type="dxa"/>
            <w:shd w:val="clear" w:color="auto" w:fill="auto"/>
          </w:tcPr>
          <w:p w14:paraId="5CEFF240" w14:textId="77777777" w:rsidR="006B677B" w:rsidRPr="002F1661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bCs/>
                <w:sz w:val="22"/>
                <w:lang w:val="nl-NL"/>
              </w:rPr>
            </w:pPr>
          </w:p>
        </w:tc>
      </w:tr>
      <w:tr w:rsidR="006B677B" w:rsidRPr="00EE30E2" w14:paraId="08FE9E62" w14:textId="77777777" w:rsidTr="006B677B">
        <w:tc>
          <w:tcPr>
            <w:tcW w:w="9781" w:type="dxa"/>
            <w:shd w:val="clear" w:color="auto" w:fill="auto"/>
          </w:tcPr>
          <w:p w14:paraId="76CF47B3" w14:textId="77777777" w:rsidR="006B677B" w:rsidRPr="00EE30E2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Dekret królewski zmieniający dekret królewski z dnia 18 lutego 1991 r. dotyczący środków spożywczych specjalnego przeznaczenia żywieniowego</w:t>
            </w:r>
          </w:p>
        </w:tc>
      </w:tr>
      <w:tr w:rsidR="006B677B" w:rsidRPr="006B677B" w14:paraId="72250BD9" w14:textId="77777777" w:rsidTr="006B677B">
        <w:tc>
          <w:tcPr>
            <w:tcW w:w="9781" w:type="dxa"/>
            <w:shd w:val="clear" w:color="auto" w:fill="auto"/>
          </w:tcPr>
          <w:p w14:paraId="2B0ECEEC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6B677B" w:rsidRPr="003107B7" w14:paraId="674B38E1" w14:textId="77777777" w:rsidTr="006B677B">
        <w:tc>
          <w:tcPr>
            <w:tcW w:w="9781" w:type="dxa"/>
            <w:shd w:val="clear" w:color="auto" w:fill="auto"/>
          </w:tcPr>
          <w:p w14:paraId="1244750D" w14:textId="77777777" w:rsidR="006B677B" w:rsidRPr="003107B7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FILIP, Król Belgów,</w:t>
            </w:r>
          </w:p>
        </w:tc>
      </w:tr>
      <w:tr w:rsidR="006B677B" w:rsidRPr="003107B7" w14:paraId="52BD991D" w14:textId="77777777" w:rsidTr="006B677B">
        <w:tc>
          <w:tcPr>
            <w:tcW w:w="9781" w:type="dxa"/>
            <w:shd w:val="clear" w:color="auto" w:fill="auto"/>
          </w:tcPr>
          <w:p w14:paraId="4BD202AE" w14:textId="77777777" w:rsidR="006B677B" w:rsidRPr="003107B7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fr-BE"/>
              </w:rPr>
            </w:pPr>
          </w:p>
        </w:tc>
      </w:tr>
      <w:tr w:rsidR="006B677B" w:rsidRPr="003107B7" w14:paraId="159B5F6C" w14:textId="77777777" w:rsidTr="006B677B">
        <w:tc>
          <w:tcPr>
            <w:tcW w:w="9781" w:type="dxa"/>
            <w:shd w:val="clear" w:color="auto" w:fill="auto"/>
          </w:tcPr>
          <w:p w14:paraId="4EA7C773" w14:textId="77777777" w:rsidR="006B677B" w:rsidRPr="003107B7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>do wszystkich obecnych i przyszłych poddanych z pozdrowieniami.</w:t>
            </w:r>
          </w:p>
        </w:tc>
      </w:tr>
      <w:tr w:rsidR="006B677B" w:rsidRPr="006B677B" w14:paraId="4AA370AD" w14:textId="77777777" w:rsidTr="006B677B">
        <w:tc>
          <w:tcPr>
            <w:tcW w:w="9781" w:type="dxa"/>
            <w:shd w:val="clear" w:color="auto" w:fill="auto"/>
          </w:tcPr>
          <w:p w14:paraId="04A86125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14:paraId="10C04BCA" w14:textId="77777777" w:rsidTr="006B677B">
        <w:tc>
          <w:tcPr>
            <w:tcW w:w="9781" w:type="dxa"/>
            <w:shd w:val="clear" w:color="auto" w:fill="auto"/>
          </w:tcPr>
          <w:p w14:paraId="7B268B70" w14:textId="77777777" w:rsidR="006B677B" w:rsidRDefault="006B677B" w:rsidP="00A07F25">
            <w:pPr>
              <w:tabs>
                <w:tab w:val="left" w:pos="356"/>
                <w:tab w:val="left" w:pos="2268"/>
              </w:tabs>
              <w:ind w:firstLine="354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color w:val="444444"/>
                <w:sz w:val="22"/>
                <w:shd w:val="clear" w:color="auto" w:fill="FFFFFF"/>
              </w:rPr>
              <w:t>Uwzględniając rozporządzenie Parlamentu Europejskiego i Rady (UE) nr 609/2013 z dnia 12 czerwca 2013 r. w sprawie żywności przeznaczonej dla niemowląt i małych dzieci oraz żywności specjalnego przeznaczenia medycznego i środków spożywczych zastępujących całodzienną dietę do kontroli masy ciała oraz uchylające dyrektywę Rady 92/52/EWG, dyrektywy Komisji 96/8/WE, 1999/21/WE, 2006/125/WE i 2006/141/WE, dyrektywę Parlamentu Europejskiego i Rady 2009/39/WE oraz rozporządzenia Komisji (WE) nr 41/2009 i (WE) nr 953/2009,</w:t>
            </w:r>
          </w:p>
        </w:tc>
      </w:tr>
      <w:tr w:rsidR="006B677B" w:rsidRPr="006B677B" w14:paraId="6F4CB512" w14:textId="77777777" w:rsidTr="006B677B">
        <w:tc>
          <w:tcPr>
            <w:tcW w:w="9781" w:type="dxa"/>
            <w:shd w:val="clear" w:color="auto" w:fill="auto"/>
          </w:tcPr>
          <w:p w14:paraId="3C2840DA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6B677B" w:rsidRPr="00AE29A0" w14:paraId="54B3CB4E" w14:textId="77777777" w:rsidTr="006B677B">
        <w:tc>
          <w:tcPr>
            <w:tcW w:w="9781" w:type="dxa"/>
            <w:shd w:val="clear" w:color="auto" w:fill="auto"/>
          </w:tcPr>
          <w:p w14:paraId="6CCB777C" w14:textId="77777777" w:rsidR="006B677B" w:rsidRPr="00AE29A0" w:rsidRDefault="006B677B" w:rsidP="00A07F25">
            <w:pPr>
              <w:tabs>
                <w:tab w:val="left" w:pos="356"/>
                <w:tab w:val="left" w:pos="2268"/>
              </w:tabs>
              <w:ind w:firstLine="359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uwzględniając </w:t>
            </w:r>
            <w:r>
              <w:rPr>
                <w:rFonts w:ascii="Garamond" w:hAnsi="Garamond"/>
                <w:color w:val="444444"/>
                <w:sz w:val="22"/>
                <w:shd w:val="clear" w:color="auto" w:fill="FFFFFF"/>
              </w:rPr>
              <w:t>rozporządzenie Komisji (UE) 2016/128 z dnia 25 września 2015 r. uzupełniające rozporządzenie Parlamentu Europejskiego i Rady (UE) nr 609/2013 w odniesieniu do szczegółowych wymogów dotyczących składu żywności specjalnego przeznaczenia medycznego oraz informacji na jej temat,</w:t>
            </w:r>
          </w:p>
        </w:tc>
      </w:tr>
      <w:tr w:rsidR="006B677B" w:rsidRPr="006B677B" w14:paraId="495DE236" w14:textId="77777777" w:rsidTr="006B677B">
        <w:tc>
          <w:tcPr>
            <w:tcW w:w="9781" w:type="dxa"/>
            <w:shd w:val="clear" w:color="auto" w:fill="auto"/>
          </w:tcPr>
          <w:p w14:paraId="108B4189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:rsidRPr="00A63DFE" w14:paraId="15BFDCCD" w14:textId="77777777" w:rsidTr="006B677B">
        <w:tc>
          <w:tcPr>
            <w:tcW w:w="9781" w:type="dxa"/>
            <w:shd w:val="clear" w:color="auto" w:fill="auto"/>
          </w:tcPr>
          <w:p w14:paraId="31BC095C" w14:textId="77777777" w:rsidR="006B677B" w:rsidRPr="00A63DFE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  <w:t>uwzględniając ustawę z dnia 24 stycznia 1977 r. o ochronie zdrowia konsumentów w odniesieniu do środków spożywczych i innych produktów, zmienioną ustawą z dnia 22 marca 1989 r., art. 2, zmieniony ustawą z dnia 22 marca 1989 r.,</w:t>
            </w:r>
          </w:p>
        </w:tc>
      </w:tr>
      <w:tr w:rsidR="006B677B" w:rsidRPr="006B677B" w14:paraId="48E31735" w14:textId="77777777" w:rsidTr="006B677B">
        <w:tc>
          <w:tcPr>
            <w:tcW w:w="9781" w:type="dxa"/>
            <w:shd w:val="clear" w:color="auto" w:fill="auto"/>
          </w:tcPr>
          <w:p w14:paraId="7C8657CC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6B677B" w:rsidRPr="000744BB" w14:paraId="14332AF2" w14:textId="77777777" w:rsidTr="006B677B">
        <w:tc>
          <w:tcPr>
            <w:tcW w:w="9781" w:type="dxa"/>
            <w:shd w:val="clear" w:color="auto" w:fill="auto"/>
          </w:tcPr>
          <w:p w14:paraId="4AFE2DE3" w14:textId="77777777" w:rsidR="006B677B" w:rsidRPr="000744B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ab/>
              <w:t>uwzględniając dekret królewski z dnia 18 lutego 1991 r. w sprawie środków spożywczych specjalnego przeznaczenia żywieniowego,</w:t>
            </w:r>
          </w:p>
        </w:tc>
      </w:tr>
      <w:tr w:rsidR="006B677B" w:rsidRPr="006B677B" w14:paraId="37AF4F28" w14:textId="77777777" w:rsidTr="006B677B">
        <w:tc>
          <w:tcPr>
            <w:tcW w:w="9781" w:type="dxa"/>
            <w:shd w:val="clear" w:color="auto" w:fill="auto"/>
          </w:tcPr>
          <w:p w14:paraId="0A03325A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:rsidRPr="00D16F93" w14:paraId="547A077E" w14:textId="77777777" w:rsidTr="006B677B">
        <w:tc>
          <w:tcPr>
            <w:tcW w:w="9781" w:type="dxa"/>
            <w:shd w:val="clear" w:color="auto" w:fill="auto"/>
          </w:tcPr>
          <w:p w14:paraId="5B7C8EAA" w14:textId="77777777" w:rsidR="006B677B" w:rsidRPr="00D16F93" w:rsidRDefault="006B677B" w:rsidP="00A07F25">
            <w:pPr>
              <w:tabs>
                <w:tab w:val="left" w:pos="356"/>
                <w:tab w:val="left" w:pos="2268"/>
              </w:tabs>
              <w:ind w:firstLine="3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</w:rPr>
              <w:t>uwzględniając powiadomienie skierowane do Komisji Europejskiej dnia 21 czerwca 2021 r. na podstawie art. 5 ust. 1 dyrektywy (UE) 2015/1535 Parlamentu Europejskiego i Rady z dnia 9 września 2015 r. ustanawiającej procedurę udzielania informacji w dziedzinie przepisów technicznych oraz zasad dotyczących usług społeczeństwa informacyjnego,</w:t>
            </w:r>
          </w:p>
        </w:tc>
      </w:tr>
      <w:tr w:rsidR="006B677B" w:rsidRPr="006B677B" w14:paraId="50E8F560" w14:textId="77777777" w:rsidTr="006B677B">
        <w:tc>
          <w:tcPr>
            <w:tcW w:w="9781" w:type="dxa"/>
            <w:shd w:val="clear" w:color="auto" w:fill="auto"/>
          </w:tcPr>
          <w:p w14:paraId="687E50A7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6B677B" w:rsidRPr="00460D6D" w14:paraId="51283FD6" w14:textId="77777777" w:rsidTr="006B677B">
        <w:tc>
          <w:tcPr>
            <w:tcW w:w="9781" w:type="dxa"/>
            <w:shd w:val="clear" w:color="auto" w:fill="auto"/>
          </w:tcPr>
          <w:p w14:paraId="141A547F" w14:textId="7BA4316E" w:rsidR="006B677B" w:rsidRPr="00460D6D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       uwzględniając opinię Najwyższej Rady ds. Zdrowia Publicznego nr 9371 przyjętą w dniu 30 czerwca 2017 r.,</w:t>
            </w:r>
          </w:p>
        </w:tc>
      </w:tr>
      <w:tr w:rsidR="006B677B" w:rsidRPr="006B677B" w14:paraId="175BA5D1" w14:textId="77777777" w:rsidTr="006B677B">
        <w:tc>
          <w:tcPr>
            <w:tcW w:w="9781" w:type="dxa"/>
            <w:shd w:val="clear" w:color="auto" w:fill="auto"/>
          </w:tcPr>
          <w:p w14:paraId="1025DB52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6B677B" w14:paraId="21CAEEFC" w14:textId="77777777" w:rsidTr="006B677B">
        <w:tc>
          <w:tcPr>
            <w:tcW w:w="9781" w:type="dxa"/>
            <w:shd w:val="clear" w:color="auto" w:fill="auto"/>
          </w:tcPr>
          <w:p w14:paraId="31F51247" w14:textId="77777777" w:rsid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  <w:t>uwzględniając opinię Inspektora Finansów wydaną w dniu 22 grudnia 2021 r.,</w:t>
            </w:r>
          </w:p>
        </w:tc>
      </w:tr>
      <w:tr w:rsidR="006B677B" w:rsidRPr="006B677B" w14:paraId="66400F0A" w14:textId="77777777" w:rsidTr="006B677B">
        <w:tc>
          <w:tcPr>
            <w:tcW w:w="9781" w:type="dxa"/>
            <w:shd w:val="clear" w:color="auto" w:fill="auto"/>
          </w:tcPr>
          <w:p w14:paraId="013EEE13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6B677B" w14:paraId="57B2FB05" w14:textId="77777777" w:rsidTr="006B677B">
        <w:tc>
          <w:tcPr>
            <w:tcW w:w="9781" w:type="dxa"/>
            <w:shd w:val="clear" w:color="auto" w:fill="auto"/>
          </w:tcPr>
          <w:p w14:paraId="428DDF0E" w14:textId="77777777" w:rsid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  <w:t>uwzględniając opinie Rady Stanu nr 71.064/3 i nr 71.065/3 wydane w dniu 18 marca 2022 r. zgodnie z art. 84 § 1 akapit pierwszy pkt 2 ustaw o Radzie Stanu skoordynowanych w dniu 12 stycznia 1973 r.,</w:t>
            </w:r>
          </w:p>
        </w:tc>
      </w:tr>
      <w:tr w:rsidR="006B677B" w:rsidRPr="006B677B" w14:paraId="386EBD86" w14:textId="77777777" w:rsidTr="006B677B">
        <w:tc>
          <w:tcPr>
            <w:tcW w:w="9781" w:type="dxa"/>
            <w:shd w:val="clear" w:color="auto" w:fill="auto"/>
          </w:tcPr>
          <w:p w14:paraId="0854CDFB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:rsidRPr="001308BB" w14:paraId="693AA547" w14:textId="77777777" w:rsidTr="006B677B">
        <w:tc>
          <w:tcPr>
            <w:tcW w:w="9781" w:type="dxa"/>
            <w:shd w:val="clear" w:color="auto" w:fill="auto"/>
          </w:tcPr>
          <w:p w14:paraId="0B697F05" w14:textId="77777777" w:rsidR="006B677B" w:rsidRPr="001308B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>na zalecenie Ministra Zdrowia Publicznego i Ministra Rolnictwa,</w:t>
            </w:r>
          </w:p>
        </w:tc>
      </w:tr>
      <w:tr w:rsidR="006B677B" w:rsidRPr="006B677B" w14:paraId="75C1A6E4" w14:textId="77777777" w:rsidTr="006B677B">
        <w:tc>
          <w:tcPr>
            <w:tcW w:w="9781" w:type="dxa"/>
            <w:shd w:val="clear" w:color="auto" w:fill="auto"/>
          </w:tcPr>
          <w:p w14:paraId="09E3730E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z w:val="22"/>
                <w:lang w:val="nl-BE"/>
              </w:rPr>
            </w:pPr>
          </w:p>
        </w:tc>
      </w:tr>
      <w:tr w:rsidR="006B677B" w14:paraId="10D671BB" w14:textId="77777777" w:rsidTr="006B677B">
        <w:tc>
          <w:tcPr>
            <w:tcW w:w="9781" w:type="dxa"/>
            <w:shd w:val="clear" w:color="auto" w:fill="auto"/>
          </w:tcPr>
          <w:p w14:paraId="212C6B9F" w14:textId="77777777" w:rsidR="006B677B" w:rsidRDefault="006B677B" w:rsidP="00A07F25">
            <w:pPr>
              <w:tabs>
                <w:tab w:val="left" w:pos="356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caps/>
                <w:sz w:val="22"/>
              </w:rPr>
              <w:t>niniejszym rozporządza, co następuje</w:t>
            </w:r>
            <w:r>
              <w:rPr>
                <w:rFonts w:ascii="Garamond" w:hAnsi="Garamond"/>
                <w:sz w:val="22"/>
              </w:rPr>
              <w:t>:</w:t>
            </w:r>
          </w:p>
          <w:p w14:paraId="402970BA" w14:textId="77777777" w:rsidR="006B677B" w:rsidRDefault="006B677B" w:rsidP="00A07F25">
            <w:pPr>
              <w:tabs>
                <w:tab w:val="left" w:pos="356"/>
                <w:tab w:val="left" w:pos="2268"/>
              </w:tabs>
              <w:rPr>
                <w:rFonts w:ascii="Garamond" w:hAnsi="Garamond"/>
                <w:b/>
                <w:sz w:val="22"/>
                <w:lang w:val="nl-NL"/>
              </w:rPr>
            </w:pPr>
          </w:p>
        </w:tc>
      </w:tr>
      <w:tr w:rsidR="006B677B" w:rsidRPr="006B677B" w14:paraId="5CDEBF2D" w14:textId="77777777" w:rsidTr="006B677B">
        <w:tc>
          <w:tcPr>
            <w:tcW w:w="9781" w:type="dxa"/>
            <w:shd w:val="clear" w:color="auto" w:fill="auto"/>
          </w:tcPr>
          <w:p w14:paraId="0DD5C477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:rsidRPr="00E44C42" w14:paraId="3D26FE61" w14:textId="77777777" w:rsidTr="006B677B">
        <w:trPr>
          <w:trHeight w:val="852"/>
        </w:trPr>
        <w:tc>
          <w:tcPr>
            <w:tcW w:w="9781" w:type="dxa"/>
            <w:shd w:val="clear" w:color="auto" w:fill="auto"/>
          </w:tcPr>
          <w:p w14:paraId="68591928" w14:textId="77777777" w:rsidR="006B677B" w:rsidRPr="00E44C42" w:rsidRDefault="006B677B" w:rsidP="00A07F25">
            <w:pPr>
              <w:tabs>
                <w:tab w:val="left" w:pos="0"/>
                <w:tab w:val="left" w:pos="709"/>
                <w:tab w:val="left" w:pos="2268"/>
              </w:tabs>
              <w:ind w:firstLine="353"/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lastRenderedPageBreak/>
              <w:t xml:space="preserve">Artykuł 1. </w:t>
            </w:r>
            <w:r>
              <w:rPr>
                <w:rFonts w:ascii="Garamond" w:hAnsi="Garamond"/>
                <w:sz w:val="22"/>
              </w:rPr>
              <w:t>Artykuł 1 § 1 dekretu królewskiego z dnia 18 lutego 1991 r. w sprawie środków spożywczych specjalnego przeznaczenia żywieniowego, ostatnio zmieniony dekretem królewskim z dnia 19 listopada 2007 r., uzupełnia się o pkt 11° w brzmieniu:</w:t>
            </w:r>
          </w:p>
        </w:tc>
      </w:tr>
      <w:tr w:rsidR="006B677B" w:rsidRPr="00344DED" w14:paraId="53F4F4A5" w14:textId="77777777" w:rsidTr="006B677B">
        <w:tc>
          <w:tcPr>
            <w:tcW w:w="9781" w:type="dxa"/>
            <w:shd w:val="clear" w:color="auto" w:fill="auto"/>
          </w:tcPr>
          <w:p w14:paraId="1BF9A9D4" w14:textId="77777777" w:rsidR="006B677B" w:rsidRPr="00344DED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„11° Usługi pozaszpitalne: operatorów, którzy w ramach leczenia pacjenta poza szpitalem instalują, konserwują lub usuwają wyroby medyczne związane z żywieniem dojelitowym rurką w domu pacjentów.”</w:t>
            </w:r>
          </w:p>
        </w:tc>
      </w:tr>
      <w:tr w:rsidR="006B677B" w:rsidRPr="006B677B" w14:paraId="5A9C4B04" w14:textId="77777777" w:rsidTr="006B677B">
        <w:tc>
          <w:tcPr>
            <w:tcW w:w="9781" w:type="dxa"/>
            <w:shd w:val="clear" w:color="auto" w:fill="auto"/>
          </w:tcPr>
          <w:p w14:paraId="775A347B" w14:textId="77777777" w:rsidR="006B677B" w:rsidRPr="006B677B" w:rsidRDefault="006B677B" w:rsidP="00A07F25">
            <w:pPr>
              <w:tabs>
                <w:tab w:val="left" w:pos="356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:rsidRPr="005306C5" w14:paraId="6F448953" w14:textId="77777777" w:rsidTr="006B677B">
        <w:tc>
          <w:tcPr>
            <w:tcW w:w="9781" w:type="dxa"/>
            <w:shd w:val="clear" w:color="auto" w:fill="auto"/>
          </w:tcPr>
          <w:p w14:paraId="38F6CDDE" w14:textId="108ADE1E" w:rsidR="006B677B" w:rsidRPr="005306C5" w:rsidRDefault="006B677B" w:rsidP="00A07F25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 w:rsidR="0076185E">
              <w:rPr>
                <w:rFonts w:ascii="Garamond" w:hAnsi="Garamond"/>
                <w:b/>
                <w:sz w:val="22"/>
              </w:rPr>
              <w:t>Artykuł</w:t>
            </w:r>
            <w:r>
              <w:rPr>
                <w:rFonts w:ascii="Garamond" w:hAnsi="Garamond"/>
                <w:b/>
                <w:sz w:val="22"/>
              </w:rPr>
              <w:t xml:space="preserve"> 2</w:t>
            </w:r>
            <w:r w:rsidR="0076185E">
              <w:rPr>
                <w:rFonts w:ascii="Garamond" w:hAnsi="Garamond"/>
                <w:b/>
                <w:sz w:val="22"/>
              </w:rPr>
              <w:t>.</w:t>
            </w:r>
            <w:r>
              <w:rPr>
                <w:rFonts w:ascii="Garamond" w:hAnsi="Garamond"/>
                <w:b/>
                <w:sz w:val="22"/>
              </w:rPr>
              <w:t xml:space="preserve"> </w:t>
            </w:r>
            <w:r>
              <w:rPr>
                <w:rFonts w:ascii="Garamond" w:hAnsi="Garamond"/>
                <w:sz w:val="22"/>
              </w:rPr>
              <w:t>Załącznik do tego samego dekretu zmienia się zgodnie z załącznikiem do niniejszego dekretu.</w:t>
            </w:r>
          </w:p>
        </w:tc>
      </w:tr>
      <w:tr w:rsidR="006B677B" w:rsidRPr="00AF5FC4" w14:paraId="001351E5" w14:textId="77777777" w:rsidTr="006B677B">
        <w:tc>
          <w:tcPr>
            <w:tcW w:w="9781" w:type="dxa"/>
            <w:shd w:val="clear" w:color="auto" w:fill="auto"/>
          </w:tcPr>
          <w:p w14:paraId="4144B4B7" w14:textId="77777777" w:rsid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</w:p>
          <w:p w14:paraId="4E2BC437" w14:textId="50AB6079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       </w:t>
            </w:r>
            <w:r w:rsidR="0076185E">
              <w:rPr>
                <w:rFonts w:ascii="Garamond" w:hAnsi="Garamond"/>
                <w:b/>
                <w:sz w:val="22"/>
              </w:rPr>
              <w:t>Artykuł</w:t>
            </w:r>
            <w:r>
              <w:rPr>
                <w:rFonts w:ascii="Garamond" w:hAnsi="Garamond"/>
                <w:b/>
                <w:sz w:val="22"/>
              </w:rPr>
              <w:t xml:space="preserve"> 3.</w:t>
            </w:r>
            <w:r>
              <w:rPr>
                <w:rFonts w:ascii="Garamond" w:hAnsi="Garamond"/>
                <w:sz w:val="22"/>
              </w:rPr>
              <w:t xml:space="preserve"> Za wykonanie niniejszego dekretu odpowiada, każdy w zakresie swoich kompetencji, Minister Zdrowia Publicznego i Minister Rolnictwa.</w:t>
            </w:r>
          </w:p>
        </w:tc>
      </w:tr>
      <w:tr w:rsidR="006B677B" w:rsidRPr="006B677B" w14:paraId="33EA9FE7" w14:textId="77777777" w:rsidTr="006B677B">
        <w:tc>
          <w:tcPr>
            <w:tcW w:w="9781" w:type="dxa"/>
            <w:shd w:val="clear" w:color="auto" w:fill="auto"/>
          </w:tcPr>
          <w:p w14:paraId="00395E7D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:rsidRPr="009E37B6" w14:paraId="21C6B599" w14:textId="77777777" w:rsidTr="006B677B">
        <w:tc>
          <w:tcPr>
            <w:tcW w:w="9781" w:type="dxa"/>
            <w:shd w:val="clear" w:color="auto" w:fill="auto"/>
          </w:tcPr>
          <w:p w14:paraId="4B0534C8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Bruksela, dnia 1 września 2022 r.</w:t>
            </w:r>
          </w:p>
        </w:tc>
      </w:tr>
      <w:tr w:rsidR="006B677B" w14:paraId="0809A2E8" w14:textId="77777777" w:rsidTr="006B677B">
        <w:tc>
          <w:tcPr>
            <w:tcW w:w="9781" w:type="dxa"/>
            <w:shd w:val="clear" w:color="auto" w:fill="auto"/>
          </w:tcPr>
          <w:p w14:paraId="5F31795C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:rsidRPr="009215FF" w14:paraId="4ED24CF4" w14:textId="77777777" w:rsidTr="006B677B">
        <w:tc>
          <w:tcPr>
            <w:tcW w:w="9781" w:type="dxa"/>
            <w:shd w:val="clear" w:color="auto" w:fill="auto"/>
          </w:tcPr>
          <w:p w14:paraId="74BB41A5" w14:textId="77777777" w:rsidR="006B677B" w:rsidRPr="006B677B" w:rsidRDefault="006B677B" w:rsidP="00F02D8C">
            <w:pPr>
              <w:tabs>
                <w:tab w:val="left" w:pos="0"/>
                <w:tab w:val="left" w:pos="352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 imieniu Króla:</w:t>
            </w:r>
          </w:p>
        </w:tc>
      </w:tr>
      <w:tr w:rsidR="006B677B" w14:paraId="2B86E8AB" w14:textId="77777777" w:rsidTr="006B677B">
        <w:tc>
          <w:tcPr>
            <w:tcW w:w="9781" w:type="dxa"/>
            <w:shd w:val="clear" w:color="auto" w:fill="auto"/>
          </w:tcPr>
          <w:p w14:paraId="74DF09C6" w14:textId="77777777" w:rsidR="006B677B" w:rsidRPr="006B677B" w:rsidRDefault="006B677B" w:rsidP="00F02D8C">
            <w:pPr>
              <w:tabs>
                <w:tab w:val="left" w:pos="0"/>
                <w:tab w:val="left" w:pos="352"/>
                <w:tab w:val="left" w:pos="2268"/>
              </w:tabs>
              <w:jc w:val="center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14:paraId="081CFCAB" w14:textId="77777777" w:rsidTr="006B677B">
        <w:tc>
          <w:tcPr>
            <w:tcW w:w="9781" w:type="dxa"/>
            <w:shd w:val="clear" w:color="auto" w:fill="auto"/>
          </w:tcPr>
          <w:p w14:paraId="2B556AA3" w14:textId="7DD408B0" w:rsidR="00915EC0" w:rsidRDefault="006B677B" w:rsidP="00F02D8C">
            <w:pPr>
              <w:tabs>
                <w:tab w:val="left" w:pos="0"/>
                <w:tab w:val="left" w:pos="352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Minister Zdrowia Publicznego</w:t>
            </w:r>
          </w:p>
          <w:p w14:paraId="7198A5C9" w14:textId="4203EAD9" w:rsidR="006B677B" w:rsidRPr="006B677B" w:rsidRDefault="00915EC0" w:rsidP="00F02D8C">
            <w:pPr>
              <w:tabs>
                <w:tab w:val="left" w:pos="0"/>
                <w:tab w:val="left" w:pos="352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Frank VANDENBROUCKE</w:t>
            </w:r>
          </w:p>
        </w:tc>
      </w:tr>
      <w:tr w:rsidR="006B677B" w14:paraId="3824261B" w14:textId="77777777" w:rsidTr="006B677B">
        <w:tc>
          <w:tcPr>
            <w:tcW w:w="9781" w:type="dxa"/>
            <w:shd w:val="clear" w:color="auto" w:fill="auto"/>
          </w:tcPr>
          <w:p w14:paraId="5DC70BFF" w14:textId="77777777" w:rsidR="006B677B" w:rsidRPr="006B677B" w:rsidRDefault="006B677B" w:rsidP="00F02D8C">
            <w:pPr>
              <w:tabs>
                <w:tab w:val="left" w:pos="0"/>
                <w:tab w:val="left" w:pos="352"/>
                <w:tab w:val="left" w:pos="2268"/>
              </w:tabs>
              <w:jc w:val="center"/>
              <w:rPr>
                <w:rFonts w:ascii="Garamond" w:hAnsi="Garamond"/>
                <w:sz w:val="22"/>
                <w:lang w:val="nl-BE"/>
              </w:rPr>
            </w:pPr>
          </w:p>
        </w:tc>
      </w:tr>
      <w:tr w:rsidR="006B677B" w14:paraId="0EA8B0A6" w14:textId="77777777" w:rsidTr="006B677B">
        <w:tc>
          <w:tcPr>
            <w:tcW w:w="9781" w:type="dxa"/>
            <w:shd w:val="clear" w:color="auto" w:fill="auto"/>
          </w:tcPr>
          <w:p w14:paraId="21EB064A" w14:textId="4A5E3A6D" w:rsidR="00915EC0" w:rsidRDefault="006B677B" w:rsidP="00F02D8C">
            <w:pPr>
              <w:tabs>
                <w:tab w:val="left" w:pos="0"/>
                <w:tab w:val="left" w:pos="352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Minister Rolnictwa</w:t>
            </w:r>
          </w:p>
          <w:p w14:paraId="5DD6A5EF" w14:textId="00D90D97" w:rsidR="006B677B" w:rsidRPr="006B677B" w:rsidRDefault="00915EC0" w:rsidP="00F02D8C">
            <w:pPr>
              <w:tabs>
                <w:tab w:val="left" w:pos="0"/>
                <w:tab w:val="left" w:pos="352"/>
                <w:tab w:val="left" w:pos="2268"/>
              </w:tabs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David CLARINVAL</w:t>
            </w:r>
          </w:p>
        </w:tc>
      </w:tr>
      <w:tr w:rsidR="006B677B" w14:paraId="09B68836" w14:textId="77777777" w:rsidTr="006B677B">
        <w:tc>
          <w:tcPr>
            <w:tcW w:w="9781" w:type="dxa"/>
            <w:shd w:val="clear" w:color="auto" w:fill="auto"/>
          </w:tcPr>
          <w:p w14:paraId="788D7637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tbl>
            <w:tblPr>
              <w:tblW w:w="978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6B677B" w:rsidRPr="00B905BD" w14:paraId="569C46A1" w14:textId="77777777" w:rsidTr="00A07F25">
              <w:trPr>
                <w:trHeight w:val="207"/>
              </w:trPr>
              <w:tc>
                <w:tcPr>
                  <w:tcW w:w="9781" w:type="dxa"/>
                </w:tcPr>
                <w:p w14:paraId="030AF66C" w14:textId="56C829ED" w:rsidR="006B677B" w:rsidRPr="00B905BD" w:rsidRDefault="006B677B" w:rsidP="006B677B">
                  <w:pPr>
                    <w:tabs>
                      <w:tab w:val="left" w:pos="2410"/>
                    </w:tabs>
                    <w:jc w:val="center"/>
                    <w:rPr>
                      <w:rFonts w:ascii="Garamond" w:hAnsi="Garamond"/>
                      <w:sz w:val="22"/>
                      <w:lang w:val="nl-NL"/>
                    </w:rPr>
                  </w:pPr>
                </w:p>
              </w:tc>
            </w:tr>
          </w:tbl>
          <w:p w14:paraId="7FC1CFDD" w14:textId="77777777" w:rsidR="006B677B" w:rsidRPr="00915EC0" w:rsidRDefault="006B677B" w:rsidP="006B677B">
            <w:pPr>
              <w:jc w:val="both"/>
              <w:rPr>
                <w:rFonts w:ascii="Garamond" w:hAnsi="Garamond" w:cs="TimesNewRoman"/>
                <w:b/>
                <w:bCs/>
                <w:sz w:val="22"/>
                <w:szCs w:val="22"/>
              </w:rPr>
            </w:pPr>
            <w:r>
              <w:br w:type="page"/>
            </w:r>
            <w:r>
              <w:rPr>
                <w:rFonts w:ascii="Garamond" w:hAnsi="Garamond"/>
                <w:b/>
                <w:sz w:val="22"/>
              </w:rPr>
              <w:t>Załącznik do dekretu królewskiego zmieniającego dekret królewski z dnia 18 lutego 1991 r. w sprawie środków spożywczych specjalnego przeznaczenia żywieniowego</w:t>
            </w:r>
          </w:p>
          <w:p w14:paraId="4950596E" w14:textId="77777777" w:rsidR="006B677B" w:rsidRPr="00E8024C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Open Sans" w:hAnsi="Open Sans"/>
                <w:color w:val="000000"/>
                <w:sz w:val="21"/>
                <w:highlight w:val="yellow"/>
              </w:rPr>
              <w:br/>
            </w:r>
            <w:r>
              <w:rPr>
                <w:rFonts w:ascii="Garamond" w:hAnsi="Garamond"/>
                <w:sz w:val="22"/>
              </w:rPr>
              <w:t>„ Załącznik do dekretu królewskiego z dnia 18 lutego 1991 r. w sprawie środków spożywczych specjalnego przeznaczenia żywieniowego”</w:t>
            </w:r>
          </w:p>
          <w:p w14:paraId="2A83AC73" w14:textId="77777777" w:rsidR="006B677B" w:rsidRPr="006B677B" w:rsidRDefault="006B677B" w:rsidP="006B677B">
            <w:pPr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sz w:val="22"/>
                <w:highlight w:val="yellow"/>
              </w:rPr>
              <w:br/>
            </w:r>
            <w:r>
              <w:rPr>
                <w:rFonts w:ascii="Garamond" w:hAnsi="Garamond"/>
                <w:sz w:val="22"/>
              </w:rPr>
              <w:t>W załączniku do dekretu królewskiego z dnia 18 lutego 1991 r. w sprawie środków spożywczych specjalnego przeznaczenia żywieniowego wprowadza się następujące zmiany:</w:t>
            </w:r>
          </w:p>
          <w:p w14:paraId="187B894D" w14:textId="77777777" w:rsidR="006B677B" w:rsidRPr="0050610F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 w:cs="TimesNewRoman"/>
                <w:sz w:val="22"/>
                <w:szCs w:val="22"/>
                <w:highlight w:val="cyan"/>
                <w:lang w:val="nl-NL" w:eastAsia="en-US"/>
              </w:rPr>
            </w:pPr>
          </w:p>
          <w:p w14:paraId="564F1A6D" w14:textId="77777777" w:rsidR="006B677B" w:rsidRPr="00E8024C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1° w części 4 słowa „żywność dietetyczna specjalnego przeznaczenia medycznego” zastępuje się słowami „żywność specjalnego przeznaczenia medycznego”,</w:t>
            </w:r>
          </w:p>
          <w:p w14:paraId="33B59E11" w14:textId="77777777" w:rsidR="006B677B" w:rsidRPr="00E8024C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 w:cs="TimesNewRoman"/>
                <w:sz w:val="22"/>
                <w:szCs w:val="22"/>
                <w:lang w:val="nl-BE" w:eastAsia="en-US"/>
              </w:rPr>
            </w:pPr>
          </w:p>
          <w:p w14:paraId="597DBD2E" w14:textId="77777777" w:rsid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2° pkt 4.2.4. otrzymuje brzmienie:</w:t>
            </w:r>
          </w:p>
          <w:p w14:paraId="47CF60BB" w14:textId="77777777" w:rsidR="006B677B" w:rsidRPr="00F55CE6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Open Sans" w:hAnsi="Open Sans" w:cs="Open Sans"/>
                <w:color w:val="000000"/>
                <w:sz w:val="21"/>
                <w:szCs w:val="21"/>
                <w:lang w:val="nl-BE" w:eastAsia="en-US"/>
              </w:rPr>
            </w:pPr>
          </w:p>
          <w:p w14:paraId="79BEC9A9" w14:textId="77777777" w:rsidR="006B677B" w:rsidRPr="0040111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„4.2.4. Sprzedaż lub dostawa</w:t>
            </w:r>
          </w:p>
          <w:p w14:paraId="274B4F88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 xml:space="preserve">4.2.4.1. Sprzedaż lub dostarczanie użytkownikowi końcowemu żywności przeznaczonej do celów medycznych są dozwolone wyłącznie przez:   </w:t>
            </w:r>
          </w:p>
          <w:p w14:paraId="0F36E70E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1. farmaceutów;</w:t>
            </w:r>
          </w:p>
          <w:p w14:paraId="484AC4F9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  <w:lang w:val="nl-NL" w:eastAsia="en-US"/>
              </w:rPr>
            </w:pPr>
          </w:p>
          <w:p w14:paraId="777369D5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2. placówki opieki zdrowotnej uznane przez jeden z podmiotów stowarzyszonych, pod warunkiem że żywność do celów medycznych jest dostarczana na podstawie recepty lekarskiej i wyłącznie dla pacjentów zinstytucjonalizowanych;</w:t>
            </w:r>
          </w:p>
          <w:p w14:paraId="21B0075E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  <w:lang w:val="nl-NL" w:eastAsia="en-US"/>
              </w:rPr>
            </w:pPr>
          </w:p>
          <w:p w14:paraId="791765B4" w14:textId="77777777" w:rsidR="006B677B" w:rsidRDefault="006B677B" w:rsidP="006B677B">
            <w:p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3. placówki opieki zdrowotnej zatwierdzone przez jeden z podmiotów stowarzyszonych i wyłącznie dla pacjentów zinstytucjonalizowanych w przypadku żywności do celów medycznych podawanej drogą doustną i przeznaczonej dla dorosłych w celu zaspokojenia ich potrzeb żywieniowych w przypadku:</w:t>
            </w:r>
          </w:p>
          <w:p w14:paraId="11A5B250" w14:textId="77777777" w:rsidR="006B677B" w:rsidRPr="00E8024C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niedożywienia lub ryzyka niedożywienia niezwiązanego z innymi chorobami lub stanami chorobowymi; lub</w:t>
            </w:r>
          </w:p>
          <w:p w14:paraId="1CB66DB9" w14:textId="77777777" w:rsidR="006B677B" w:rsidRPr="00E8024C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odwodnienia lub ryzyka odwodnienia; lub</w:t>
            </w:r>
          </w:p>
          <w:p w14:paraId="1D9C10B3" w14:textId="77777777" w:rsidR="006B677B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problemów z połykaniem;</w:t>
            </w:r>
          </w:p>
          <w:p w14:paraId="0739693D" w14:textId="77777777" w:rsidR="006B677B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  <w:highlight w:val="cyan"/>
                <w:lang w:val="nl-NL" w:eastAsia="en-US"/>
              </w:rPr>
            </w:pPr>
          </w:p>
          <w:p w14:paraId="40870434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4. usługodawców pozaszpitalnych zarejestrowanych zgodnie z dekretem królewskim z dnia 15 listopada 2017 r. w sprawie powiadomienia punktu kontaktowego ds. monitorowania urządzeń medycznych w szpitalach oraz rejestracji dystrybutorów wyrobów medycznych, pod warunkiem że żywność przeznaczona do celów medycznych jest wydawana na receptę lekarską;</w:t>
            </w:r>
          </w:p>
          <w:p w14:paraId="16B91DD4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  <w:lang w:val="nl-NL" w:eastAsia="en-US"/>
              </w:rPr>
            </w:pPr>
          </w:p>
          <w:p w14:paraId="56BA06CF" w14:textId="77777777" w:rsidR="006B677B" w:rsidRPr="0026215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5. przedsiębiorstwa handlu detalicznego, pod warunkiem że żywność do celów medycznych jest podawana drogą doustną i przeznaczona jest dla dorosłych w celu zaspokojenia ich potrzeb żywieniowych w przypadku niedożywienia lub ryzyka niedożywienia niezwiązanych z innymi chorobami lub stanami chorobowymi.</w:t>
            </w:r>
          </w:p>
          <w:p w14:paraId="39A42744" w14:textId="77777777" w:rsidR="006B677B" w:rsidRPr="00184445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  <w:highlight w:val="cyan"/>
                <w:lang w:val="nl-NL" w:eastAsia="en-US"/>
              </w:rPr>
            </w:pPr>
          </w:p>
          <w:p w14:paraId="69831D0A" w14:textId="77777777" w:rsidR="006B677B" w:rsidRPr="0040111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br w:type="page"/>
            </w:r>
            <w:r>
              <w:rPr>
                <w:rFonts w:ascii="Garamond" w:hAnsi="Garamond"/>
                <w:sz w:val="22"/>
              </w:rPr>
              <w:t>4.2.4.2. Stosowanie technologii porozumiewania się, sprzedaży lub dostarczania użytkownikowi końcowemu żywności przeznaczonej do celów medycznych na odległość jest dozwolone wyłącznie przez:</w:t>
            </w:r>
          </w:p>
          <w:p w14:paraId="65FDF175" w14:textId="77777777" w:rsidR="006B677B" w:rsidRPr="00401119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1. farmaceutów;</w:t>
            </w:r>
          </w:p>
          <w:p w14:paraId="5A24F3C3" w14:textId="77777777" w:rsidR="006B677B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2. przedsiębiorstwa handlu detalicznego zgodnie z pkt 4.2.4.1 tego załącznika.”</w:t>
            </w:r>
          </w:p>
          <w:p w14:paraId="56A86D02" w14:textId="77777777" w:rsidR="006B677B" w:rsidRPr="00E8024C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  <w:lang w:val="nl-NL" w:eastAsia="en-US"/>
              </w:rPr>
            </w:pPr>
          </w:p>
          <w:p w14:paraId="166AD885" w14:textId="77777777" w:rsidR="006B677B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Uwzględniając naszą decyzję z dnia 1 września 2022 r. zmieniającą dekret królewski z dnia 18 lutego 1991 r. w sprawie środków spożywczych specjalnego przeznaczenia żywieniowego.</w:t>
            </w:r>
          </w:p>
          <w:p w14:paraId="1C012449" w14:textId="77777777" w:rsidR="006B677B" w:rsidRPr="00E8024C" w:rsidRDefault="006B677B" w:rsidP="006B677B">
            <w:pPr>
              <w:jc w:val="both"/>
              <w:rPr>
                <w:rFonts w:ascii="Garamond" w:hAnsi="Garamond" w:cs="TimesNewRoman"/>
                <w:sz w:val="22"/>
                <w:szCs w:val="22"/>
                <w:highlight w:val="cyan"/>
                <w:lang w:val="nl-BE" w:eastAsia="en-US"/>
              </w:rPr>
            </w:pPr>
          </w:p>
          <w:p w14:paraId="49FFE2E5" w14:textId="77777777" w:rsidR="006B677B" w:rsidRDefault="006B677B" w:rsidP="006B677B">
            <w:pPr>
              <w:jc w:val="center"/>
              <w:rPr>
                <w:rFonts w:ascii="Garamond" w:hAnsi="Garamond"/>
                <w:sz w:val="22"/>
                <w:szCs w:val="22"/>
                <w:lang w:val="nl-BE"/>
              </w:rPr>
            </w:pPr>
          </w:p>
          <w:p w14:paraId="78B058A9" w14:textId="3DD47841" w:rsidR="006B677B" w:rsidRDefault="006B677B" w:rsidP="006B677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W imieniu Króla:</w:t>
            </w:r>
          </w:p>
          <w:p w14:paraId="1B163B38" w14:textId="77777777" w:rsidR="00915EC0" w:rsidRPr="00262159" w:rsidRDefault="00915EC0" w:rsidP="006B677B">
            <w:pPr>
              <w:jc w:val="center"/>
              <w:rPr>
                <w:rFonts w:ascii="Garamond" w:hAnsi="Garamond"/>
                <w:sz w:val="22"/>
                <w:szCs w:val="22"/>
                <w:lang w:val="nl-BE"/>
              </w:rPr>
            </w:pPr>
          </w:p>
          <w:p w14:paraId="7D780E23" w14:textId="701F4071" w:rsidR="006B677B" w:rsidRDefault="006B677B" w:rsidP="006B677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Minister Zdrowia Publicznego</w:t>
            </w:r>
          </w:p>
          <w:p w14:paraId="3C169EB5" w14:textId="79F82403" w:rsidR="006B677B" w:rsidRDefault="006B677B" w:rsidP="006B677B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Frank VANDENBROUCKE</w:t>
            </w:r>
          </w:p>
          <w:p w14:paraId="3F8A75C2" w14:textId="77777777" w:rsidR="00915EC0" w:rsidRDefault="00915EC0" w:rsidP="006B677B">
            <w:pPr>
              <w:jc w:val="center"/>
              <w:rPr>
                <w:rFonts w:ascii="Garamond" w:hAnsi="Garamond"/>
                <w:sz w:val="22"/>
                <w:szCs w:val="22"/>
                <w:lang w:val="nl-BE"/>
              </w:rPr>
            </w:pPr>
          </w:p>
          <w:p w14:paraId="53BE080E" w14:textId="3EEA9282" w:rsidR="006B677B" w:rsidRDefault="006B677B" w:rsidP="006B677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</w:rPr>
              <w:t>Minister Rolnictwa</w:t>
            </w:r>
          </w:p>
          <w:p w14:paraId="3C47F321" w14:textId="77777777" w:rsidR="006B677B" w:rsidRPr="0050610F" w:rsidRDefault="006B677B" w:rsidP="006B677B">
            <w:pPr>
              <w:jc w:val="center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sz w:val="22"/>
              </w:rPr>
              <w:t>David CLARINVAL</w:t>
            </w:r>
          </w:p>
          <w:p w14:paraId="65FD18BC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p w14:paraId="39AACEC5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p w14:paraId="68CB39AD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p w14:paraId="57708115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p w14:paraId="1214D74D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p w14:paraId="44946230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p w14:paraId="0B87B4A4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  <w:p w14:paraId="7029ABF3" w14:textId="77777777" w:rsidR="006B677B" w:rsidRPr="006B677B" w:rsidRDefault="006B677B" w:rsidP="006B677B">
            <w:pPr>
              <w:tabs>
                <w:tab w:val="left" w:pos="0"/>
                <w:tab w:val="left" w:pos="352"/>
                <w:tab w:val="left" w:pos="2268"/>
              </w:tabs>
              <w:jc w:val="both"/>
              <w:rPr>
                <w:rFonts w:ascii="Garamond" w:hAnsi="Garamond"/>
                <w:sz w:val="22"/>
                <w:lang w:val="nl-BE"/>
              </w:rPr>
            </w:pPr>
          </w:p>
        </w:tc>
      </w:tr>
    </w:tbl>
    <w:p w14:paraId="537FB39C" w14:textId="77777777" w:rsidR="001F0D48" w:rsidRPr="006B677B" w:rsidRDefault="001F0D48">
      <w:pPr>
        <w:rPr>
          <w:lang w:val="nl-NL"/>
        </w:rPr>
      </w:pPr>
    </w:p>
    <w:sectPr w:rsidR="001F0D48" w:rsidRPr="006B67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55F47" w14:textId="77777777" w:rsidR="000714D0" w:rsidRDefault="000714D0" w:rsidP="0076185E">
      <w:r>
        <w:separator/>
      </w:r>
    </w:p>
  </w:endnote>
  <w:endnote w:type="continuationSeparator" w:id="0">
    <w:p w14:paraId="64061886" w14:textId="77777777" w:rsidR="000714D0" w:rsidRDefault="000714D0" w:rsidP="007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1B8D" w14:textId="77777777" w:rsidR="0076185E" w:rsidRDefault="00761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5A42" w14:textId="77777777" w:rsidR="0076185E" w:rsidRDefault="007618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9E44" w14:textId="77777777" w:rsidR="0076185E" w:rsidRDefault="00761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925B4" w14:textId="77777777" w:rsidR="000714D0" w:rsidRDefault="000714D0" w:rsidP="0076185E">
      <w:r>
        <w:separator/>
      </w:r>
    </w:p>
  </w:footnote>
  <w:footnote w:type="continuationSeparator" w:id="0">
    <w:p w14:paraId="44370D45" w14:textId="77777777" w:rsidR="000714D0" w:rsidRDefault="000714D0" w:rsidP="0076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D89D" w14:textId="77777777" w:rsidR="0076185E" w:rsidRDefault="00761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4196" w14:textId="77777777" w:rsidR="0076185E" w:rsidRDefault="007618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CCC6" w14:textId="77777777" w:rsidR="0076185E" w:rsidRDefault="00761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7B"/>
    <w:rsid w:val="000714D0"/>
    <w:rsid w:val="001F0D48"/>
    <w:rsid w:val="006B677B"/>
    <w:rsid w:val="0076185E"/>
    <w:rsid w:val="008506E7"/>
    <w:rsid w:val="00915EC0"/>
    <w:rsid w:val="00DE7013"/>
    <w:rsid w:val="00F0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5AEC"/>
  <w15:chartTrackingRefBased/>
  <w15:docId w15:val="{4C2FD12D-7F18-43F2-B9F4-A44B252E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B67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B677B"/>
    <w:rPr>
      <w:rFonts w:ascii="Times New Roman" w:eastAsia="Times New Roman" w:hAnsi="Times New Roman" w:cs="Times New Roman"/>
      <w:sz w:val="20"/>
      <w:szCs w:val="20"/>
      <w:lang w:val="pl-PL" w:eastAsia="nl-NL"/>
    </w:rPr>
  </w:style>
  <w:style w:type="paragraph" w:styleId="Header">
    <w:name w:val="header"/>
    <w:basedOn w:val="Normal"/>
    <w:link w:val="HeaderChar"/>
    <w:uiPriority w:val="99"/>
    <w:unhideWhenUsed/>
    <w:rsid w:val="007618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5E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5209</Characters>
  <Application>Microsoft Office Word</Application>
  <DocSecurity>0</DocSecurity>
  <Lines>137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Heyvaert (SPF Santé Publique - FOD Volksgezondheid)</dc:creator>
  <cp:keywords>class='Internal'</cp:keywords>
  <dc:description/>
  <cp:lastModifiedBy>Ines Varvodic</cp:lastModifiedBy>
  <cp:revision>3</cp:revision>
  <dcterms:created xsi:type="dcterms:W3CDTF">2023-01-16T07:21:00Z</dcterms:created>
  <dcterms:modified xsi:type="dcterms:W3CDTF">2023-01-16T07:27:00Z</dcterms:modified>
</cp:coreProperties>
</file>