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b/>
                <w:bCs/>
                <w:sz w:val="20"/>
                <w:szCs w:val="20"/>
                <w:rFonts w:ascii="Arial" w:hAnsi="Arial" w:cs="Arial"/>
              </w:rPr>
            </w:pPr>
            <w:r>
              <w:rPr>
                <w:b/>
                <w:sz w:val="20"/>
                <w:rFonts w:ascii="Arial" w:hAnsi="Arial"/>
              </w:rPr>
              <w:t xml:space="preserve">KONUNGARIKET BELGIEN</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b/>
                <w:bCs/>
                <w:sz w:val="20"/>
                <w:szCs w:val="20"/>
                <w:rFonts w:ascii="Arial" w:hAnsi="Arial" w:cs="Arial"/>
              </w:rPr>
            </w:pPr>
            <w:r>
              <w:rPr>
                <w:b/>
                <w:sz w:val="20"/>
                <w:rFonts w:ascii="Arial" w:hAnsi="Arial"/>
              </w:rPr>
              <w:t xml:space="preserve">FEDERAL OFFENTLIG AVDELNING FÖR EKONOMIN, SMÅ OCH MEDELSTORA FÖRETAG, SMÅ FÖRETAG OCH ENERGI</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sz w:val="20"/>
                <w:szCs w:val="20"/>
                <w:rFonts w:ascii="Arial" w:hAnsi="Arial" w:cs="Arial"/>
              </w:rPr>
            </w:pPr>
            <w:r>
              <w:rPr>
                <w:b/>
                <w:sz w:val="20"/>
                <w:rFonts w:ascii="Arial" w:hAnsi="Arial"/>
              </w:rPr>
              <w:t xml:space="preserve">Utkast till lag </w:t>
            </w:r>
            <w:bookmarkStart w:id="0" w:name="_Hlk105162992"/>
            <w:r>
              <w:rPr>
                <w:b/>
                <w:sz w:val="20"/>
                <w:rFonts w:ascii="Arial" w:hAnsi="Arial"/>
              </w:rPr>
              <w:t xml:space="preserve">om ändring av lagen av den 17 juli 2013</w:t>
            </w:r>
            <w:r>
              <w:rPr>
                <w:b/>
                <w:sz w:val="20"/>
                <w:color w:val="000000"/>
                <w:rFonts w:ascii="Arial" w:hAnsi="Arial"/>
              </w:rPr>
              <w:t xml:space="preserve"> om minsta nominella volymer av hållbara biodrivmedel som ska ingå i de volymer av fossila bränslen som årligen släpps ut för konsumtion</w:t>
            </w:r>
            <w:bookmarkEnd w:id="0"/>
            <w:r>
              <w:rPr>
                <w:sz w:val="20"/>
                <w:rFonts w:ascii="Arial" w:hAnsi="Arial"/>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sz w:val="20"/>
                <w:szCs w:val="20"/>
                <w:rFonts w:ascii="Arial" w:hAnsi="Arial" w:cs="Arial"/>
              </w:rPr>
            </w:pPr>
            <w:r>
              <w:rPr>
                <w:b/>
                <w:sz w:val="20"/>
                <w:rFonts w:ascii="Arial" w:hAnsi="Arial"/>
              </w:rPr>
              <w:t xml:space="preserve">PHILIPPE, belgarnas konung,</w:t>
            </w:r>
          </w:p>
        </w:tc>
      </w:tr>
      <w:tr w:rsidR="006B34E9" w14:paraId="7A3BCDFF" w14:textId="77777777" w:rsidTr="006B34E9">
        <w:tc>
          <w:tcPr>
            <w:tcW w:w="9356" w:type="dxa"/>
          </w:tcPr>
          <w:p w14:paraId="18A12CAE" w14:textId="2751ADBF" w:rsidR="006B34E9" w:rsidRPr="0028568E" w:rsidRDefault="006B34E9" w:rsidP="0028568E">
            <w:pPr>
              <w:jc w:val="center"/>
              <w:rPr>
                <w:sz w:val="20"/>
                <w:szCs w:val="20"/>
                <w:rFonts w:ascii="Arial" w:hAnsi="Arial" w:cs="Arial"/>
              </w:rPr>
            </w:pPr>
            <w:r>
              <w:rPr>
                <w:sz w:val="20"/>
                <w:i/>
                <w:iCs/>
                <w:rFonts w:ascii="Arial" w:hAnsi="Arial"/>
              </w:rPr>
              <w:t xml:space="preserve">utfärdar denna förordning, riktad till alla nu och i framtiden berörda parter,</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sz w:val="20"/>
                <w:szCs w:val="20"/>
                <w:rFonts w:ascii="Arial" w:hAnsi="Arial" w:cs="Arial"/>
              </w:rPr>
            </w:pPr>
            <w:r>
              <w:rPr>
                <w:sz w:val="20"/>
                <w:rFonts w:ascii="Arial" w:hAnsi="Arial"/>
              </w:rPr>
              <w:t xml:space="preserve">på förslag av energiministern.</w:t>
            </w:r>
          </w:p>
        </w:tc>
      </w:tr>
      <w:tr w:rsidR="006B34E9" w:rsidRPr="0028568E" w14:paraId="311BA9F2" w14:textId="77777777" w:rsidTr="006B34E9">
        <w:tc>
          <w:tcPr>
            <w:tcW w:w="9356" w:type="dxa"/>
          </w:tcPr>
          <w:p w14:paraId="2C36104A" w14:textId="2220F80D" w:rsidR="006B34E9" w:rsidRPr="0028568E" w:rsidRDefault="006B34E9" w:rsidP="0028568E">
            <w:pPr>
              <w:jc w:val="center"/>
              <w:rPr>
                <w:sz w:val="20"/>
                <w:szCs w:val="20"/>
                <w:rFonts w:ascii="Arial" w:hAnsi="Arial" w:cs="Arial"/>
              </w:rPr>
            </w:pPr>
            <w:r>
              <w:rPr>
                <w:sz w:val="20"/>
                <w:rFonts w:ascii="Arial" w:hAnsi="Arial"/>
              </w:rPr>
              <w:t xml:space="preserve">HÄRIGENOM FASTSTÄLLS OCH FÖRESKRIVS FÖLJANDE.</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sz w:val="18"/>
                <w:szCs w:val="18"/>
                <w:rFonts w:ascii="Arial" w:hAnsi="Arial" w:cs="Arial"/>
              </w:rPr>
            </w:pPr>
            <w:r>
              <w:rPr>
                <w:sz w:val="18"/>
                <w:rFonts w:ascii="Arial" w:hAnsi="Arial"/>
              </w:rPr>
              <w:t xml:space="preserve">Energiministern ska ansvara för att lägga fram följande utkast till lag för de lagstiftande kamrarna och för att lägga fram följande utkast till lag till representanthuset:</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sz w:val="18"/>
                <w:szCs w:val="18"/>
                <w:rFonts w:ascii="Arial" w:hAnsi="Arial"/>
              </w:rPr>
            </w:pPr>
            <w:r>
              <w:rPr>
                <w:sz w:val="18"/>
                <w:b/>
                <w:rFonts w:ascii="Arial" w:hAnsi="Arial"/>
              </w:rPr>
              <w:t xml:space="preserve">Artikel 1.</w:t>
            </w:r>
            <w:r>
              <w:rPr>
                <w:sz w:val="18"/>
                <w:b/>
                <w:rFonts w:ascii="Arial" w:hAnsi="Arial"/>
              </w:rPr>
              <w:t xml:space="preserve"> </w:t>
            </w:r>
            <w:r>
              <w:rPr>
                <w:sz w:val="18"/>
                <w:rFonts w:ascii="Arial" w:hAnsi="Arial"/>
              </w:rPr>
              <w:t xml:space="preserve">I denna lag regleras en fråga som avses i artikel 78 i konstitutionen.</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sz w:val="18"/>
                <w:szCs w:val="18"/>
                <w:rFonts w:ascii="Arial" w:hAnsi="Arial"/>
              </w:rPr>
            </w:pPr>
            <w:r>
              <w:rPr>
                <w:sz w:val="18"/>
                <w:b/>
                <w:rFonts w:ascii="Arial" w:hAnsi="Arial"/>
              </w:rPr>
              <w:t xml:space="preserve">Artikel 2.</w:t>
            </w:r>
            <w:r>
              <w:rPr>
                <w:sz w:val="18"/>
                <w:b/>
                <w:rFonts w:ascii="Arial" w:hAnsi="Arial"/>
              </w:rPr>
              <w:t xml:space="preserve"> </w:t>
            </w:r>
            <w:r>
              <w:rPr>
                <w:sz w:val="18"/>
                <w:rFonts w:ascii="Arial" w:hAnsi="Arial"/>
              </w:rPr>
              <w:t xml:space="preserve">Genom denna lag införlivas delvis Europaparlamentets och rådets direktiv (EU) 2018/2001 av den 11 december 2018 om främjande av användningen av energi från förnybara energikällor.</w:t>
            </w:r>
            <w:r>
              <w:rPr>
                <w:sz w:val="18"/>
                <w:rFonts w:ascii="Arial" w:hAnsi="Arial"/>
              </w:rPr>
              <w:t xml:space="preserve">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color w:val="000000"/>
                <w:sz w:val="18"/>
                <w:szCs w:val="18"/>
                <w:rFonts w:ascii="Arial" w:hAnsi="Arial" w:cs="Arial"/>
              </w:rPr>
            </w:pPr>
            <w:r>
              <w:rPr>
                <w:sz w:val="18"/>
                <w:rFonts w:ascii="Arial" w:hAnsi="Arial"/>
              </w:rPr>
              <w:t xml:space="preserve">Befintliga lagar och andra författningar som hänvisar till de direktiv som upphävts genom direktiv (EU) 2018/2001 ska tolkas som en hänvisning till det direktivet.</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color w:val="000000"/>
                <w:sz w:val="18"/>
                <w:szCs w:val="18"/>
                <w:rFonts w:ascii="Arial" w:hAnsi="Arial" w:cs="Arial"/>
              </w:rPr>
            </w:pPr>
            <w:r>
              <w:rPr>
                <w:color w:val="000000"/>
                <w:sz w:val="18"/>
                <w:b/>
                <w:rFonts w:ascii="Arial" w:hAnsi="Arial"/>
              </w:rPr>
              <w:t xml:space="preserve">Artikel 3.</w:t>
            </w:r>
            <w:r>
              <w:rPr>
                <w:color w:val="000000"/>
                <w:sz w:val="18"/>
                <w:rFonts w:ascii="Arial" w:hAnsi="Arial"/>
              </w:rPr>
              <w:t xml:space="preserve"> </w:t>
            </w:r>
            <w:r>
              <w:rPr>
                <w:color w:val="000000"/>
                <w:sz w:val="18"/>
                <w:rFonts w:ascii="Arial" w:hAnsi="Arial"/>
              </w:rPr>
              <w:t xml:space="preserve">I artikel 2 i lagen av den 17 juli 2013 om minsta nominella volymer av hållbara biodrivmedel som ska ingå i de volymer av fossila bränslen som årligen släpps ut för konsumtion ska följande ändringar göras</w:t>
            </w:r>
            <w:r>
              <w:rPr>
                <w:color w:val="000000"/>
                <w:sz w:val="18"/>
                <w:rFonts w:ascii="Arial" w:hAnsi="Arial"/>
              </w:rPr>
              <w:t xml:space="preserve">:</w:t>
            </w:r>
          </w:p>
          <w:p w14:paraId="5B4BF699" w14:textId="2CB4BC0A" w:rsidR="006B34E9" w:rsidRDefault="006B34E9" w:rsidP="00260562">
            <w:pPr>
              <w:jc w:val="both"/>
              <w:rPr>
                <w:color w:val="000000"/>
                <w:sz w:val="18"/>
                <w:szCs w:val="18"/>
                <w:rFonts w:ascii="Arial" w:hAnsi="Arial" w:cs="Arial"/>
              </w:rPr>
            </w:pPr>
            <w:r>
              <w:rPr>
                <w:color w:val="000000"/>
                <w:sz w:val="18"/>
                <w:rFonts w:ascii="Arial" w:hAnsi="Arial"/>
              </w:rPr>
              <w:t xml:space="preserve">a) Led 3 ska ersättas med följande:</w:t>
            </w:r>
          </w:p>
          <w:p w14:paraId="4C328E28" w14:textId="5C6D4C05" w:rsidR="006B34E9" w:rsidRDefault="006B34E9" w:rsidP="00260562">
            <w:pPr>
              <w:jc w:val="both"/>
              <w:rPr>
                <w:color w:val="000000"/>
                <w:sz w:val="18"/>
                <w:szCs w:val="18"/>
                <w:rFonts w:ascii="Arial" w:hAnsi="Arial" w:cs="Arial"/>
              </w:rPr>
            </w:pPr>
            <w:r>
              <w:rPr>
                <w:color w:val="000000"/>
                <w:sz w:val="18"/>
                <w:rFonts w:ascii="Arial" w:hAnsi="Arial"/>
              </w:rPr>
              <w:t xml:space="preserve">”3. </w:t>
            </w:r>
            <w:r>
              <w:rPr>
                <w:color w:val="000000"/>
                <w:sz w:val="18"/>
                <w:i/>
                <w:iCs/>
                <w:rFonts w:ascii="Arial" w:hAnsi="Arial"/>
              </w:rPr>
              <w:t xml:space="preserve">kunglig förordning av den 17 december 2021</w:t>
            </w:r>
            <w:r>
              <w:rPr>
                <w:color w:val="000000"/>
                <w:sz w:val="18"/>
                <w:rFonts w:ascii="Arial" w:hAnsi="Arial"/>
              </w:rPr>
              <w:t xml:space="preserve">:</w:t>
            </w:r>
            <w:r>
              <w:rPr>
                <w:color w:val="000000"/>
                <w:sz w:val="18"/>
                <w:rFonts w:ascii="Arial" w:hAnsi="Arial"/>
              </w:rPr>
              <w:t xml:space="preserve"> </w:t>
            </w:r>
            <w:r>
              <w:rPr>
                <w:color w:val="000000"/>
                <w:sz w:val="18"/>
                <w:rFonts w:ascii="Arial" w:hAnsi="Arial"/>
              </w:rPr>
              <w:t xml:space="preserve">kunglig förordning av den 17 december 2021 om fastställande av produktstandarder för bränslen av förnybart ursprung avsedda för transportsektorn och för bränslen eller drivmedel baserade på återvunnet kol avsedda för transportsektorn.”</w:t>
            </w:r>
          </w:p>
          <w:p w14:paraId="637451A7" w14:textId="458B929A" w:rsidR="006B34E9" w:rsidRDefault="006B34E9" w:rsidP="00260562">
            <w:pPr>
              <w:jc w:val="both"/>
              <w:rPr>
                <w:color w:val="000000"/>
                <w:sz w:val="18"/>
                <w:szCs w:val="18"/>
                <w:rFonts w:ascii="Arial" w:hAnsi="Arial" w:cs="Arial"/>
              </w:rPr>
            </w:pPr>
            <w:r>
              <w:rPr>
                <w:color w:val="000000"/>
                <w:sz w:val="18"/>
                <w:rFonts w:ascii="Arial" w:hAnsi="Arial"/>
              </w:rPr>
              <w:t xml:space="preserve">B) Led 4 ska ersättas med följande:</w:t>
            </w:r>
          </w:p>
          <w:p w14:paraId="4A848094" w14:textId="2AEA12A2" w:rsidR="006B34E9" w:rsidRDefault="006B34E9" w:rsidP="00260562">
            <w:pPr>
              <w:jc w:val="both"/>
              <w:rPr>
                <w:color w:val="000000"/>
                <w:sz w:val="18"/>
                <w:szCs w:val="18"/>
                <w:rFonts w:ascii="Arial" w:hAnsi="Arial" w:cs="Arial"/>
              </w:rPr>
            </w:pPr>
            <w:r>
              <w:rPr>
                <w:color w:val="000000"/>
                <w:sz w:val="18"/>
                <w:rFonts w:ascii="Arial" w:hAnsi="Arial"/>
              </w:rPr>
              <w:t xml:space="preserve">”4. </w:t>
            </w:r>
            <w:r>
              <w:rPr>
                <w:color w:val="000000"/>
                <w:sz w:val="18"/>
                <w:i/>
                <w:iCs/>
                <w:rFonts w:ascii="Arial" w:hAnsi="Arial"/>
              </w:rPr>
              <w:t xml:space="preserve">ministerdekret av den 19 maj 2021</w:t>
            </w:r>
            <w:r>
              <w:rPr>
                <w:color w:val="000000"/>
                <w:sz w:val="18"/>
                <w:rFonts w:ascii="Arial" w:hAnsi="Arial"/>
              </w:rPr>
              <w:t xml:space="preserve">:</w:t>
            </w:r>
            <w:r>
              <w:rPr>
                <w:color w:val="000000"/>
                <w:sz w:val="18"/>
                <w:rFonts w:ascii="Arial" w:hAnsi="Arial"/>
              </w:rPr>
              <w:t xml:space="preserve"> </w:t>
            </w:r>
            <w:r>
              <w:rPr>
                <w:color w:val="000000"/>
                <w:sz w:val="18"/>
                <w:rFonts w:ascii="Arial" w:hAnsi="Arial"/>
              </w:rPr>
              <w:t xml:space="preserve">ministerdekret av den 19 maj 2021 om registrering av personer som är verksamma i landets leveranskedja och av konsumenter av petroleum och petroleumprodukter.”</w:t>
            </w:r>
          </w:p>
          <w:p w14:paraId="584584C2" w14:textId="66BE9150" w:rsidR="006B34E9" w:rsidRDefault="006B34E9" w:rsidP="00260562">
            <w:pPr>
              <w:jc w:val="both"/>
              <w:rPr>
                <w:color w:val="000000"/>
                <w:sz w:val="18"/>
                <w:szCs w:val="18"/>
                <w:rFonts w:ascii="Arial" w:hAnsi="Arial" w:cs="Arial"/>
              </w:rPr>
            </w:pPr>
            <w:r>
              <w:rPr>
                <w:color w:val="000000"/>
                <w:sz w:val="18"/>
                <w:rFonts w:ascii="Arial" w:hAnsi="Arial"/>
              </w:rPr>
              <w:t xml:space="preserve">c) I led 5 ska orden ”ministerdekret av den 27 december 1978” ersättas med orden ”ministerdekret av den 19 maj 2021”.</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color w:val="000000"/>
                <w:sz w:val="18"/>
                <w:szCs w:val="18"/>
                <w:rFonts w:ascii="Arial" w:hAnsi="Arial" w:cs="Arial"/>
              </w:rPr>
            </w:pPr>
            <w:r>
              <w:rPr>
                <w:color w:val="000000"/>
                <w:sz w:val="18"/>
                <w:rFonts w:ascii="Arial" w:hAnsi="Arial"/>
              </w:rPr>
              <w:t xml:space="preserve">d) Denna artikel ska kompletteras med led 24, med följande lydelse:</w:t>
            </w:r>
            <w:r>
              <w:rPr>
                <w:color w:val="000000"/>
                <w:sz w:val="18"/>
                <w:rFonts w:ascii="Arial" w:hAnsi="Arial"/>
              </w:rPr>
              <w:t xml:space="preserve"> </w:t>
            </w:r>
            <w:r>
              <w:rPr>
                <w:color w:val="000000"/>
                <w:sz w:val="18"/>
                <w:rFonts w:ascii="Arial" w:hAnsi="Arial"/>
              </w:rPr>
              <w:t xml:space="preserve">”24. </w:t>
            </w:r>
            <w:r>
              <w:rPr>
                <w:color w:val="000000"/>
                <w:sz w:val="18"/>
                <w:i/>
                <w:iCs/>
                <w:rFonts w:ascii="Arial" w:hAnsi="Arial"/>
              </w:rPr>
              <w:t xml:space="preserve">kunglig förordning av den 16 juli 2014</w:t>
            </w:r>
            <w:r>
              <w:rPr>
                <w:color w:val="000000"/>
                <w:sz w:val="18"/>
                <w:rFonts w:ascii="Arial" w:hAnsi="Arial"/>
              </w:rPr>
              <w:t xml:space="preserve">: kunglig förordning av den 16 juli 2014 om informationsskyldigheter och administrativa skyldigheter avseende biodrivmedel i kategorierna B och C, i enlighet med lagen av den 17 juli 2013 om minsta nominella volymer av hållbara biodrivmedel som ska ingå i de volymer av fossila bränslen som årligen släpps ut för konsumtion.”</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color w:val="000000"/>
                <w:sz w:val="18"/>
                <w:szCs w:val="18"/>
                <w:rFonts w:ascii="Arial" w:hAnsi="Arial" w:cs="Arial"/>
              </w:rPr>
            </w:pPr>
            <w:r>
              <w:rPr>
                <w:color w:val="000000"/>
                <w:sz w:val="18"/>
                <w:rFonts w:ascii="Arial" w:hAnsi="Arial"/>
              </w:rPr>
              <w:t xml:space="preserve">e) Denna artikel ska kompletteras med led 25, med följande lydelse:</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color w:val="000000"/>
                <w:sz w:val="18"/>
                <w:szCs w:val="18"/>
                <w:rFonts w:ascii="Arial" w:hAnsi="Arial" w:cs="Arial"/>
              </w:rPr>
            </w:pPr>
            <w:r>
              <w:rPr>
                <w:color w:val="000000"/>
                <w:sz w:val="18"/>
                <w:rFonts w:ascii="Arial" w:hAnsi="Arial"/>
              </w:rPr>
              <w:t xml:space="preserve">”25. </w:t>
            </w:r>
            <w:r>
              <w:rPr>
                <w:color w:val="000000"/>
                <w:sz w:val="18"/>
                <w:i/>
                <w:iCs/>
                <w:rFonts w:ascii="Arial" w:hAnsi="Arial"/>
              </w:rPr>
              <w:t xml:space="preserve">delegerad förordning (EU) 2019/807</w:t>
            </w:r>
            <w:r>
              <w:rPr>
                <w:color w:val="000000"/>
                <w:sz w:val="18"/>
                <w:rFonts w:ascii="Arial" w:hAnsi="Arial"/>
              </w:rPr>
              <w:t xml:space="preserve">:</w:t>
            </w:r>
            <w:r>
              <w:rPr>
                <w:color w:val="000000"/>
                <w:sz w:val="18"/>
                <w:rFonts w:ascii="Arial" w:hAnsi="Arial"/>
              </w:rPr>
              <w:t xml:space="preserve"> </w:t>
            </w:r>
            <w:r>
              <w:rPr>
                <w:color w:val="000000"/>
                <w:sz w:val="18"/>
                <w:rFonts w:ascii="Arial" w:hAnsi="Arial"/>
              </w:rPr>
              <w:t xml:space="preserve">Kommissionens delegerade förordning (EU) 2019/807 av den 13 mars 2019 om komplettering av Europaparlamentets och rådets direktiv (EU) 2018/2001 vad gäller fastställande av bränsleråvaror med hög risk för indirekt ändring av markanvändning för vilka en betydande utvidgning av produktionsområdet till mark med stora kollager kan observeras och certifiering av biodrivmedel, flytande biobränslen och biomassabränslen med låg risk för indirekt ändrad markanvändning.”</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b/>
                <w:sz w:val="18"/>
                <w:szCs w:val="18"/>
                <w:rFonts w:ascii="Arial" w:hAnsi="Arial"/>
              </w:rPr>
            </w:pPr>
            <w:r>
              <w:rPr>
                <w:sz w:val="18"/>
                <w:b/>
                <w:rFonts w:ascii="Arial" w:hAnsi="Arial"/>
              </w:rPr>
              <w:t xml:space="preserve">Artikel 4.</w:t>
            </w:r>
            <w:r>
              <w:rPr>
                <w:sz w:val="18"/>
                <w:b/>
                <w:rFonts w:ascii="Arial" w:hAnsi="Arial"/>
              </w:rPr>
              <w:t xml:space="preserve"> </w:t>
            </w:r>
            <w:r>
              <w:rPr>
                <w:sz w:val="18"/>
                <w:rFonts w:ascii="Arial" w:hAnsi="Arial"/>
              </w:rPr>
              <w:t xml:space="preserve">I samma </w:t>
            </w:r>
            <w:r>
              <w:rPr>
                <w:sz w:val="18"/>
                <w:color w:val="000000"/>
                <w:rFonts w:ascii="Arial" w:hAnsi="Arial"/>
              </w:rPr>
              <w:t xml:space="preserve">lag, i dess ändrade lydelse enligt lagen av den 26 december 2015</w:t>
            </w:r>
            <w:r>
              <w:rPr>
                <w:sz w:val="18"/>
                <w:rFonts w:ascii="Arial" w:hAnsi="Arial"/>
              </w:rPr>
              <w:t xml:space="preserve">, ska artikel 7/1 införas, med följande lydelse:</w:t>
            </w:r>
            <w:r>
              <w:rPr>
                <w:sz w:val="18"/>
                <w:b/>
                <w:rFonts w:ascii="Arial" w:hAnsi="Arial"/>
              </w:rPr>
              <w:t xml:space="preserve"> </w:t>
            </w:r>
          </w:p>
          <w:p w14:paraId="1D0D95C8" w14:textId="251279C4" w:rsidR="006B34E9" w:rsidRDefault="006B34E9" w:rsidP="0028568E">
            <w:pPr>
              <w:jc w:val="both"/>
              <w:rPr>
                <w:sz w:val="18"/>
                <w:szCs w:val="18"/>
                <w:rFonts w:ascii="Arial" w:hAnsi="Arial" w:cs="Arial"/>
              </w:rPr>
            </w:pPr>
            <w:r>
              <w:rPr>
                <w:sz w:val="18"/>
                <w:rFonts w:ascii="Arial" w:hAnsi="Arial"/>
              </w:rPr>
              <w:t xml:space="preserve">”Artikel 7/1.</w:t>
            </w:r>
            <w:r>
              <w:rPr>
                <w:sz w:val="18"/>
                <w:rFonts w:ascii="Arial" w:hAnsi="Arial"/>
              </w:rPr>
              <w:t xml:space="preserve"> </w:t>
            </w:r>
            <w:r>
              <w:rPr>
                <w:sz w:val="18"/>
                <w:rFonts w:ascii="Arial" w:hAnsi="Arial"/>
              </w:rPr>
              <w:t xml:space="preserve">1 §.</w:t>
            </w:r>
            <w:r>
              <w:rPr>
                <w:sz w:val="18"/>
                <w:rFonts w:ascii="Arial" w:hAnsi="Arial"/>
              </w:rPr>
              <w:t xml:space="preserve"> </w:t>
            </w:r>
            <w:r>
              <w:rPr>
                <w:sz w:val="18"/>
                <w:rFonts w:ascii="Arial" w:hAnsi="Arial"/>
              </w:rPr>
              <w:t xml:space="preserve">Från och med den 1 januari 2023 ska biodrivmedel som produceras av palmolja, inbegripet andra produkter som direkt eller indirekt härrör från palmolja, inte längre bidra till att uppnå den inblandningsvolym som föreskrivs i artikel 7.1 och de som ingår i de sekundära målen i artikel 4.1.1, 4.1.2, 4.1.3 och 4.1.4 i den kungliga förordningen av den 4 maj 2018 om fastställande av minsta nominella volymer av hållbara biodrivmedel som ska ingå i de volymer av bränslen som årligen släpps ut för konsumtion.</w:t>
            </w:r>
            <w:r>
              <w:rPr>
                <w:sz w:val="18"/>
                <w:rFonts w:ascii="Arial" w:hAnsi="Arial"/>
              </w:rPr>
              <w:t xml:space="preserve">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sz w:val="18"/>
                <w:szCs w:val="18"/>
                <w:rFonts w:ascii="Arial" w:hAnsi="Arial" w:cs="Arial"/>
              </w:rPr>
            </w:pPr>
            <w:r>
              <w:rPr>
                <w:sz w:val="18"/>
                <w:rFonts w:ascii="Arial" w:hAnsi="Arial"/>
              </w:rPr>
              <w:t xml:space="preserve">Denna punkt ska inte tillämpas på råvaror som förtecknas i bilaga IV till den kungliga förordningen av den 16 juli 2014 och på biodrivmedel, flytande biobränslen eller biomassabränslen som intygas innebära låga risker för indirekt ändring av markanvändning, i enlighet med bestämmelserna och kriterierna för detta i artiklarna 4 och 5 i delegerad förordning (EU) 2019/807.</w:t>
            </w:r>
            <w:r>
              <w:rPr>
                <w:sz w:val="18"/>
                <w:rFonts w:ascii="Arial" w:hAnsi="Arial"/>
              </w:rPr>
              <w:t xml:space="preserve">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sz w:val="18"/>
                <w:rFonts w:ascii="Arial" w:hAnsi="Arial"/>
              </w:rPr>
              <w:t xml:space="preserve">2 §.</w:t>
            </w:r>
            <w:r>
              <w:rPr>
                <w:sz w:val="18"/>
                <w:rFonts w:ascii="Arial" w:hAnsi="Arial"/>
              </w:rPr>
              <w:t xml:space="preserve"> </w:t>
            </w:r>
            <w:r>
              <w:rPr>
                <w:sz w:val="18"/>
                <w:rFonts w:ascii="Arial" w:hAnsi="Arial"/>
              </w:rPr>
              <w:t xml:space="preserve">Från och med den 1 juli 2023 ska biodrivmedel som produceras av sojabönolja, inbegripet andra produkter som direkt eller indirekt härrör från sojabönolja, inte längre bidra till att uppnå den inblandningsvolym som föreskrivs i artikel 7.1 och de som ingår i de sekundära målen i artikel 4.1.1, 4.1.2, 4.1.3 och 4.1.4 i den kungliga förordningen av den 4 maj 2018 om fastställande av minsta nominella volymer av hållbara biodrivmedel som ska ingå i de volymer av bränslen som årligen släpps ut för konsumtion</w:t>
            </w:r>
            <w:r>
              <w:rPr>
                <w:sz w:val="18"/>
              </w:rPr>
              <w:t xml:space="preserve">.</w:t>
            </w:r>
            <w:r>
              <w:rPr>
                <w:sz w:val="18"/>
              </w:rPr>
              <w:t xml:space="preserve">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b/>
                <w:sz w:val="18"/>
                <w:szCs w:val="18"/>
                <w:rFonts w:ascii="Arial" w:hAnsi="Arial"/>
              </w:rPr>
            </w:pPr>
            <w:r>
              <w:rPr>
                <w:sz w:val="18"/>
                <w:rFonts w:ascii="Arial" w:hAnsi="Arial"/>
              </w:rPr>
              <w:t xml:space="preserve">Denna punkt ska inte tillämpas på råvaror som förtecknas i bilaga IV till den kungliga förordningen av den 16 juli 2014 och på biodrivmedel, flytande biobränslen eller biomassabränslen som intygas innebära låga risker för indirekt ändring av markanvändning, i enlighet med bestämmelserna och kriterierna för detta i artiklarna 4 och 5 i delegerad förordning (EU) 2019/807.”</w:t>
            </w:r>
            <w:r>
              <w:rPr>
                <w:sz w:val="18"/>
                <w:rFonts w:ascii="Arial" w:hAnsi="Arial"/>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color w:val="000000"/>
                <w:sz w:val="18"/>
                <w:szCs w:val="18"/>
                <w:rFonts w:ascii="Arial" w:hAnsi="Arial" w:cs="Arial"/>
              </w:rPr>
            </w:pPr>
            <w:r>
              <w:rPr>
                <w:sz w:val="18"/>
                <w:b/>
                <w:rFonts w:ascii="Arial" w:hAnsi="Arial"/>
              </w:rPr>
              <w:t xml:space="preserve">Artikel 5.</w:t>
            </w:r>
            <w:r>
              <w:rPr>
                <w:sz w:val="18"/>
                <w:b/>
                <w:rFonts w:ascii="Arial" w:hAnsi="Arial"/>
              </w:rPr>
              <w:t xml:space="preserve"> </w:t>
            </w:r>
            <w:r>
              <w:rPr>
                <w:sz w:val="18"/>
                <w:rFonts w:ascii="Arial" w:hAnsi="Arial"/>
              </w:rPr>
              <w:t xml:space="preserve">I artikel 8.1 i samma lag ska </w:t>
            </w:r>
            <w:r>
              <w:rPr>
                <w:sz w:val="18"/>
                <w:color w:val="000000"/>
                <w:rFonts w:ascii="Arial" w:hAnsi="Arial"/>
              </w:rPr>
              <w:t xml:space="preserve">orden ”2 § och 4 §” ersättas med orden ”2 § och 6 §”.</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color w:val="000000"/>
                <w:sz w:val="18"/>
                <w:szCs w:val="18"/>
                <w:rFonts w:ascii="Arial" w:hAnsi="Arial" w:cs="Arial"/>
              </w:rPr>
            </w:pPr>
            <w:r>
              <w:rPr>
                <w:sz w:val="18"/>
                <w:b/>
                <w:rFonts w:ascii="Arial" w:hAnsi="Arial"/>
              </w:rPr>
              <w:t xml:space="preserve">Artikel 6.</w:t>
            </w:r>
            <w:r>
              <w:rPr>
                <w:sz w:val="18"/>
                <w:b/>
                <w:rFonts w:ascii="Arial" w:hAnsi="Arial"/>
              </w:rPr>
              <w:t xml:space="preserve"> </w:t>
            </w:r>
            <w:r>
              <w:rPr>
                <w:sz w:val="18"/>
                <w:rFonts w:ascii="Arial" w:hAnsi="Arial"/>
              </w:rPr>
              <w:t xml:space="preserve">I </w:t>
            </w:r>
            <w:r>
              <w:rPr>
                <w:sz w:val="18"/>
                <w:color w:val="000000"/>
                <w:rFonts w:ascii="Arial" w:hAnsi="Arial"/>
              </w:rPr>
              <w:t xml:space="preserve">artikel 9 i samma lag ska orden ”7 § och 8 §” ersättas med orden ”12 § och 13 §”.</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bCs/>
                <w:sz w:val="18"/>
                <w:szCs w:val="18"/>
                <w:rFonts w:ascii="Arial" w:hAnsi="Arial"/>
              </w:rPr>
            </w:pPr>
            <w:r>
              <w:rPr>
                <w:sz w:val="18"/>
                <w:b/>
                <w:rFonts w:ascii="Arial" w:hAnsi="Arial"/>
              </w:rPr>
              <w:t xml:space="preserve">Artikel 7.</w:t>
            </w:r>
            <w:r>
              <w:rPr>
                <w:sz w:val="18"/>
                <w:b/>
                <w:rFonts w:ascii="Arial" w:hAnsi="Arial"/>
              </w:rPr>
              <w:t xml:space="preserve"> </w:t>
            </w:r>
            <w:r>
              <w:rPr>
                <w:sz w:val="18"/>
                <w:rFonts w:ascii="Arial" w:hAnsi="Arial"/>
              </w:rPr>
              <w:t xml:space="preserve">I artikel 12.1 i samma lag ska följande ändringar göras:</w:t>
            </w:r>
          </w:p>
          <w:p w14:paraId="4B19C096" w14:textId="2A95C7CD" w:rsidR="006B34E9" w:rsidRDefault="006B34E9" w:rsidP="007953D5">
            <w:pPr>
              <w:jc w:val="both"/>
              <w:rPr>
                <w:color w:val="000000"/>
                <w:sz w:val="18"/>
                <w:szCs w:val="18"/>
                <w:rFonts w:ascii="Arial" w:hAnsi="Arial" w:cs="Arial"/>
              </w:rPr>
            </w:pPr>
            <w:r>
              <w:rPr>
                <w:sz w:val="18"/>
                <w:rFonts w:ascii="Arial" w:hAnsi="Arial"/>
              </w:rPr>
              <w:t xml:space="preserve">1. Orden ”</w:t>
            </w:r>
            <w:r>
              <w:rPr>
                <w:sz w:val="18"/>
                <w:color w:val="000000"/>
                <w:rFonts w:ascii="Arial" w:hAnsi="Arial"/>
              </w:rPr>
              <w:t xml:space="preserve">den kungliga förordningen av den 26 november 2011 om fastställande av produktstandarder för biodrivmedel” ska ersättas med orden ”kunglig förordning av den 17 december 2021”.</w:t>
            </w:r>
          </w:p>
          <w:p w14:paraId="207381E6" w14:textId="1C37066E" w:rsidR="006B34E9" w:rsidRDefault="006B34E9" w:rsidP="007953D5">
            <w:pPr>
              <w:jc w:val="both"/>
              <w:rPr>
                <w:color w:val="000000"/>
                <w:sz w:val="18"/>
                <w:szCs w:val="18"/>
                <w:rFonts w:ascii="Arial" w:hAnsi="Arial" w:cs="Arial"/>
              </w:rPr>
            </w:pPr>
            <w:r>
              <w:rPr>
                <w:color w:val="000000"/>
                <w:sz w:val="18"/>
                <w:rFonts w:ascii="Arial" w:hAnsi="Arial"/>
              </w:rPr>
              <w:t xml:space="preserve">2. Orden ”certifieringarna” ska ersättas med orden ”produktdeklarationer”.</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bCs/>
                <w:sz w:val="18"/>
                <w:szCs w:val="18"/>
                <w:rFonts w:ascii="Arial" w:hAnsi="Arial" w:cs="Arial"/>
              </w:rPr>
            </w:pPr>
            <w:r>
              <w:rPr>
                <w:sz w:val="18"/>
                <w:b/>
                <w:rFonts w:ascii="Arial" w:hAnsi="Arial"/>
              </w:rPr>
              <w:t xml:space="preserve">Artikel 8.</w:t>
            </w:r>
            <w:r>
              <w:rPr>
                <w:sz w:val="18"/>
                <w:b/>
                <w:rFonts w:ascii="Arial" w:hAnsi="Arial"/>
              </w:rPr>
              <w:t xml:space="preserve"> </w:t>
            </w:r>
            <w:r>
              <w:rPr>
                <w:sz w:val="18"/>
                <w:rFonts w:ascii="Arial" w:hAnsi="Arial"/>
              </w:rPr>
              <w:t xml:space="preserve">I artikel 13.2 i samma lag görs följande ändringar:</w:t>
            </w:r>
          </w:p>
          <w:p w14:paraId="01B457E5" w14:textId="79566F67" w:rsidR="006B34E9" w:rsidRDefault="006B34E9" w:rsidP="001722F3">
            <w:pPr>
              <w:jc w:val="both"/>
              <w:rPr>
                <w:color w:val="000000"/>
                <w:sz w:val="18"/>
                <w:szCs w:val="18"/>
                <w:rFonts w:ascii="Arial" w:hAnsi="Arial" w:cs="Arial"/>
              </w:rPr>
            </w:pPr>
            <w:r>
              <w:rPr>
                <w:color w:val="000000"/>
                <w:sz w:val="18"/>
                <w:rFonts w:ascii="Arial" w:hAnsi="Arial"/>
              </w:rPr>
              <w:t xml:space="preserve">1. I punkterna 1 och 3 ska orden ”3 § och 5 §” ersättas med orden ”3 § och 7 §”.</w:t>
            </w:r>
          </w:p>
          <w:p w14:paraId="59BA53E4" w14:textId="03FCB643" w:rsidR="006B34E9" w:rsidRDefault="006B34E9" w:rsidP="001722F3">
            <w:pPr>
              <w:jc w:val="both"/>
              <w:rPr>
                <w:color w:val="000000"/>
                <w:sz w:val="18"/>
                <w:szCs w:val="18"/>
                <w:rFonts w:ascii="Arial" w:hAnsi="Arial" w:cs="Arial"/>
              </w:rPr>
            </w:pPr>
            <w:r>
              <w:rPr>
                <w:color w:val="000000"/>
                <w:sz w:val="18"/>
                <w:rFonts w:ascii="Arial" w:hAnsi="Arial"/>
              </w:rPr>
              <w:t xml:space="preserve">2. I punkt 3 ska orden ”2 § och 4 §” ersättas med orden ”2 § och 6 §”.</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color w:val="000000"/>
                <w:sz w:val="18"/>
                <w:szCs w:val="18"/>
                <w:rFonts w:ascii="Arial" w:hAnsi="Arial" w:cs="Arial"/>
              </w:rPr>
            </w:pPr>
            <w:r>
              <w:rPr>
                <w:sz w:val="18"/>
                <w:b/>
                <w:rFonts w:ascii="Arial" w:hAnsi="Arial"/>
              </w:rPr>
              <w:t xml:space="preserve">Artikel 9.</w:t>
            </w:r>
            <w:r>
              <w:rPr>
                <w:sz w:val="18"/>
                <w:b/>
                <w:rFonts w:ascii="Arial" w:hAnsi="Arial"/>
              </w:rPr>
              <w:t xml:space="preserve"> </w:t>
            </w:r>
            <w:r>
              <w:rPr>
                <w:sz w:val="18"/>
                <w:rFonts w:ascii="Arial" w:hAnsi="Arial"/>
              </w:rPr>
              <w:t xml:space="preserve">I</w:t>
            </w:r>
            <w:r>
              <w:rPr>
                <w:sz w:val="18"/>
                <w:color w:val="000000"/>
                <w:rFonts w:ascii="Arial" w:hAnsi="Arial"/>
              </w:rPr>
              <w:t xml:space="preserve"> artikel 14.2.1 i samma lag ska orden ”2 § och 4 §” ersättas med orden ”2 § och 6 §”.</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color w:val="000000"/>
                <w:sz w:val="18"/>
                <w:szCs w:val="18"/>
                <w:rFonts w:ascii="Arial" w:hAnsi="Arial" w:cs="Arial"/>
              </w:rPr>
            </w:pPr>
            <w:r>
              <w:rPr>
                <w:color w:val="000000"/>
                <w:sz w:val="18"/>
                <w:b/>
                <w:rFonts w:ascii="Arial" w:hAnsi="Arial"/>
              </w:rPr>
              <w:t xml:space="preserve">Artikel 10.</w:t>
            </w:r>
            <w:r>
              <w:rPr>
                <w:color w:val="000000"/>
                <w:sz w:val="18"/>
                <w:rFonts w:ascii="Arial" w:hAnsi="Arial"/>
              </w:rPr>
              <w:t xml:space="preserve"> </w:t>
            </w:r>
            <w:r>
              <w:rPr>
                <w:color w:val="000000"/>
                <w:sz w:val="18"/>
                <w:rFonts w:ascii="Arial" w:hAnsi="Arial"/>
              </w:rPr>
              <w:t xml:space="preserve">I artikel 2.10, artikel 4.1 och 4.2 och artikel 11.2.3 och 11.3 ska orden ”kunglig förordning av den 26 november 2011” ersättas med orden ”kunglig förordning av den 17 december 2021”.</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color w:val="000000"/>
                <w:sz w:val="18"/>
                <w:szCs w:val="18"/>
                <w:rFonts w:ascii="Arial" w:hAnsi="Arial" w:cs="Arial"/>
              </w:rPr>
            </w:pPr>
            <w:r>
              <w:rPr>
                <w:color w:val="000000"/>
                <w:sz w:val="18"/>
                <w:rFonts w:ascii="Arial" w:hAnsi="Arial"/>
              </w:rPr>
              <w:t xml:space="preserve">Utfärdat</w:t>
            </w:r>
            <w:r>
              <w:rPr>
                <w:color w:val="000000"/>
                <w:sz w:val="18"/>
                <w:rFonts w:ascii="Arial" w:hAnsi="Arial"/>
              </w:rPr>
              <w:t xml:space="preserve">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color w:val="000000"/>
                <w:sz w:val="18"/>
                <w:szCs w:val="18"/>
                <w:rFonts w:ascii="Arial" w:hAnsi="Arial" w:cs="Arial"/>
              </w:rPr>
            </w:pPr>
            <w:r>
              <w:rPr>
                <w:color w:val="000000"/>
                <w:sz w:val="18"/>
                <w:rFonts w:ascii="Arial" w:hAnsi="Arial"/>
              </w:rPr>
              <w:t xml:space="preserve">Å konungens vägnar,</w:t>
            </w:r>
          </w:p>
        </w:tc>
      </w:tr>
      <w:tr w:rsidR="006B34E9" w14:paraId="203D64D1" w14:textId="77777777" w:rsidTr="006B34E9">
        <w:tc>
          <w:tcPr>
            <w:tcW w:w="9356" w:type="dxa"/>
          </w:tcPr>
          <w:p w14:paraId="53F25821" w14:textId="4B0B2AA0" w:rsidR="006B34E9" w:rsidRDefault="006B34E9" w:rsidP="000F50A6">
            <w:pPr>
              <w:jc w:val="center"/>
              <w:rPr>
                <w:color w:val="000000"/>
                <w:sz w:val="18"/>
                <w:szCs w:val="18"/>
                <w:rFonts w:ascii="Arial" w:hAnsi="Arial" w:cs="Arial"/>
              </w:rPr>
            </w:pPr>
            <w:r>
              <w:rPr>
                <w:color w:val="000000"/>
                <w:sz w:val="18"/>
                <w:rFonts w:ascii="Arial" w:hAnsi="Arial"/>
              </w:rPr>
              <w:t xml:space="preserve">energiministern,</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