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Belgia Kuningriik</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RAHVATERVISE, TOIDUAHELA OHUTUSE JA KESKKONNA FÖDERAALAMET</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Kuninglik dekreet, millega keelatakse teatavate sarnaste toodete tootmine ja turuleviimine</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PHILIPPE, belglaste kuningas,</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tervitades kõiki praegusi ja tulevasi kodanikke,</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võttes arvesse 24. jaanuari 1977. aasta seaduse (tarbija tervise kaitse kohta toiduainete ja muude toodete puhul) artikli 6 lõike 1 punkti a, mida on muudetud 22. märtsi 1989. aasta seadusega, ja artikli 18 lõiget 1, mis asendati 22. märtsi 1989. aasta seadusega ja mida on muudetud 22. detsembri 2003. aasta seadusega,</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võttes arvesse finantsinspektsiooni </w:t>
            </w:r>
            <w:r>
              <w:rPr>
                <w:highlight w:val="yellow"/>
                <w:rFonts w:ascii="Garamond" w:hAnsi="Garamond"/>
              </w:rPr>
              <w:t xml:space="preserve">[kuupäev]</w:t>
            </w:r>
            <w:r>
              <w:rPr>
                <w:rFonts w:ascii="Garamond" w:hAnsi="Garamond"/>
              </w:rPr>
              <w:t xml:space="preserve"> välja antud arvamust,</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võttes arvesse eelarve riigisekretäri </w:t>
            </w:r>
            <w:r>
              <w:rPr>
                <w:highlight w:val="yellow"/>
                <w:rFonts w:ascii="Garamond" w:hAnsi="Garamond"/>
              </w:rPr>
              <w:t xml:space="preserve">[kuupäev]</w:t>
            </w:r>
            <w:r>
              <w:rPr>
                <w:rFonts w:ascii="Garamond" w:hAnsi="Garamond"/>
              </w:rPr>
              <w:t xml:space="preserve"> välja antud kokkulepet,</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võttes arvesse </w:t>
            </w:r>
            <w:r>
              <w:rPr>
                <w:highlight w:val="yellow"/>
                <w:rFonts w:ascii="Garamond" w:hAnsi="Garamond"/>
              </w:rPr>
              <w:t xml:space="preserve">[kuupäev]</w:t>
            </w:r>
            <w:r>
              <w:rPr>
                <w:rFonts w:ascii="Garamond" w:hAnsi="Garamond"/>
              </w:rPr>
              <w:t xml:space="preserve"> regulatsiooni mõju hindamist, mis viidi läbi vastavalt 15. detsembri 2013. aasta seaduse artiklitele 6 ja 7, mis sisaldavad mitmesuguseid halduskorra lihtsustamisega seotud sätteid,</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võttes arvesse Euroopa Parlamendi ja nõukogu 9. septembri 2015. aasta direktiivi (EL) 2015/1535 (millega nähakse ette tehnilistest eeskirjadest ning infoühiskonna teenuste eeskirjadest teatamise kord) artikli 5 lõike 1 kohaselt </w:t>
            </w:r>
            <w:r>
              <w:rPr>
                <w:highlight w:val="yellow"/>
                <w:rFonts w:ascii="Garamond" w:hAnsi="Garamond"/>
              </w:rPr>
              <w:t xml:space="preserve">[kuupäev]</w:t>
            </w:r>
            <w:r>
              <w:rPr>
                <w:rFonts w:ascii="Garamond" w:hAnsi="Garamond"/>
              </w:rPr>
              <w:t xml:space="preserve"> Euroopa Komisjonile edastatud teatist,</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[võttes arvesse Euroopa Komisjoni tähelepanekut pärast [kuupäev] teatist [number],]</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võttes arvesse riiginõukogu </w:t>
            </w:r>
            <w:r>
              <w:rPr>
                <w:highlight w:val="yellow"/>
                <w:rFonts w:ascii="Garamond" w:hAnsi="Garamond"/>
              </w:rPr>
              <w:t xml:space="preserve">[kuupäev]</w:t>
            </w:r>
            <w:r>
              <w:rPr>
                <w:rFonts w:ascii="Garamond" w:hAnsi="Garamond"/>
              </w:rPr>
              <w:t xml:space="preserve"> arvamust </w:t>
            </w:r>
            <w:r>
              <w:rPr>
                <w:highlight w:val="yellow"/>
                <w:rFonts w:ascii="Garamond" w:hAnsi="Garamond"/>
              </w:rPr>
              <w:t xml:space="preserve">[number]</w:t>
            </w:r>
            <w:r>
              <w:rPr>
                <w:rFonts w:ascii="Garamond" w:hAnsi="Garamond"/>
              </w:rPr>
              <w:t xml:space="preserve">, riiginõukogu seaduste artikli 84 § 1 lõike 1 punkti 2 kohaselt, konsolideeritud 12. jaanuaril 1973,</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rahvatervise ministri ettepanekul,</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OLEN OTSUSTANUD JA ANNAN KÄESOLEVAGA JÄRGMISE DEKREEDI:</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Artikkel 1.</w:t>
            </w:r>
            <w:r>
              <w:rPr>
                <w:rFonts w:ascii="Garamond" w:hAnsi="Garamond"/>
              </w:rPr>
              <w:t xml:space="preserve"> </w:t>
            </w:r>
            <w:r>
              <w:rPr>
                <w:b/>
                <w:rFonts w:ascii="Garamond" w:hAnsi="Garamond"/>
              </w:rPr>
              <w:t xml:space="preserve">Mõisted</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Selle dekreedi kohaldamisel kasutatakse mõisteid järgmises tähenduses:</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nikotiinikotid:</w:t>
            </w:r>
            <w:r>
              <w:rPr>
                <w:sz w:val="20"/>
                <w:rFonts w:ascii="Times New Roman" w:hAnsi="Times New Roman"/>
              </w:rPr>
              <w:t xml:space="preserve"> </w:t>
            </w:r>
            <w:r>
              <w:rPr>
                <w:rFonts w:ascii="Garamond" w:hAnsi="Garamond"/>
              </w:rPr>
              <w:t xml:space="preserve">iga suukaudseks kasutamiseks mõeldud tubakavaba toode, mis koosneb täielikult või osaliselt sünteetilisest või looduslikust nikotiinist pulbri, osakeste, pasta või nende kombinatsiooni kujul, eelkõige tooted, mis on pakitud portsjonitena kotikestesse või poorsetesse kotikestesse,</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kannabinoidkott: iga suukaudseks kasutamiseks mõeldud toode, mis koosneb ühest või mitmest kannabinoidist või nende derivaatidest või sisaldavad neid pulbri, osakeste, pasta või nende kombinatsiooni kujul, sealhulgas portsjonitena kotikestes või poorsetes kotikestes,</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turuleviimine: toodete kättesaadavaks tegemine tarbijatele Belgias, olenemata nende tootmiskohast, kas tasu eest või tasuta, sealhulgas kaugmüügi teel,</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tootja: füüsiline või juriidiline isik, kes valmistab toote või laseb toote kavandada või valmistada ning kes turustab toodet oma nime või kaubamärgi all,</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importija Belgias: omanik või isik, kellel on õigus Belgia territooriumile toodud tooteid käsutada,</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jaemüüja:</w:t>
            </w:r>
            <w:r>
              <w:rPr>
                <w:sz w:val="20"/>
                <w:rFonts w:ascii="Times New Roman" w:hAnsi="Times New Roman"/>
              </w:rPr>
              <w:t xml:space="preserve"> </w:t>
            </w:r>
            <w:r>
              <w:rPr>
                <w:rFonts w:ascii="Garamond" w:hAnsi="Garamond"/>
              </w:rPr>
              <w:t xml:space="preserve">mis tahes müügikoht, kus tooteid turule viiakse, sealhulgas füüsilise isiku poolt.</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Artikkel 2.</w:t>
            </w:r>
            <w:r>
              <w:rPr>
                <w:b/>
                <w:rFonts w:ascii="Garamond" w:hAnsi="Garamond"/>
              </w:rPr>
              <w:t xml:space="preserve">  </w:t>
            </w:r>
            <w:r>
              <w:rPr>
                <w:b/>
                <w:rFonts w:ascii="Garamond" w:hAnsi="Garamond"/>
              </w:rPr>
              <w:t xml:space="preserve">Keelatud</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Nikotiinikottide ja kannabinoidikottide turuleviimine on keelatud.</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Artikkel 3.</w:t>
            </w:r>
            <w:r>
              <w:rPr>
                <w:b/>
                <w:rFonts w:ascii="Garamond" w:hAnsi="Garamond"/>
              </w:rPr>
              <w:t xml:space="preserve"> </w:t>
            </w:r>
            <w:r>
              <w:rPr>
                <w:b/>
                <w:rFonts w:ascii="Garamond" w:hAnsi="Garamond"/>
              </w:rPr>
              <w:t xml:space="preserve">Kriminaalkaristused</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1.</w:t>
            </w:r>
            <w:r>
              <w:rPr>
                <w:b/>
                <w:rFonts w:ascii="Garamond" w:hAnsi="Garamond"/>
              </w:rPr>
              <w:t xml:space="preserve"> </w:t>
            </w:r>
            <w:r>
              <w:rPr>
                <w:rFonts w:ascii="Garamond" w:hAnsi="Garamond"/>
              </w:rPr>
              <w:t xml:space="preserve">Käesoleva dekreedi artiklis 2</w:t>
            </w:r>
            <w:r>
              <w:rPr>
                <w:sz w:val="20"/>
                <w:rFonts w:ascii="Times New Roman" w:hAnsi="Times New Roman"/>
              </w:rPr>
              <w:t xml:space="preserve"> </w:t>
            </w:r>
            <w:r>
              <w:rPr>
                <w:rFonts w:ascii="Garamond" w:hAnsi="Garamond"/>
              </w:rPr>
              <w:t xml:space="preserve">loetletud tooteid tuleb pidada kahjulikeks 24. jaanuari 1977. aasta seaduse (tarbijate tervise kaitse kohta toiduainete ja muude toodete puhul) artikli 18 tähenduses.</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2.</w:t>
            </w:r>
            <w:r>
              <w:rPr>
                <w:rFonts w:ascii="Garamond" w:hAnsi="Garamond"/>
              </w:rPr>
              <w:t xml:space="preserve"> </w:t>
            </w:r>
            <w:r>
              <w:rPr>
                <w:rFonts w:ascii="Garamond" w:hAnsi="Garamond"/>
              </w:rPr>
              <w:t xml:space="preserve">Käesoleva dekreedi</w:t>
            </w:r>
            <w:r>
              <w:rPr>
                <w:sz w:val="20"/>
                <w:rFonts w:ascii="Times New Roman" w:hAnsi="Times New Roman"/>
              </w:rPr>
              <w:t xml:space="preserve"> </w:t>
            </w:r>
            <w:r>
              <w:rPr>
                <w:rFonts w:ascii="Garamond" w:hAnsi="Garamond"/>
              </w:rPr>
              <w:t xml:space="preserve">rikkumisi uuritakse, märgitakse ja nende eest võetakse vastutusele eespool nimetatud 24. jaanuari 1977. aasta seaduse sätete kohaselt.</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3.</w:t>
            </w:r>
            <w:r>
              <w:rPr>
                <w:rFonts w:ascii="Garamond" w:hAnsi="Garamond"/>
              </w:rPr>
              <w:t xml:space="preserve"> </w:t>
            </w:r>
            <w:r>
              <w:rPr>
                <w:rFonts w:ascii="Garamond" w:hAnsi="Garamond"/>
              </w:rPr>
              <w:t xml:space="preserve">24. jaanuari 1977. aasta seaduse (tarbijate tervise kaitse kohta toiduainete ja muude toodete puhul) artiklis 13 nimetatud karistustega karistatakse kõiki, kes rikuvad käesoleva dekreedi artiklis 2 sätestatud keeldu.</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 4.</w:t>
            </w:r>
            <w:r>
              <w:rPr>
                <w:b/>
                <w:rFonts w:ascii="Garamond" w:hAnsi="Garamond"/>
              </w:rPr>
              <w:t xml:space="preserve"> </w:t>
            </w:r>
            <w:r>
              <w:rPr>
                <w:rFonts w:ascii="Garamond" w:hAnsi="Garamond"/>
              </w:rPr>
              <w:t xml:space="preserve">Tootjat, importijat Belgias ja jaemüüjat võib pidada vastutavaks käesoleva dekreedi artikli 2 täitmata jätmise eest.</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Artikkel 4.</w:t>
            </w:r>
            <w:r>
              <w:rPr>
                <w:b/>
                <w:rFonts w:ascii="Garamond" w:hAnsi="Garamond"/>
              </w:rPr>
              <w:t xml:space="preserve"> </w:t>
            </w:r>
            <w:r>
              <w:rPr>
                <w:b/>
                <w:rFonts w:ascii="Garamond" w:hAnsi="Garamond"/>
              </w:rPr>
              <w:t xml:space="preserve">Jõustumine</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Käesolev määrus jõustub kolm kuud pärast selle avaldamist Belgia ametlikus väljaandes, välja arvatud jaemüüja suhtes, kelle suhtes käesolev määrus jõustub kuus kuud pärast selle avaldamist Belgia ametlikus väljaandes.</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Artikkel 5.</w:t>
            </w:r>
            <w:r>
              <w:rPr>
                <w:b/>
                <w:rFonts w:ascii="Garamond" w:hAnsi="Garamond"/>
              </w:rPr>
              <w:t xml:space="preserve"> </w:t>
            </w:r>
            <w:r>
              <w:rPr>
                <w:b/>
                <w:rFonts w:ascii="Garamond" w:hAnsi="Garamond"/>
              </w:rPr>
              <w:t xml:space="preserve">Lõppsäte</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Käesoleva dekreedi rakendamise eest vastutab rahvatervise minister.</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Kuninga nimel:</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rahvatervise minister,</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