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6EB" w:rsidRPr="002866EB" w:rsidRDefault="002866EB" w:rsidP="002866EB">
      <w:pPr>
        <w:jc w:val="center"/>
        <w:textAlignment w:val="baseline"/>
        <w:rPr>
          <w:rFonts w:ascii="Courier New" w:hAnsi="Courier New"/>
          <w:sz w:val="20"/>
        </w:rPr>
      </w:pPr>
      <w:r>
        <w:rPr>
          <w:rFonts w:ascii="Courier New" w:hAnsi="Courier New"/>
          <w:sz w:val="20"/>
        </w:rPr>
        <w:t>1. ------IND- 2018 0477 FIN SL- ------ 20181005 --- --- PROJET</w:t>
      </w:r>
    </w:p>
    <w:p w:rsidR="008A0B0A" w:rsidRPr="007E23E2" w:rsidRDefault="008A0B0A" w:rsidP="008A0B0A">
      <w:pPr>
        <w:pStyle w:val="LLNormaali"/>
      </w:pPr>
    </w:p>
    <w:p w:rsidR="00F8307A" w:rsidRPr="007E23E2" w:rsidRDefault="00F8307A" w:rsidP="008A0B0A">
      <w:pPr>
        <w:pStyle w:val="LLNormaali"/>
      </w:pPr>
    </w:p>
    <w:p w:rsidR="008968F7" w:rsidRPr="007E23E2" w:rsidRDefault="008968F7" w:rsidP="008968F7">
      <w:pPr>
        <w:pStyle w:val="LLValtioneuvostonAsetus"/>
      </w:pPr>
      <w:r>
        <w:t>Vladna uredba</w:t>
      </w:r>
    </w:p>
    <w:p w:rsidR="008968F7" w:rsidRPr="007E23E2" w:rsidRDefault="008968F7" w:rsidP="008968F7">
      <w:pPr>
        <w:pStyle w:val="LLSaadoksenNimi"/>
      </w:pPr>
      <w:r>
        <w:t>o spremembi Uredbe o uporabi vozil na cesti</w:t>
      </w:r>
    </w:p>
    <w:p w:rsidR="008A0B0A" w:rsidRPr="007E23E2" w:rsidRDefault="008968F7" w:rsidP="008968F7">
      <w:pPr>
        <w:pStyle w:val="LLJohtolauseKappaleet"/>
      </w:pPr>
      <w:r>
        <w:t>Vladni sklep s tem dokumentom</w:t>
      </w:r>
    </w:p>
    <w:p w:rsidR="008A0B0A" w:rsidRPr="007E23E2" w:rsidRDefault="008A0B0A" w:rsidP="008968F7">
      <w:pPr>
        <w:pStyle w:val="LLJohtolauseKappaleet"/>
      </w:pPr>
      <w:r>
        <w:rPr>
          <w:i/>
        </w:rPr>
        <w:t>razveljavlja</w:t>
      </w:r>
      <w:r>
        <w:t xml:space="preserve"> pododdelek 2 oddelka 21 Uredbe o uporabi vozil na cesti (1257/1992), kakor je bila uzakonjena z Uredbo 47/2017</w:t>
      </w:r>
    </w:p>
    <w:p w:rsidR="008A0B0A" w:rsidRPr="007E23E2" w:rsidRDefault="008A0B0A" w:rsidP="008968F7">
      <w:pPr>
        <w:pStyle w:val="LLJohtolauseKappaleet"/>
      </w:pPr>
      <w:r>
        <w:rPr>
          <w:i/>
        </w:rPr>
        <w:t>spreminja</w:t>
      </w:r>
      <w:r>
        <w:t xml:space="preserve"> oddelke 2, 13, 17, 19 a, 19 b, 20, 23, 23 a, 24, 26, 27, 32, 33, 36, 45, 51 b in 52 uredbe,</w:t>
      </w:r>
    </w:p>
    <w:p w:rsidR="008A0B0A" w:rsidRPr="007E23E2" w:rsidRDefault="008A0B0A" w:rsidP="008968F7">
      <w:pPr>
        <w:pStyle w:val="LLJohtolauseKappaleet"/>
      </w:pPr>
      <w:r>
        <w:t>kot je oddelek 2 v uredbah 407/2013 in 570/2017, oddelek 13 v Uredbi 1243/2002, oddelek 17 delno v uredbah 303/1996, 1227/2011 in 407/2013, oddelki 19 a, 27, 32 in oddelek 52 v Uredbi 407/2013, oddelek 19 b v Uredbi 1243/2002, oddelek 20 v uredbah 407/2013 in 123/2017, oddelek 23 v Uredbi 47/2017, oddelek 23 a v Uredbi 1062/2013, oddelek 24 v uredbah 407/2013, 240/2017 in 206/2018, oddelek 26 v Uredbi 1227/2011, oddelek 33 v Uredbi 487/2009, oddelek 36 delno v Uredbi 531/1993, oddelek 45 v Uredbi 1612/2015 in oddelek 51 b v Uredbi 570/2017,</w:t>
      </w:r>
    </w:p>
    <w:p w:rsidR="008A0B0A" w:rsidRPr="007E23E2" w:rsidRDefault="008A0B0A" w:rsidP="008968F7">
      <w:pPr>
        <w:pStyle w:val="LLJohtolauseKappaleet"/>
      </w:pPr>
      <w:r>
        <w:rPr>
          <w:i/>
        </w:rPr>
        <w:t>nadomesti</w:t>
      </w:r>
      <w:r>
        <w:t xml:space="preserve"> oddelek 22, ki je bil razveljavljen z Uredbo 670/1997, z novim oddelkom 22 in </w:t>
      </w:r>
      <w:r>
        <w:rPr>
          <w:i/>
        </w:rPr>
        <w:t>dodaja</w:t>
      </w:r>
      <w:r>
        <w:t xml:space="preserve"> novi pododdelek 2 oddelku 32 a, kot je v Uredbi 407/2013, kakor tudi novi oddelek 32 b k uredbi, kot sledi:</w:t>
      </w:r>
    </w:p>
    <w:p w:rsidR="0077609A" w:rsidRPr="007E23E2" w:rsidRDefault="0077609A" w:rsidP="00C245D5">
      <w:pPr>
        <w:pStyle w:val="LLNormaali"/>
        <w:keepNext/>
      </w:pPr>
    </w:p>
    <w:p w:rsidR="008968F7" w:rsidRPr="007E23E2" w:rsidRDefault="008A0B0A" w:rsidP="00C245D5">
      <w:pPr>
        <w:pStyle w:val="LLPykala"/>
        <w:keepNext/>
      </w:pPr>
      <w:r>
        <w:t>Oddelek 2</w:t>
      </w:r>
    </w:p>
    <w:p w:rsidR="008A0B0A" w:rsidRPr="007E23E2" w:rsidRDefault="008A0B0A" w:rsidP="00C245D5">
      <w:pPr>
        <w:pStyle w:val="LLPykalanOtsikko"/>
        <w:keepNext/>
      </w:pPr>
      <w:r>
        <w:t>Opredelitev pojmov</w:t>
      </w:r>
    </w:p>
    <w:p w:rsidR="008A0B0A" w:rsidRPr="007E23E2" w:rsidRDefault="008A0B0A" w:rsidP="008968F7">
      <w:pPr>
        <w:pStyle w:val="LLKappalejako"/>
      </w:pPr>
      <w:r>
        <w:t>Določbe Zakona o vozilih in predpisi, sprejeti na podlagi tega zakona, se uporabljajo za opredelitev vozil, kategorij vozil ter mer in mas vozil. Poleg tega je opredelitev mer in mas vozil urejena z Uredbo Komisije (EU) št. 1230/2012 z dne 12. decembra 2012 o izvajanju Uredbe (ES) št. 661/2009 Evropskega parlamenta in Sveta glede zahtev za homologacijo za mase in mere motornih vozil in njihovih priklopnikov ter o spremembi Direktive 2007/46/ES Evropskega parlamenta in Sveta.</w:t>
      </w:r>
    </w:p>
    <w:p w:rsidR="008968F7" w:rsidRPr="007E23E2" w:rsidRDefault="008A0B0A" w:rsidP="00CA20FF">
      <w:pPr>
        <w:pStyle w:val="LLMomentinJohdantoKappale"/>
      </w:pPr>
      <w:r>
        <w:t>Za namene te uredbe:</w:t>
      </w:r>
    </w:p>
    <w:p w:rsidR="008A0B0A" w:rsidRPr="007E23E2" w:rsidRDefault="001B17ED" w:rsidP="008968F7">
      <w:pPr>
        <w:pStyle w:val="LLMomentinAlakohta"/>
      </w:pPr>
      <w:r>
        <w:t xml:space="preserve">(1) </w:t>
      </w:r>
      <w:r>
        <w:rPr>
          <w:i/>
        </w:rPr>
        <w:t>priključena masa</w:t>
      </w:r>
      <w:r>
        <w:t xml:space="preserve"> se nanaša na dovoljeno dejansko maso vlečenega vozila, medtem ko je priklopljeno, razen mase na sedlasti sklopki ali sklopki z ojesom vlečnega vozila polpriklopnika, priklopnika vlačilca ali priklopnika s centralno osjo;</w:t>
      </w:r>
    </w:p>
    <w:p w:rsidR="008A0B0A" w:rsidRPr="007E23E2" w:rsidRDefault="001B17ED" w:rsidP="008968F7">
      <w:pPr>
        <w:pStyle w:val="LLMomentinAlakohta"/>
      </w:pPr>
      <w:r>
        <w:t xml:space="preserve">(2) </w:t>
      </w:r>
      <w:r>
        <w:rPr>
          <w:i/>
        </w:rPr>
        <w:t>nedeljivi tovor</w:t>
      </w:r>
      <w:r>
        <w:t xml:space="preserve"> se nanaša na tovor, ki ga za namene cestnega prevoza ni mogoče razdeliti na dva ali več tovorov brez nepotrebnih stroškov ali nevarnosti poškodb in ki ga zaradi svoje mere ali mase ni mogoče prevažati z vozilom ali skupino vozil, ne da bi presegli splošno dovoljene meje za mase ali mere na cesti; nedeljivi tovor pomeni tudi zabojnik, namenjen za prevoz po morju, ki se izvaža ali uvaža, bodisi prazen ali naložen na mestu odpreme, ter nad 2,80 m visok ali več kot 12,30 m dolg; če se za prevoz omenjenega zabojnika zahteva preseganje višine 4,40 m ali, ustrezno, višine 23,00 m ali splošno dovoljene mase na cesti v zgibnem vozilu, se zabojnik šteje za nedeljiv predmet samo, če gre za embalažo nedeljivega predmeta ali če se zabojnik prevaža prazen;</w:t>
      </w:r>
    </w:p>
    <w:p w:rsidR="008A0B0A" w:rsidRPr="007E23E2" w:rsidRDefault="001B17ED" w:rsidP="008968F7">
      <w:pPr>
        <w:pStyle w:val="LLMomentinAlakohta"/>
      </w:pPr>
      <w:r>
        <w:t xml:space="preserve">(3) </w:t>
      </w:r>
      <w:r>
        <w:rPr>
          <w:i/>
        </w:rPr>
        <w:t>ministrstvo</w:t>
      </w:r>
      <w:r>
        <w:t xml:space="preserve"> se nanaša na Ministrstvo za promet in komunikacije;</w:t>
      </w:r>
    </w:p>
    <w:p w:rsidR="008A0B0A" w:rsidRPr="007E23E2" w:rsidRDefault="001B17ED" w:rsidP="008968F7">
      <w:pPr>
        <w:pStyle w:val="LLMomentinAlakohta"/>
      </w:pPr>
      <w:r>
        <w:t xml:space="preserve">(4) </w:t>
      </w:r>
      <w:r>
        <w:rPr>
          <w:i/>
        </w:rPr>
        <w:t>delovna oprema</w:t>
      </w:r>
      <w:r>
        <w:t xml:space="preserve"> se nanaša na preklopljiv stroj, ki se lahko poveže z vozilom, ki je popolnoma nad tlemi med cestnim prevozom in se ne more vrteti okrog svoje navpične osi glede na vozilo med cestnim prevozom;</w:t>
      </w:r>
    </w:p>
    <w:p w:rsidR="008A0B0A" w:rsidRPr="007E23E2" w:rsidRDefault="001B17ED" w:rsidP="008968F7">
      <w:pPr>
        <w:pStyle w:val="LLMomentinAlakohta"/>
      </w:pPr>
      <w:r>
        <w:lastRenderedPageBreak/>
        <w:t xml:space="preserve">(5) </w:t>
      </w:r>
      <w:r>
        <w:rPr>
          <w:i/>
        </w:rPr>
        <w:t>direktiva o merah in masah</w:t>
      </w:r>
      <w:r>
        <w:t xml:space="preserve"> se nanaša na Direktivo Sveta 96/53/ES z dne 25. julija 1996 o določitvi največjih dovoljenih mer določenih cestnih vozil v Skupnosti v notranjem in mednarodnem prometu in največjih dovoljenih tež v mednarodnem prometu, kakor je bila nazadnje spremenjena z Direktivo (EU) 2015/719 Evropskega parlamenta in Sveta;</w:t>
      </w:r>
    </w:p>
    <w:p w:rsidR="008A0B0A" w:rsidRPr="007E23E2" w:rsidRDefault="001B17ED" w:rsidP="008968F7">
      <w:pPr>
        <w:pStyle w:val="LLMomentinAlakohta"/>
      </w:pPr>
      <w:r>
        <w:t xml:space="preserve">(6) </w:t>
      </w:r>
      <w:r>
        <w:rPr>
          <w:i/>
        </w:rPr>
        <w:t>alternativna goriva</w:t>
      </w:r>
      <w:r>
        <w:t xml:space="preserve"> se nanašajo na alternativna goriva iz člena 2 direktive o merah in masah;</w:t>
      </w:r>
    </w:p>
    <w:p w:rsidR="008A0B0A" w:rsidRPr="007E23E2" w:rsidRDefault="001B17ED" w:rsidP="008968F7">
      <w:pPr>
        <w:pStyle w:val="LLMomentinAlakohta"/>
      </w:pPr>
      <w:r>
        <w:t xml:space="preserve">(7) </w:t>
      </w:r>
      <w:r>
        <w:rPr>
          <w:i/>
        </w:rPr>
        <w:t>krmilna os</w:t>
      </w:r>
      <w:r>
        <w:t xml:space="preserve"> se nanaša na os, katere kolesa se lahko vrtijo neposredno ali posredno glede na vzdolžno os vozila z namenom določanja smeri gibanja vozila;</w:t>
      </w:r>
    </w:p>
    <w:p w:rsidR="008A0B0A" w:rsidRPr="007E23E2" w:rsidRDefault="001B17ED" w:rsidP="008968F7">
      <w:pPr>
        <w:pStyle w:val="LLMomentinAlakohta"/>
      </w:pPr>
      <w:r>
        <w:t xml:space="preserve">(8) </w:t>
      </w:r>
      <w:r>
        <w:rPr>
          <w:i/>
        </w:rPr>
        <w:t>krmiljena os</w:t>
      </w:r>
      <w:r>
        <w:t xml:space="preserve"> se nanaša na os, pri kateri se kot krmiljenja koles spremeni le zaradi vzajemnega delovanja sil med kolesi in površino ceste; vendar se os, pri kateri se kot krmiljenja nekoliko spremeni zaradi prožnosti sklopke osi, ne šteje za krmiljeno os.</w:t>
      </w:r>
    </w:p>
    <w:p w:rsidR="00CA20FF" w:rsidRPr="007E23E2" w:rsidRDefault="00CA20FF" w:rsidP="008968F7">
      <w:pPr>
        <w:pStyle w:val="LLMomentinAlakohta"/>
      </w:pPr>
    </w:p>
    <w:p w:rsidR="008A0B0A" w:rsidRPr="007E23E2" w:rsidRDefault="008A0B0A" w:rsidP="00C245D5">
      <w:pPr>
        <w:pStyle w:val="LLPykala"/>
        <w:keepNext/>
      </w:pPr>
      <w:r>
        <w:t>Oddelek 13</w:t>
      </w:r>
    </w:p>
    <w:p w:rsidR="008A0B0A" w:rsidRPr="007E23E2" w:rsidRDefault="008A0B0A" w:rsidP="00C245D5">
      <w:pPr>
        <w:pStyle w:val="LLPykalanOtsikko"/>
        <w:keepNext/>
      </w:pPr>
      <w:r>
        <w:t>Krmiljena os</w:t>
      </w:r>
    </w:p>
    <w:p w:rsidR="008A0B0A" w:rsidRPr="007E23E2" w:rsidRDefault="008A0B0A" w:rsidP="00CA20FF">
      <w:pPr>
        <w:pStyle w:val="LLKappalejako"/>
      </w:pPr>
      <w:r>
        <w:t>Če ima vozilo ali priklopnik, za katerega niso bile predložene ali določene tehnične zahteve za kontrolno napravo, krmiljeno os, opremljeno z napravo, ki se aktivira z voznikovega sedeža, ali z avtomatsko napravo, ki neposredno zaklene krmiljenje, mora os ostati zaklenjena pri vožnji s hitrostjo več kot 40 km/h.</w:t>
      </w:r>
    </w:p>
    <w:p w:rsidR="008A0B0A" w:rsidRPr="007E23E2" w:rsidRDefault="008A0B0A" w:rsidP="00CA20FF">
      <w:pPr>
        <w:pStyle w:val="LLKappalejako"/>
      </w:pPr>
      <w:r>
        <w:t>Če so vse osi vozila krmilne osi, mora biti položaj vožnje vozila vzporeden z voziščem v običajnem prometu.</w:t>
      </w:r>
    </w:p>
    <w:p w:rsidR="008A0B0A" w:rsidRPr="007E23E2" w:rsidRDefault="008A0B0A" w:rsidP="008A0B0A">
      <w:pPr>
        <w:pStyle w:val="LLNormaali"/>
      </w:pPr>
    </w:p>
    <w:p w:rsidR="008A0B0A" w:rsidRPr="007E23E2" w:rsidRDefault="008A0B0A" w:rsidP="00C245D5">
      <w:pPr>
        <w:pStyle w:val="LLPykala"/>
        <w:keepNext/>
      </w:pPr>
      <w:r>
        <w:t>Oddelek 17</w:t>
      </w:r>
    </w:p>
    <w:p w:rsidR="008A0B0A" w:rsidRPr="007E23E2" w:rsidRDefault="008A0B0A" w:rsidP="00C245D5">
      <w:pPr>
        <w:pStyle w:val="LLPykalanOtsikko"/>
        <w:keepNext/>
      </w:pPr>
      <w:r>
        <w:t>Uporaba naprav proti zdrsu na pnevmatikah vozila in vlečenih vozil, priklopljenih na vozilo</w:t>
      </w:r>
    </w:p>
    <w:p w:rsidR="008A0B0A" w:rsidRPr="007E23E2" w:rsidRDefault="008A0B0A" w:rsidP="00CA20FF">
      <w:pPr>
        <w:pStyle w:val="LLKappalejako"/>
      </w:pPr>
      <w:r>
        <w:t>Pnevmatike vozila in vlečenega vozila, ki je priklopljeno na vozilo, so lahko opremljene z žeblji, snežnimi verigami ali drugimi enakovrednimi elementi proti drsenju, ki sami po sebi ne poškodujejo površine ceste. Pnevmatike z žeblji se lahko uporabljajo od 1. novembra do 31. marca ali prvega ponedeljka po velikonočnem ponedeljku, kar koli je kasneje. Izven tega obdobja se lahko pnevmatike z žeblji uporabljajo na reševalnih vozilih, terenskih vozilih in priklopnikih, ki jih uporabljajo obrambne sile, vozilih in priklopnikih za vzdrževanje cest ter vlečnih vozilih. Pnevmatike z žeblji se lahko uporabljajo izven zgoraj navedenega obdobja tudi med začasnimi transferji v zvezi s trgovanjem, popravilom in tehničnim pregledom vozil ali vlečenih vozil in na vseh vozilih in vlečenih vozilih, če to terjajo vremenski ali cestni pogoji.</w:t>
      </w:r>
    </w:p>
    <w:p w:rsidR="008A0B0A" w:rsidRPr="007E23E2" w:rsidRDefault="008A0B0A" w:rsidP="00CA20FF">
      <w:pPr>
        <w:pStyle w:val="LLKappalejako"/>
      </w:pPr>
      <w:r>
        <w:t>V primeru priklopnika s skupno maso nad 0,75 t vendar ne več kot 3,5 t (kategorija O</w:t>
      </w:r>
      <w:r>
        <w:rPr>
          <w:vertAlign w:val="subscript"/>
        </w:rPr>
        <w:t>2</w:t>
      </w:r>
      <w:r>
        <w:t>) se uporabljajo pnevmatike z žeblji, če je vlečno vozilo opremljeno s pnevmatikami z žeblji.</w:t>
      </w:r>
    </w:p>
    <w:p w:rsidR="008A0B0A" w:rsidRPr="007E23E2" w:rsidRDefault="008A0B0A" w:rsidP="00CA20FF">
      <w:pPr>
        <w:pStyle w:val="LLKappalejako"/>
      </w:pPr>
      <w:r>
        <w:t>Če se v osebnem avtomobilu, lahkem gospodarskem vozilu (kategoriji M</w:t>
      </w:r>
      <w:r>
        <w:rPr>
          <w:vertAlign w:val="subscript"/>
        </w:rPr>
        <w:t>1</w:t>
      </w:r>
      <w:r>
        <w:t xml:space="preserve"> in N</w:t>
      </w:r>
      <w:r>
        <w:rPr>
          <w:vertAlign w:val="subscript"/>
        </w:rPr>
        <w:t>1</w:t>
      </w:r>
      <w:r>
        <w:t>) ali v priklopniku s skupno maso, ki ne presega 3,5 t (kategoriji O</w:t>
      </w:r>
      <w:r>
        <w:rPr>
          <w:vertAlign w:val="subscript"/>
        </w:rPr>
        <w:t>1</w:t>
      </w:r>
      <w:r>
        <w:t xml:space="preserve"> in O</w:t>
      </w:r>
      <w:r>
        <w:rPr>
          <w:vertAlign w:val="subscript"/>
        </w:rPr>
        <w:t>2</w:t>
      </w:r>
      <w:r>
        <w:t>), uporabljajo pnevmatike z žeblji, se namestijo na vseh kolesih, z izjemo obeh koles dvojnih koles. Število žebljev na različnih pnevmatikah vozila se lahko razlikuje za največ 25 % od števila žebljev na pnevmatiki, ki ima največ žebljev.</w:t>
      </w:r>
    </w:p>
    <w:p w:rsidR="008A0B0A" w:rsidRPr="007E23E2" w:rsidRDefault="008A0B0A" w:rsidP="00CA20FF">
      <w:pPr>
        <w:pStyle w:val="LLKappalejako"/>
      </w:pPr>
      <w:r>
        <w:t>Kadar je treba rezervno pnevmatiko začasno uporabljati v vozilu ali vlečenem vozilu, ki je zaradi okvare pnevmatike priklopljeno nanj, se za to ne uporabljajo določbe tega oddelka. Vozilo se takrat pelje izredno previdno.</w:t>
      </w:r>
    </w:p>
    <w:p w:rsidR="008A0B0A" w:rsidRPr="007E23E2" w:rsidRDefault="008A0B0A" w:rsidP="00CA20FF">
      <w:pPr>
        <w:pStyle w:val="LLKappalejako"/>
      </w:pPr>
      <w:r>
        <w:t>V primeru uporabe pnevmatike z žeblji v osebnem vozilu ali lahkem tovornem vozilu s kesonom žeblji ne smejo izstopati več kot 2,0 mm. Žeblji pnevmatike z žeblji, uporabljene na lahkem tovornem vozilu s kesonom, ne smejo izstopati več kot 2,5 mm.</w:t>
      </w:r>
    </w:p>
    <w:p w:rsidR="009F1C22" w:rsidRPr="007E23E2" w:rsidRDefault="008A0B0A" w:rsidP="00CA20FF">
      <w:pPr>
        <w:pStyle w:val="LLKappalejako"/>
      </w:pPr>
      <w:r>
        <w:t>Finska agencija za varnost v prometu lahko enemu vozilu odobri odstopanje od določb iz pododdelka 1 glede dovoljenega obdobja uporabe pnevmatik z žeblji.</w:t>
      </w:r>
    </w:p>
    <w:p w:rsidR="008A0B0A" w:rsidRPr="007E23E2" w:rsidRDefault="008A0B0A" w:rsidP="00CA20FF">
      <w:pPr>
        <w:pStyle w:val="LLKappalejako"/>
      </w:pPr>
      <w:r>
        <w:lastRenderedPageBreak/>
        <w:t>Če je skupna masa na pogonski osi ali pogonskih oseh manjša od 18 % bruto skupne mase v skupini vozil z maso več kot 44 ton ali dolžino več kot 18,75 m, mora biti vlečno vozilo v obdobju, navedenem v pododdelku 2 oddelka 16, opremljeno z napravo, ki lahko izboljša začetni oprijem vozila na spolzkih cestnih površinah. Struktura, ki vpliva na delovanje diferenciala 1 pogonske osi, se ne šteje za takšno napravo.</w:t>
      </w:r>
    </w:p>
    <w:p w:rsidR="008A0B0A" w:rsidRPr="007E23E2" w:rsidRDefault="008A0B0A" w:rsidP="00CA20FF">
      <w:pPr>
        <w:pStyle w:val="LLKappalejako"/>
      </w:pPr>
      <w:r>
        <w:t>Če je skupna masa na pogonskih oseh skupine vozil, katere dolžina presega 28 m, v obdobju iz pododdelka 2 oddelka 16 in za izboljšanje začetne zmogljivosti skupine vozil na spolzki cestni površini, manjša od 25 % mase skupine vozil, mora biti vlečno vozilo opremljeno s trosilci peska ali avtomatskimi snežnimi verigami, da se izboljša vlečna zmogljivost vsaj ene pogonske osi ali osi, ki se uporablja kot pogonska os pri nizki hitrosti.</w:t>
      </w:r>
    </w:p>
    <w:p w:rsidR="00486E06" w:rsidRPr="007E23E2" w:rsidRDefault="00486E06" w:rsidP="00486E06">
      <w:pPr>
        <w:pStyle w:val="LLNormaali"/>
      </w:pPr>
    </w:p>
    <w:p w:rsidR="008A0B0A" w:rsidRPr="007E23E2" w:rsidRDefault="008A0B0A" w:rsidP="00C245D5">
      <w:pPr>
        <w:pStyle w:val="LLPykala"/>
        <w:keepNext/>
      </w:pPr>
      <w:r>
        <w:t>Oddelek 19 a</w:t>
      </w:r>
    </w:p>
    <w:p w:rsidR="008A0B0A" w:rsidRPr="007E23E2" w:rsidRDefault="008A0B0A" w:rsidP="00C245D5">
      <w:pPr>
        <w:pStyle w:val="LLPykalanOtsikko"/>
        <w:keepNext/>
      </w:pPr>
      <w:r>
        <w:t>Največje mase na oseh ali podstavnih vozičkih vozila ali skupine vozil</w:t>
      </w:r>
    </w:p>
    <w:p w:rsidR="008A0B0A" w:rsidRPr="007E23E2" w:rsidRDefault="008A0B0A" w:rsidP="00CA20FF">
      <w:pPr>
        <w:pStyle w:val="LLKappalejako"/>
      </w:pPr>
      <w:r>
        <w:t>Pri prevozu vozila ali skupine vozil po cesti masa na osi ali podstavnem vozičku ali skupna masa vozila ne sme presegati vrednosti, navedene v registru vozil. Skupna masa skupine vozil ne sme presegati vsote mas vlečnega in vlečenega vozila, navedenih v registru, niti skupne mase, dovoljene za skupino, kadar je ta nižja od prej omenjene vsote.</w:t>
      </w:r>
    </w:p>
    <w:p w:rsidR="008A0B0A" w:rsidRPr="007E23E2" w:rsidRDefault="008A0B0A" w:rsidP="00CA20FF">
      <w:pPr>
        <w:pStyle w:val="LLKappalejako"/>
      </w:pPr>
      <w:r>
        <w:t>Med vožnjo po spolzki cestni površini masa na osi ali podstavnem vozičku vozila pri uporabi naprave za dvig osi ali funkcije razbremenitve osi lahko začasno preseže največjo maso na osi ali podstavnem vozičku, dovoljeno na cesti, če je to potrebno, da dobi zadosten oprijem in ne poškoduje ceste.</w:t>
      </w:r>
    </w:p>
    <w:p w:rsidR="008A0B0A" w:rsidRPr="007E23E2" w:rsidRDefault="008A0B0A" w:rsidP="00CA20FF">
      <w:pPr>
        <w:pStyle w:val="LLKappalejako"/>
      </w:pPr>
      <w:r>
        <w:t>Masa na osi ali podstavnem vozičku vozila pri uporabi naprave za dvig osi ali funkcije razbremenitve osi lahko začasno preseže največjo dovoljeno maso na cesti, če je to potrebno, da dobi zadostno okretnost. Vendar pa hitrost ne sme presegati 30 km/h. Masa na osi ne sme presegati 12 t. Skupini ni treba izpolnjevati zahteve glede stabilnosti iz oddelka 32 b med dviganjem osi pri hitrosti manj kot 30 km/h.</w:t>
      </w:r>
    </w:p>
    <w:p w:rsidR="00486E06" w:rsidRPr="007E23E2" w:rsidRDefault="00486E06" w:rsidP="00486E06">
      <w:pPr>
        <w:pStyle w:val="LLNormaali"/>
      </w:pPr>
    </w:p>
    <w:p w:rsidR="008A0B0A" w:rsidRPr="007E23E2" w:rsidRDefault="008A0B0A" w:rsidP="00C245D5">
      <w:pPr>
        <w:pStyle w:val="LLPykala"/>
        <w:keepNext/>
      </w:pPr>
      <w:r>
        <w:t>Oddelek 19 b</w:t>
      </w:r>
    </w:p>
    <w:p w:rsidR="008A0B0A" w:rsidRPr="007E23E2" w:rsidRDefault="008A0B0A" w:rsidP="00C245D5">
      <w:pPr>
        <w:pStyle w:val="LLPykalanOtsikko"/>
        <w:keepNext/>
      </w:pPr>
      <w:r>
        <w:t>Uporaba vozila, registriranega ali danega v uporabo v državi EGP, na Finskem</w:t>
      </w:r>
    </w:p>
    <w:p w:rsidR="008A0B0A" w:rsidRPr="007E23E2" w:rsidRDefault="008A0B0A" w:rsidP="00CA20FF">
      <w:pPr>
        <w:pStyle w:val="LLKappalejako"/>
      </w:pPr>
      <w:r>
        <w:t>Če se vozilo, ki je registrirano ali dano v promet v državi članici Evropskega gospodarskega prostora (v nadaljnjem besedilu: država EGP), uporablja na Finskem, se uporabljajo določbe tega poglavja.</w:t>
      </w:r>
    </w:p>
    <w:p w:rsidR="008A0B0A" w:rsidRPr="007E23E2" w:rsidRDefault="008A0B0A" w:rsidP="00CA20FF">
      <w:pPr>
        <w:pStyle w:val="LLMomentinJohdantoKappale"/>
      </w:pPr>
      <w:r>
        <w:t>Če splošno dovoljena masa vozila, danega v promet leta 1993 ali pozneje, presega najvišje vrednosti, določene v direktivi o merah in masah:</w:t>
      </w:r>
    </w:p>
    <w:p w:rsidR="008A0B0A" w:rsidRPr="007E23E2" w:rsidRDefault="009F1C22" w:rsidP="00486E06">
      <w:pPr>
        <w:pStyle w:val="LLMomentinAlakohta"/>
      </w:pPr>
      <w:r>
        <w:t>(1) najmanj ena os podstavnega vozička s tremi ali več osmi mora biti krmilna os; namesto krmilne osi se lahko uporablja krmiljena os, ki je zaklenjena v položaju, ki neposredno ustreza smeri vožnje pri hitrosti 30 km/h ali več;</w:t>
      </w:r>
    </w:p>
    <w:p w:rsidR="008A0B0A" w:rsidRPr="007E23E2" w:rsidRDefault="009F1C22" w:rsidP="00486E06">
      <w:pPr>
        <w:pStyle w:val="LLMomentinAlakohta"/>
      </w:pPr>
      <w:r>
        <w:t>(2) v primeru vlečenega vozila mora biti najmanj ena od osi podstavnega vozička krmiljena ali krmilna os, če razdalja med skrajnima osema podstavnega vozička presega 2,4 m na dvoosnem podstavnem vozičku ali 2,8 m na podstavnem vozičku s tremi ali več osmi;</w:t>
      </w:r>
    </w:p>
    <w:p w:rsidR="008A0B0A" w:rsidRPr="007E23E2" w:rsidRDefault="009F1C22" w:rsidP="00486E06">
      <w:pPr>
        <w:pStyle w:val="LLMomentinAlakohta"/>
      </w:pPr>
      <w:r>
        <w:t>(3) zadnja os na dvoosnem podstavnem vozičku polnega priklopnika je lahko le krmiljena os, če vozilo dokazano izpolnjuje tehnične zahteve iz Pravilnika UN/ECE št. 79;</w:t>
      </w:r>
    </w:p>
    <w:p w:rsidR="008A0B0A" w:rsidRPr="007E23E2" w:rsidRDefault="009F1C22" w:rsidP="00486E06">
      <w:pPr>
        <w:pStyle w:val="LLMomentinAlakohta"/>
      </w:pPr>
      <w:r>
        <w:t>(4) polpriklopnik s podstavnim vozičkom, priklopljen s pomočjo podporne osi, mora imeti najmanj dve nekrmiljeni osi.</w:t>
      </w:r>
    </w:p>
    <w:p w:rsidR="008A0B0A" w:rsidRPr="007E23E2" w:rsidRDefault="008A0B0A" w:rsidP="00486E06">
      <w:pPr>
        <w:pStyle w:val="LLMomentinAlakohta"/>
      </w:pPr>
      <w:r>
        <w:t>Vsota mas na nekrmiljenih oseh podstavnega vozička s tremi ali več osmi na vozilu iz pododdelka 2 zgoraj mora biti najmanj 1,6-kratnik mase na krmiljenih oseh. Ta zahteva se ne uporablja za vozila, ki dokazano izpolnjujejo tehnične zahteve iz Pravilnika UNECE št. 79.</w:t>
      </w:r>
    </w:p>
    <w:p w:rsidR="008A0B0A" w:rsidRDefault="008A0B0A" w:rsidP="00486E06">
      <w:pPr>
        <w:pStyle w:val="LLMomentinAlakohta"/>
      </w:pPr>
      <w:r>
        <w:lastRenderedPageBreak/>
        <w:t>Določbe zgornjih pododdelkov 2 in 3 se ne uporabljajo za vozila z največjo dovoljeno hitrostjo, ki ne presega 40 km/h.</w:t>
      </w:r>
    </w:p>
    <w:p w:rsidR="00C245D5" w:rsidRPr="007E23E2" w:rsidRDefault="00C245D5" w:rsidP="00486E06">
      <w:pPr>
        <w:pStyle w:val="LLMomentinAlakohta"/>
      </w:pPr>
    </w:p>
    <w:p w:rsidR="008A0B0A" w:rsidRPr="007E23E2" w:rsidRDefault="008A0B0A" w:rsidP="00C245D5">
      <w:pPr>
        <w:pStyle w:val="LLPykala"/>
        <w:keepNext/>
      </w:pPr>
      <w:r>
        <w:t>Oddelek 20</w:t>
      </w:r>
    </w:p>
    <w:p w:rsidR="008A0B0A" w:rsidRPr="007E23E2" w:rsidRDefault="008A0B0A" w:rsidP="00C245D5">
      <w:pPr>
        <w:pStyle w:val="LLPykalanOtsikko"/>
        <w:keepNext/>
      </w:pPr>
      <w:r>
        <w:t>Mase na oseh in podstavnih vozičkih</w:t>
      </w:r>
    </w:p>
    <w:p w:rsidR="008A0B0A" w:rsidRPr="007E23E2" w:rsidRDefault="008A0B0A" w:rsidP="00C245D5">
      <w:pPr>
        <w:pStyle w:val="LLMomentinJohdantoKappale"/>
        <w:keepNext/>
      </w:pPr>
      <w:r>
        <w:t>Pri vožnji motornega vozila ali priklopnega vozila po cesti masa na njegovi osi ne sme presegati naslednjih vrednosti:</w:t>
      </w:r>
    </w:p>
    <w:p w:rsidR="004A1943" w:rsidRPr="007E23E2" w:rsidRDefault="004A1943" w:rsidP="00C245D5">
      <w:pPr>
        <w:pStyle w:val="LLNormaali"/>
        <w:keepNext/>
      </w:pPr>
    </w:p>
    <w:tbl>
      <w:tblPr>
        <w:tblStyle w:val="TableGrid"/>
        <w:tblW w:w="0" w:type="auto"/>
        <w:tblLook w:val="04A0" w:firstRow="1" w:lastRow="0" w:firstColumn="1" w:lastColumn="0" w:noHBand="0" w:noVBand="1"/>
      </w:tblPr>
      <w:tblGrid>
        <w:gridCol w:w="4168"/>
        <w:gridCol w:w="4168"/>
      </w:tblGrid>
      <w:tr w:rsidR="00921B70" w:rsidRPr="007E23E2" w:rsidTr="00921B70">
        <w:tc>
          <w:tcPr>
            <w:tcW w:w="4168" w:type="dxa"/>
          </w:tcPr>
          <w:p w:rsidR="00921B70" w:rsidRPr="007E23E2" w:rsidRDefault="00EC043B" w:rsidP="00EC043B">
            <w:pPr>
              <w:pStyle w:val="LLMomentinKohta"/>
              <w:rPr>
                <w:sz w:val="20"/>
                <w:szCs w:val="20"/>
              </w:rPr>
            </w:pPr>
            <w:r>
              <w:rPr>
                <w:sz w:val="20"/>
              </w:rPr>
              <w:t>(1) nepogonska os</w:t>
            </w:r>
          </w:p>
        </w:tc>
        <w:tc>
          <w:tcPr>
            <w:tcW w:w="4168" w:type="dxa"/>
          </w:tcPr>
          <w:p w:rsidR="00921B70" w:rsidRPr="007E23E2" w:rsidRDefault="00921B70" w:rsidP="00921B70">
            <w:pPr>
              <w:pStyle w:val="LLMomentinKohta"/>
              <w:rPr>
                <w:sz w:val="20"/>
                <w:szCs w:val="20"/>
              </w:rPr>
            </w:pPr>
            <w:r>
              <w:rPr>
                <w:sz w:val="20"/>
              </w:rPr>
              <w:t>10 t</w:t>
            </w:r>
          </w:p>
        </w:tc>
      </w:tr>
      <w:tr w:rsidR="00921B70" w:rsidRPr="007E23E2" w:rsidTr="00921B70">
        <w:tc>
          <w:tcPr>
            <w:tcW w:w="4168" w:type="dxa"/>
          </w:tcPr>
          <w:p w:rsidR="00921B70" w:rsidRPr="007E23E2" w:rsidRDefault="00921B70" w:rsidP="00921B70">
            <w:pPr>
              <w:pStyle w:val="LLMomentinKohta"/>
              <w:rPr>
                <w:sz w:val="20"/>
                <w:szCs w:val="20"/>
              </w:rPr>
            </w:pPr>
            <w:r>
              <w:rPr>
                <w:sz w:val="20"/>
              </w:rPr>
              <w:t>(2) pogonska os</w:t>
            </w:r>
          </w:p>
        </w:tc>
        <w:tc>
          <w:tcPr>
            <w:tcW w:w="4168" w:type="dxa"/>
          </w:tcPr>
          <w:p w:rsidR="00921B70" w:rsidRPr="007E23E2" w:rsidRDefault="00921B70" w:rsidP="00921B70">
            <w:pPr>
              <w:pStyle w:val="LLMomentinKohta"/>
              <w:rPr>
                <w:sz w:val="20"/>
                <w:szCs w:val="20"/>
              </w:rPr>
            </w:pPr>
            <w:r>
              <w:rPr>
                <w:sz w:val="20"/>
              </w:rPr>
              <w:t>11,5 t</w:t>
            </w:r>
          </w:p>
        </w:tc>
      </w:tr>
    </w:tbl>
    <w:p w:rsidR="00921B70" w:rsidRPr="007E23E2" w:rsidRDefault="00921B70" w:rsidP="00427716">
      <w:pPr>
        <w:pStyle w:val="LLMomentinKohta"/>
      </w:pPr>
    </w:p>
    <w:p w:rsidR="008A0B0A" w:rsidRPr="007E23E2" w:rsidRDefault="008A0B0A" w:rsidP="00C245D5">
      <w:pPr>
        <w:pStyle w:val="LLMomentinJohdantoKappale"/>
        <w:keepNext/>
      </w:pPr>
      <w:r>
        <w:t>Pri vožnji motornega vozila po cesti masa na njegovem podstavnem vozičku ne sme presegati naslednjih vrednosti:</w:t>
      </w:r>
    </w:p>
    <w:p w:rsidR="004A1943" w:rsidRPr="007E23E2" w:rsidRDefault="004A1943" w:rsidP="00C245D5">
      <w:pPr>
        <w:pStyle w:val="LLMomentinKohta"/>
        <w:keepNext/>
      </w:pPr>
    </w:p>
    <w:tbl>
      <w:tblPr>
        <w:tblStyle w:val="TableGrid"/>
        <w:tblW w:w="0" w:type="auto"/>
        <w:tblLook w:val="04A0" w:firstRow="1" w:lastRow="0" w:firstColumn="1" w:lastColumn="0" w:noHBand="0" w:noVBand="1"/>
      </w:tblPr>
      <w:tblGrid>
        <w:gridCol w:w="4957"/>
        <w:gridCol w:w="850"/>
      </w:tblGrid>
      <w:tr w:rsidR="00921B70" w:rsidRPr="007E23E2" w:rsidTr="007E23E2">
        <w:tc>
          <w:tcPr>
            <w:tcW w:w="4957" w:type="dxa"/>
          </w:tcPr>
          <w:p w:rsidR="00921B70" w:rsidRPr="007E23E2" w:rsidRDefault="00921B70" w:rsidP="00921B70">
            <w:pPr>
              <w:pStyle w:val="LLMomentinKohta"/>
              <w:rPr>
                <w:sz w:val="20"/>
                <w:szCs w:val="20"/>
              </w:rPr>
            </w:pPr>
            <w:r>
              <w:rPr>
                <w:sz w:val="20"/>
              </w:rPr>
              <w:t>(1) podstavni voziček s tandemsko osjo, če je razmik med osmi manj kot 1,0 m</w:t>
            </w:r>
          </w:p>
        </w:tc>
        <w:tc>
          <w:tcPr>
            <w:tcW w:w="850" w:type="dxa"/>
          </w:tcPr>
          <w:p w:rsidR="00921B70" w:rsidRPr="007E23E2" w:rsidRDefault="00921B70" w:rsidP="00921B70">
            <w:pPr>
              <w:pStyle w:val="LLMomentinKohta"/>
              <w:rPr>
                <w:sz w:val="20"/>
                <w:szCs w:val="20"/>
              </w:rPr>
            </w:pPr>
            <w:r>
              <w:rPr>
                <w:sz w:val="20"/>
              </w:rPr>
              <w:t>11 t</w:t>
            </w:r>
          </w:p>
        </w:tc>
      </w:tr>
      <w:tr w:rsidR="00921B70" w:rsidRPr="007E23E2" w:rsidTr="007E23E2">
        <w:tc>
          <w:tcPr>
            <w:tcW w:w="4957" w:type="dxa"/>
          </w:tcPr>
          <w:p w:rsidR="00921B70" w:rsidRPr="007E23E2" w:rsidRDefault="00921B70" w:rsidP="00A80A40">
            <w:pPr>
              <w:pStyle w:val="LLMomentinKohta"/>
              <w:rPr>
                <w:sz w:val="20"/>
                <w:szCs w:val="20"/>
              </w:rPr>
            </w:pPr>
            <w:r>
              <w:rPr>
                <w:sz w:val="20"/>
              </w:rPr>
              <w:t>(2) podstavni voziček s tandemsko osjo, če razmik med osmi ni manj kot 1,0 m, vendar manj kot 1,3 m</w:t>
            </w:r>
          </w:p>
        </w:tc>
        <w:tc>
          <w:tcPr>
            <w:tcW w:w="850" w:type="dxa"/>
          </w:tcPr>
          <w:p w:rsidR="00921B70" w:rsidRPr="007E23E2" w:rsidRDefault="00921B70" w:rsidP="007E23E2">
            <w:pPr>
              <w:pStyle w:val="LLMomentinKohta"/>
              <w:rPr>
                <w:sz w:val="20"/>
                <w:szCs w:val="20"/>
              </w:rPr>
            </w:pPr>
            <w:r>
              <w:rPr>
                <w:sz w:val="20"/>
              </w:rPr>
              <w:t>16 t</w:t>
            </w:r>
          </w:p>
        </w:tc>
      </w:tr>
      <w:tr w:rsidR="00921B70" w:rsidRPr="007E23E2" w:rsidTr="007E23E2">
        <w:tc>
          <w:tcPr>
            <w:tcW w:w="4957" w:type="dxa"/>
          </w:tcPr>
          <w:p w:rsidR="00921B70" w:rsidRPr="007E23E2" w:rsidRDefault="00921B70" w:rsidP="00921B70">
            <w:pPr>
              <w:pStyle w:val="LLMomentinKohta"/>
              <w:rPr>
                <w:sz w:val="20"/>
                <w:szCs w:val="20"/>
              </w:rPr>
            </w:pPr>
            <w:r>
              <w:rPr>
                <w:sz w:val="20"/>
              </w:rPr>
              <w:t>(3) podstavni voziček s tandemsko osjo, če razmik med osmi ni manj kot 1,3 m, vendar manj kot 1,8 m</w:t>
            </w:r>
          </w:p>
        </w:tc>
        <w:tc>
          <w:tcPr>
            <w:tcW w:w="850" w:type="dxa"/>
          </w:tcPr>
          <w:p w:rsidR="00921B70" w:rsidRPr="007E23E2" w:rsidRDefault="00921B70" w:rsidP="007E23E2">
            <w:pPr>
              <w:pStyle w:val="LLMomentinKohta"/>
              <w:rPr>
                <w:sz w:val="20"/>
                <w:szCs w:val="20"/>
              </w:rPr>
            </w:pPr>
            <w:r>
              <w:rPr>
                <w:sz w:val="20"/>
              </w:rPr>
              <w:t>18 t</w:t>
            </w:r>
          </w:p>
        </w:tc>
      </w:tr>
      <w:tr w:rsidR="00921B70" w:rsidRPr="007E23E2" w:rsidTr="007E23E2">
        <w:tc>
          <w:tcPr>
            <w:tcW w:w="4957" w:type="dxa"/>
          </w:tcPr>
          <w:p w:rsidR="00921B70" w:rsidRPr="007E23E2" w:rsidRDefault="00921B70" w:rsidP="00EC043B">
            <w:pPr>
              <w:pStyle w:val="LLMomentinKohta"/>
              <w:rPr>
                <w:sz w:val="20"/>
                <w:szCs w:val="20"/>
              </w:rPr>
            </w:pPr>
            <w:r>
              <w:rPr>
                <w:sz w:val="20"/>
              </w:rPr>
              <w:t>(4) podstavni voziček s tandemsko osjo, če razmik med osmi ni manj kot 1,3 m, vendar manj kot 1,8 m, pri čemer je vsaka pogonska os opremljena z dvojnimi kolesi in masa na vsaki osi ne presega 9,5 t</w:t>
            </w:r>
          </w:p>
        </w:tc>
        <w:tc>
          <w:tcPr>
            <w:tcW w:w="850" w:type="dxa"/>
          </w:tcPr>
          <w:p w:rsidR="00921B70" w:rsidRPr="007E23E2" w:rsidRDefault="00921B70" w:rsidP="00921B70">
            <w:pPr>
              <w:pStyle w:val="LLMomentinKohta"/>
              <w:rPr>
                <w:sz w:val="20"/>
                <w:szCs w:val="20"/>
              </w:rPr>
            </w:pPr>
            <w:r>
              <w:rPr>
                <w:sz w:val="20"/>
              </w:rPr>
              <w:t>19 t</w:t>
            </w:r>
          </w:p>
        </w:tc>
      </w:tr>
      <w:tr w:rsidR="00921B70" w:rsidRPr="007E23E2" w:rsidTr="007E23E2">
        <w:tc>
          <w:tcPr>
            <w:tcW w:w="4957" w:type="dxa"/>
          </w:tcPr>
          <w:p w:rsidR="00921B70" w:rsidRPr="007E23E2" w:rsidRDefault="00921B70" w:rsidP="00921B70">
            <w:pPr>
              <w:pStyle w:val="LLMomentinKohta"/>
              <w:rPr>
                <w:sz w:val="20"/>
                <w:szCs w:val="20"/>
              </w:rPr>
            </w:pPr>
            <w:r>
              <w:rPr>
                <w:sz w:val="20"/>
              </w:rPr>
              <w:t>(5) podstavni voziček s tandemsko osjo, če razmik med osmi ni manj kot 1,3 m, vendar manj kot 1,8 m, pri čemer je pogonska os opremljena z dvojnimi kolesi in zračnim vzmetenjem ali vzmetenjem, ki velja za enakovredno zračnemu vzmetenju</w:t>
            </w:r>
          </w:p>
        </w:tc>
        <w:tc>
          <w:tcPr>
            <w:tcW w:w="850" w:type="dxa"/>
          </w:tcPr>
          <w:p w:rsidR="00921B70" w:rsidRPr="007E23E2" w:rsidRDefault="00921B70" w:rsidP="00921B70">
            <w:pPr>
              <w:pStyle w:val="LLMomentinKohta"/>
              <w:rPr>
                <w:sz w:val="20"/>
                <w:szCs w:val="20"/>
              </w:rPr>
            </w:pPr>
            <w:r>
              <w:rPr>
                <w:sz w:val="20"/>
              </w:rPr>
              <w:t>20 t</w:t>
            </w:r>
          </w:p>
        </w:tc>
      </w:tr>
      <w:tr w:rsidR="00921B70" w:rsidRPr="007E23E2" w:rsidTr="007E23E2">
        <w:tc>
          <w:tcPr>
            <w:tcW w:w="4957" w:type="dxa"/>
          </w:tcPr>
          <w:p w:rsidR="00921B70" w:rsidRPr="007E23E2" w:rsidRDefault="00921B70" w:rsidP="00921B70">
            <w:pPr>
              <w:pStyle w:val="LLMomentinKohta"/>
              <w:rPr>
                <w:sz w:val="20"/>
                <w:szCs w:val="20"/>
              </w:rPr>
            </w:pPr>
            <w:r>
              <w:rPr>
                <w:sz w:val="20"/>
              </w:rPr>
              <w:t>(6) podstavni voziček s tandemsko osjo, če razmik med osmi ni manj kot 1,3 m, vendar manj kot 1,8 m, in je vozna os opremljena z dvojnimi kolesi in zračnim vzmetenjem ali vzmetenjem, ki velja za enakovredno zračnemu vzmetenju, ali sta obe osi podstavnega vozička opremljeni z dvojnimi kolesi in masa na vsaki osi ne presega 10,5 t</w:t>
            </w:r>
          </w:p>
        </w:tc>
        <w:tc>
          <w:tcPr>
            <w:tcW w:w="850" w:type="dxa"/>
          </w:tcPr>
          <w:p w:rsidR="00921B70" w:rsidRPr="007E23E2" w:rsidRDefault="00921B70" w:rsidP="007E23E2">
            <w:pPr>
              <w:pStyle w:val="LLMomentinKohta"/>
              <w:rPr>
                <w:sz w:val="20"/>
                <w:szCs w:val="20"/>
              </w:rPr>
            </w:pPr>
            <w:r>
              <w:rPr>
                <w:sz w:val="20"/>
              </w:rPr>
              <w:t>24 t</w:t>
            </w:r>
          </w:p>
        </w:tc>
      </w:tr>
      <w:tr w:rsidR="00921B70" w:rsidRPr="007E23E2" w:rsidTr="007E23E2">
        <w:tc>
          <w:tcPr>
            <w:tcW w:w="4957" w:type="dxa"/>
          </w:tcPr>
          <w:p w:rsidR="00921B70" w:rsidRPr="007E23E2" w:rsidRDefault="00921B70" w:rsidP="002622E6">
            <w:pPr>
              <w:pStyle w:val="LLMomentinKohta"/>
              <w:rPr>
                <w:sz w:val="20"/>
                <w:szCs w:val="20"/>
              </w:rPr>
            </w:pPr>
            <w:r>
              <w:rPr>
                <w:sz w:val="20"/>
              </w:rPr>
              <w:t xml:space="preserve">(7) podstavni voziček s tremi osmi, če je razmik med osmi manj kot 1,3 m </w:t>
            </w:r>
          </w:p>
        </w:tc>
        <w:tc>
          <w:tcPr>
            <w:tcW w:w="850" w:type="dxa"/>
          </w:tcPr>
          <w:p w:rsidR="00921B70" w:rsidRPr="007E23E2" w:rsidRDefault="00921B70" w:rsidP="002622E6">
            <w:pPr>
              <w:pStyle w:val="LLMomentinKohta"/>
              <w:rPr>
                <w:sz w:val="20"/>
                <w:szCs w:val="20"/>
              </w:rPr>
            </w:pPr>
            <w:r>
              <w:rPr>
                <w:sz w:val="20"/>
              </w:rPr>
              <w:t>21 t</w:t>
            </w:r>
          </w:p>
        </w:tc>
      </w:tr>
      <w:tr w:rsidR="00921B70" w:rsidRPr="007E23E2" w:rsidTr="007E23E2">
        <w:tc>
          <w:tcPr>
            <w:tcW w:w="4957" w:type="dxa"/>
          </w:tcPr>
          <w:p w:rsidR="00921B70" w:rsidRPr="007E23E2" w:rsidRDefault="00921B70" w:rsidP="002622E6">
            <w:pPr>
              <w:pStyle w:val="LLMomentinKohta"/>
              <w:rPr>
                <w:sz w:val="20"/>
                <w:szCs w:val="20"/>
              </w:rPr>
            </w:pPr>
            <w:r>
              <w:rPr>
                <w:sz w:val="20"/>
              </w:rPr>
              <w:t>(8) podstavni voziček s tremi osmi, če razmik med osmi ni manj kot 1,3 m</w:t>
            </w:r>
          </w:p>
        </w:tc>
        <w:tc>
          <w:tcPr>
            <w:tcW w:w="850" w:type="dxa"/>
          </w:tcPr>
          <w:p w:rsidR="00921B70" w:rsidRPr="007E23E2" w:rsidRDefault="00921B70" w:rsidP="002622E6">
            <w:pPr>
              <w:pStyle w:val="LLMomentinKohta"/>
              <w:rPr>
                <w:sz w:val="20"/>
                <w:szCs w:val="20"/>
              </w:rPr>
            </w:pPr>
            <w:r>
              <w:rPr>
                <w:sz w:val="20"/>
              </w:rPr>
              <w:t>24 t</w:t>
            </w:r>
          </w:p>
        </w:tc>
      </w:tr>
      <w:tr w:rsidR="00921B70" w:rsidRPr="007E23E2" w:rsidTr="007E23E2">
        <w:tc>
          <w:tcPr>
            <w:tcW w:w="4957" w:type="dxa"/>
          </w:tcPr>
          <w:p w:rsidR="00921B70" w:rsidRPr="007E23E2" w:rsidRDefault="002622E6" w:rsidP="00EC043B">
            <w:pPr>
              <w:pStyle w:val="LLMomentinKohta"/>
              <w:rPr>
                <w:sz w:val="20"/>
                <w:szCs w:val="20"/>
              </w:rPr>
            </w:pPr>
            <w:r>
              <w:rPr>
                <w:sz w:val="20"/>
              </w:rPr>
              <w:t>(9) podstavni voziček s tremi osmi, če razmik med osmi ni manj kot 1,3 m in če sta vsaj dve osi podstavnega vozička opremljeni z dvojnimi kolesi</w:t>
            </w:r>
          </w:p>
        </w:tc>
        <w:tc>
          <w:tcPr>
            <w:tcW w:w="850" w:type="dxa"/>
          </w:tcPr>
          <w:p w:rsidR="00921B70" w:rsidRPr="007E23E2" w:rsidRDefault="002622E6" w:rsidP="002622E6">
            <w:pPr>
              <w:pStyle w:val="LLMomentinKohta"/>
              <w:rPr>
                <w:sz w:val="20"/>
                <w:szCs w:val="20"/>
              </w:rPr>
            </w:pPr>
            <w:r>
              <w:rPr>
                <w:sz w:val="20"/>
              </w:rPr>
              <w:t>27 t</w:t>
            </w:r>
          </w:p>
        </w:tc>
      </w:tr>
    </w:tbl>
    <w:p w:rsidR="00C33B4F" w:rsidRPr="007E23E2" w:rsidRDefault="00C33B4F" w:rsidP="002622E6">
      <w:pPr>
        <w:pStyle w:val="LLNormaali"/>
      </w:pPr>
    </w:p>
    <w:p w:rsidR="008A0B0A" w:rsidRPr="007E23E2" w:rsidRDefault="008A0B0A" w:rsidP="00C245D5">
      <w:pPr>
        <w:pStyle w:val="LLMomentinJohdantoKappale"/>
        <w:keepNext/>
      </w:pPr>
      <w:r>
        <w:t>Pri vožnji priklopnika po cesti masa na njegovem podstavnem vozičku ne sme presegati naslednjih vrednosti:</w:t>
      </w:r>
    </w:p>
    <w:p w:rsidR="00264177" w:rsidRPr="007E23E2" w:rsidRDefault="00264177" w:rsidP="00C245D5">
      <w:pPr>
        <w:pStyle w:val="LLMomentinJohdantoKappale"/>
        <w:keepNext/>
      </w:pPr>
    </w:p>
    <w:tbl>
      <w:tblPr>
        <w:tblStyle w:val="TableGrid"/>
        <w:tblW w:w="0" w:type="auto"/>
        <w:tblLook w:val="04A0" w:firstRow="1" w:lastRow="0" w:firstColumn="1" w:lastColumn="0" w:noHBand="0" w:noVBand="1"/>
      </w:tblPr>
      <w:tblGrid>
        <w:gridCol w:w="5098"/>
        <w:gridCol w:w="851"/>
      </w:tblGrid>
      <w:tr w:rsidR="002622E6" w:rsidRPr="007E23E2" w:rsidTr="00C33B4F">
        <w:tc>
          <w:tcPr>
            <w:tcW w:w="5098" w:type="dxa"/>
          </w:tcPr>
          <w:p w:rsidR="002622E6" w:rsidRPr="007E23E2" w:rsidRDefault="002622E6" w:rsidP="002622E6">
            <w:pPr>
              <w:pStyle w:val="LLMomentinKohta"/>
              <w:rPr>
                <w:sz w:val="20"/>
                <w:szCs w:val="20"/>
              </w:rPr>
            </w:pPr>
            <w:r>
              <w:rPr>
                <w:sz w:val="20"/>
              </w:rPr>
              <w:t>(1) podstavni voziček s tandemsko osjo, če je razmik med osmi manj kot 1,0 m</w:t>
            </w:r>
          </w:p>
        </w:tc>
        <w:tc>
          <w:tcPr>
            <w:tcW w:w="851" w:type="dxa"/>
          </w:tcPr>
          <w:p w:rsidR="002622E6" w:rsidRPr="007E23E2" w:rsidRDefault="002622E6" w:rsidP="002622E6">
            <w:pPr>
              <w:pStyle w:val="LLMomentinKohta"/>
              <w:rPr>
                <w:sz w:val="20"/>
                <w:szCs w:val="20"/>
              </w:rPr>
            </w:pPr>
            <w:r>
              <w:rPr>
                <w:sz w:val="20"/>
              </w:rPr>
              <w:t>11 t</w:t>
            </w:r>
          </w:p>
        </w:tc>
      </w:tr>
      <w:tr w:rsidR="002622E6" w:rsidRPr="007E23E2" w:rsidTr="00C33B4F">
        <w:tc>
          <w:tcPr>
            <w:tcW w:w="5098" w:type="dxa"/>
          </w:tcPr>
          <w:p w:rsidR="002622E6" w:rsidRPr="007E23E2" w:rsidRDefault="002622E6" w:rsidP="002622E6">
            <w:pPr>
              <w:pStyle w:val="LLMomentinKohta"/>
              <w:rPr>
                <w:sz w:val="20"/>
                <w:szCs w:val="20"/>
              </w:rPr>
            </w:pPr>
            <w:r>
              <w:rPr>
                <w:sz w:val="20"/>
              </w:rPr>
              <w:t>(2) podstavni voziček s tandemsko osjo, če razmik med osmi ni manj kot 1,0 m, vendar manj kot 1,3 m</w:t>
            </w:r>
          </w:p>
        </w:tc>
        <w:tc>
          <w:tcPr>
            <w:tcW w:w="851" w:type="dxa"/>
          </w:tcPr>
          <w:p w:rsidR="002622E6" w:rsidRPr="007E23E2" w:rsidRDefault="002622E6" w:rsidP="007E23E2">
            <w:pPr>
              <w:pStyle w:val="LLMomentinKohta"/>
              <w:rPr>
                <w:sz w:val="20"/>
                <w:szCs w:val="20"/>
              </w:rPr>
            </w:pPr>
            <w:r>
              <w:rPr>
                <w:sz w:val="20"/>
              </w:rPr>
              <w:t>16 t</w:t>
            </w:r>
          </w:p>
        </w:tc>
      </w:tr>
      <w:tr w:rsidR="002622E6" w:rsidRPr="007E23E2" w:rsidTr="00C33B4F">
        <w:tc>
          <w:tcPr>
            <w:tcW w:w="5098" w:type="dxa"/>
          </w:tcPr>
          <w:p w:rsidR="002622E6" w:rsidRPr="007E23E2" w:rsidRDefault="002622E6" w:rsidP="007E23E2">
            <w:pPr>
              <w:pStyle w:val="LLMomentinKohta"/>
              <w:rPr>
                <w:sz w:val="20"/>
                <w:szCs w:val="20"/>
              </w:rPr>
            </w:pPr>
            <w:r>
              <w:rPr>
                <w:sz w:val="20"/>
              </w:rPr>
              <w:lastRenderedPageBreak/>
              <w:t>(3) podstavni voziček s tandemsko osjo, če razmik med osmi ni manj kot 1,3 m, vendar manj kot 1,8 m</w:t>
            </w:r>
          </w:p>
        </w:tc>
        <w:tc>
          <w:tcPr>
            <w:tcW w:w="851" w:type="dxa"/>
          </w:tcPr>
          <w:p w:rsidR="002622E6" w:rsidRPr="007E23E2" w:rsidRDefault="002622E6" w:rsidP="007E23E2">
            <w:pPr>
              <w:pStyle w:val="LLMomentinKohta"/>
              <w:rPr>
                <w:sz w:val="20"/>
                <w:szCs w:val="20"/>
              </w:rPr>
            </w:pPr>
            <w:r>
              <w:rPr>
                <w:sz w:val="20"/>
              </w:rPr>
              <w:t>18 t</w:t>
            </w:r>
          </w:p>
        </w:tc>
      </w:tr>
      <w:tr w:rsidR="002622E6" w:rsidRPr="007E23E2" w:rsidTr="00C33B4F">
        <w:tc>
          <w:tcPr>
            <w:tcW w:w="5098" w:type="dxa"/>
          </w:tcPr>
          <w:p w:rsidR="002622E6" w:rsidRPr="007E23E2" w:rsidRDefault="002622E6" w:rsidP="002622E6">
            <w:pPr>
              <w:pStyle w:val="LLMomentinKohta"/>
              <w:rPr>
                <w:sz w:val="20"/>
                <w:szCs w:val="20"/>
              </w:rPr>
            </w:pPr>
            <w:r>
              <w:rPr>
                <w:sz w:val="20"/>
              </w:rPr>
              <w:t>(4) podstavni voziček s tandemsko osjo, če razmik med osmi ni manj kot 1,8 m</w:t>
            </w:r>
          </w:p>
        </w:tc>
        <w:tc>
          <w:tcPr>
            <w:tcW w:w="851" w:type="dxa"/>
          </w:tcPr>
          <w:p w:rsidR="002622E6" w:rsidRPr="007E23E2" w:rsidRDefault="002622E6" w:rsidP="002622E6">
            <w:pPr>
              <w:pStyle w:val="LLMomentinKohta"/>
              <w:rPr>
                <w:sz w:val="20"/>
                <w:szCs w:val="20"/>
              </w:rPr>
            </w:pPr>
            <w:r>
              <w:rPr>
                <w:sz w:val="20"/>
              </w:rPr>
              <w:t>20 t</w:t>
            </w:r>
          </w:p>
        </w:tc>
      </w:tr>
      <w:tr w:rsidR="002622E6" w:rsidRPr="007E23E2" w:rsidTr="00C33B4F">
        <w:tc>
          <w:tcPr>
            <w:tcW w:w="5098" w:type="dxa"/>
          </w:tcPr>
          <w:p w:rsidR="002622E6" w:rsidRPr="007E23E2" w:rsidRDefault="002622E6" w:rsidP="002622E6">
            <w:pPr>
              <w:pStyle w:val="LLMomentinKohta"/>
              <w:rPr>
                <w:sz w:val="20"/>
                <w:szCs w:val="20"/>
              </w:rPr>
            </w:pPr>
            <w:r>
              <w:rPr>
                <w:sz w:val="20"/>
              </w:rPr>
              <w:t>(5) podstavni voziček s tremi osmi, če je razmik med zaporednimi osmi manj kot 1,3 m</w:t>
            </w:r>
          </w:p>
        </w:tc>
        <w:tc>
          <w:tcPr>
            <w:tcW w:w="851" w:type="dxa"/>
          </w:tcPr>
          <w:p w:rsidR="002622E6" w:rsidRPr="007E23E2" w:rsidRDefault="002622E6" w:rsidP="002622E6">
            <w:pPr>
              <w:pStyle w:val="LLMomentinKohta"/>
              <w:rPr>
                <w:sz w:val="20"/>
                <w:szCs w:val="20"/>
              </w:rPr>
            </w:pPr>
            <w:r>
              <w:rPr>
                <w:sz w:val="20"/>
              </w:rPr>
              <w:t>21 t</w:t>
            </w:r>
          </w:p>
        </w:tc>
      </w:tr>
      <w:tr w:rsidR="002622E6" w:rsidRPr="007E23E2" w:rsidTr="00C33B4F">
        <w:tc>
          <w:tcPr>
            <w:tcW w:w="5098" w:type="dxa"/>
          </w:tcPr>
          <w:p w:rsidR="002622E6" w:rsidRPr="007E23E2" w:rsidRDefault="002622E6" w:rsidP="002622E6">
            <w:pPr>
              <w:pStyle w:val="LLMomentinKohta"/>
              <w:rPr>
                <w:sz w:val="20"/>
                <w:szCs w:val="20"/>
              </w:rPr>
            </w:pPr>
            <w:r>
              <w:rPr>
                <w:sz w:val="20"/>
              </w:rPr>
              <w:t>(6) podstavni voziček s tremi osmi, če razmik med zaporednimi osmi ni manj kot 1,3 m</w:t>
            </w:r>
          </w:p>
        </w:tc>
        <w:tc>
          <w:tcPr>
            <w:tcW w:w="851" w:type="dxa"/>
          </w:tcPr>
          <w:p w:rsidR="002622E6" w:rsidRPr="007E23E2" w:rsidRDefault="002622E6" w:rsidP="007E23E2">
            <w:pPr>
              <w:pStyle w:val="LLMomentinKohta"/>
              <w:rPr>
                <w:sz w:val="20"/>
                <w:szCs w:val="20"/>
              </w:rPr>
            </w:pPr>
            <w:r>
              <w:rPr>
                <w:sz w:val="20"/>
              </w:rPr>
              <w:t>24 t</w:t>
            </w:r>
          </w:p>
        </w:tc>
      </w:tr>
      <w:tr w:rsidR="002622E6" w:rsidRPr="007E23E2" w:rsidTr="00C33B4F">
        <w:tc>
          <w:tcPr>
            <w:tcW w:w="5098" w:type="dxa"/>
          </w:tcPr>
          <w:p w:rsidR="002622E6" w:rsidRPr="007E23E2" w:rsidRDefault="002622E6" w:rsidP="002622E6">
            <w:pPr>
              <w:pStyle w:val="LLMomentinKohta"/>
              <w:rPr>
                <w:sz w:val="20"/>
                <w:szCs w:val="20"/>
              </w:rPr>
            </w:pPr>
            <w:r>
              <w:rPr>
                <w:sz w:val="20"/>
              </w:rPr>
              <w:t>(7) podstavni voziček z najmanj štirimi osmi, če razmik med najbolj skrajnima osema ni manj kot 2,6 m</w:t>
            </w:r>
          </w:p>
        </w:tc>
        <w:tc>
          <w:tcPr>
            <w:tcW w:w="851" w:type="dxa"/>
          </w:tcPr>
          <w:p w:rsidR="002622E6" w:rsidRPr="007E23E2" w:rsidRDefault="002622E6" w:rsidP="002622E6">
            <w:pPr>
              <w:pStyle w:val="LLMomentinKohta"/>
              <w:rPr>
                <w:sz w:val="20"/>
                <w:szCs w:val="20"/>
              </w:rPr>
            </w:pPr>
            <w:r>
              <w:rPr>
                <w:sz w:val="20"/>
              </w:rPr>
              <w:t>24 t</w:t>
            </w:r>
          </w:p>
        </w:tc>
      </w:tr>
      <w:tr w:rsidR="002622E6" w:rsidRPr="007E23E2" w:rsidTr="00C33B4F">
        <w:tc>
          <w:tcPr>
            <w:tcW w:w="5098" w:type="dxa"/>
          </w:tcPr>
          <w:p w:rsidR="002622E6" w:rsidRPr="007E23E2" w:rsidRDefault="002622E6" w:rsidP="002622E6">
            <w:pPr>
              <w:pStyle w:val="LLMomentinKohta"/>
              <w:rPr>
                <w:sz w:val="20"/>
                <w:szCs w:val="20"/>
              </w:rPr>
            </w:pPr>
            <w:r>
              <w:rPr>
                <w:sz w:val="20"/>
              </w:rPr>
              <w:t>(8) podstavni voziček z najmanj štirimi osmi, če razmik med zaporednimi osmi ni manj kot 1,3 m</w:t>
            </w:r>
          </w:p>
        </w:tc>
        <w:tc>
          <w:tcPr>
            <w:tcW w:w="851" w:type="dxa"/>
          </w:tcPr>
          <w:p w:rsidR="002622E6" w:rsidRPr="007E23E2" w:rsidRDefault="002622E6" w:rsidP="002622E6">
            <w:pPr>
              <w:pStyle w:val="LLMomentinKohta"/>
              <w:rPr>
                <w:sz w:val="20"/>
                <w:szCs w:val="20"/>
              </w:rPr>
            </w:pPr>
            <w:r>
              <w:rPr>
                <w:sz w:val="20"/>
              </w:rPr>
              <w:t>27 t</w:t>
            </w:r>
          </w:p>
        </w:tc>
      </w:tr>
      <w:tr w:rsidR="002622E6" w:rsidRPr="007E23E2" w:rsidTr="00C33B4F">
        <w:tc>
          <w:tcPr>
            <w:tcW w:w="5098" w:type="dxa"/>
          </w:tcPr>
          <w:p w:rsidR="002622E6" w:rsidRPr="007E23E2" w:rsidRDefault="002622E6" w:rsidP="002622E6">
            <w:pPr>
              <w:pStyle w:val="LLMomentinKohta"/>
              <w:rPr>
                <w:sz w:val="20"/>
                <w:szCs w:val="20"/>
              </w:rPr>
            </w:pPr>
            <w:r>
              <w:rPr>
                <w:sz w:val="20"/>
              </w:rPr>
              <w:t>(9) podstavni voziček z najmanj štirimi osmi, če razmik med zaporednimi osmi ni manj kot 1,3 m in razmik med skrajnima osema ni manj kot 4,7 m</w:t>
            </w:r>
          </w:p>
        </w:tc>
        <w:tc>
          <w:tcPr>
            <w:tcW w:w="851" w:type="dxa"/>
          </w:tcPr>
          <w:p w:rsidR="002622E6" w:rsidRPr="007E23E2" w:rsidRDefault="002622E6" w:rsidP="002622E6">
            <w:pPr>
              <w:pStyle w:val="LLMomentinKohta"/>
              <w:rPr>
                <w:sz w:val="20"/>
                <w:szCs w:val="20"/>
              </w:rPr>
            </w:pPr>
            <w:r>
              <w:rPr>
                <w:sz w:val="20"/>
              </w:rPr>
              <w:t>30 t</w:t>
            </w:r>
          </w:p>
        </w:tc>
      </w:tr>
      <w:tr w:rsidR="002622E6" w:rsidRPr="007E23E2" w:rsidTr="00C33B4F">
        <w:tc>
          <w:tcPr>
            <w:tcW w:w="5098" w:type="dxa"/>
          </w:tcPr>
          <w:p w:rsidR="002622E6" w:rsidRPr="007E23E2" w:rsidRDefault="002622E6" w:rsidP="002622E6">
            <w:pPr>
              <w:pStyle w:val="LLMomentinKohta"/>
              <w:rPr>
                <w:sz w:val="20"/>
                <w:szCs w:val="20"/>
              </w:rPr>
            </w:pPr>
            <w:r>
              <w:rPr>
                <w:sz w:val="20"/>
              </w:rPr>
              <w:t>(10) podstavni voziček z najmanj petimi osmi, če razmik med zaporednimi osmi ni manj kot 1,3 m in razmik med skrajnima osema ni manj kot 6,7 m</w:t>
            </w:r>
          </w:p>
        </w:tc>
        <w:tc>
          <w:tcPr>
            <w:tcW w:w="851" w:type="dxa"/>
          </w:tcPr>
          <w:p w:rsidR="002622E6" w:rsidRPr="007E23E2" w:rsidRDefault="002622E6" w:rsidP="002622E6">
            <w:pPr>
              <w:pStyle w:val="LLMomentinKohta"/>
              <w:rPr>
                <w:sz w:val="20"/>
                <w:szCs w:val="20"/>
              </w:rPr>
            </w:pPr>
            <w:r>
              <w:rPr>
                <w:sz w:val="20"/>
              </w:rPr>
              <w:t>36 t</w:t>
            </w:r>
          </w:p>
        </w:tc>
      </w:tr>
    </w:tbl>
    <w:p w:rsidR="00F401DB" w:rsidRPr="007E23E2" w:rsidRDefault="00F401DB" w:rsidP="00C33B4F">
      <w:pPr>
        <w:pStyle w:val="LLNormaali"/>
      </w:pPr>
    </w:p>
    <w:p w:rsidR="008A0B0A" w:rsidRPr="007E23E2" w:rsidRDefault="008A0B0A" w:rsidP="00FD11EE">
      <w:pPr>
        <w:pStyle w:val="LLKappalejako"/>
      </w:pPr>
      <w:r>
        <w:t>Masa na zaporednih oseh podstavnega vozička s temi ali več osmi ne sme presegati največje dovoljene mase za ustrezno število osi, določene v pododdelku 2 ali 3. Masa na osi podstavnega vozička ne sme presegati največje dovoljene mase, določene v pododdelku 1.</w:t>
      </w:r>
    </w:p>
    <w:p w:rsidR="008A0B0A" w:rsidRPr="007E23E2" w:rsidRDefault="008A0B0A" w:rsidP="00C245D5">
      <w:pPr>
        <w:pStyle w:val="LLPykala"/>
        <w:keepNext/>
      </w:pPr>
      <w:r>
        <w:t>Oddelek 22</w:t>
      </w:r>
    </w:p>
    <w:p w:rsidR="008A0B0A" w:rsidRPr="007E23E2" w:rsidRDefault="008A0B0A" w:rsidP="00C245D5">
      <w:pPr>
        <w:pStyle w:val="LLPykalanOtsikko"/>
        <w:keepNext/>
      </w:pPr>
      <w:r>
        <w:t>Masa priklopnika</w:t>
      </w:r>
    </w:p>
    <w:p w:rsidR="008A0B0A" w:rsidRPr="007E23E2" w:rsidRDefault="008A0B0A" w:rsidP="00FD11EE">
      <w:pPr>
        <w:pStyle w:val="LLKappalejako"/>
      </w:pPr>
      <w:r>
        <w:t>Masa polnega priklopnika ne sme presegati vrednosti, ki jo dobimo, če 20 tonam dodamo 350 kg za vsakega 0,1 m, za katerega razdalja med skrajnima osema priklopnika presega 1,80 m.</w:t>
      </w:r>
    </w:p>
    <w:p w:rsidR="00FD11EE" w:rsidRPr="007E23E2" w:rsidRDefault="00FD11EE" w:rsidP="00FD11EE">
      <w:pPr>
        <w:pStyle w:val="LLNormaali"/>
      </w:pPr>
    </w:p>
    <w:p w:rsidR="008A0B0A" w:rsidRPr="007E23E2" w:rsidRDefault="008A0B0A" w:rsidP="00C245D5">
      <w:pPr>
        <w:pStyle w:val="LLPykala"/>
        <w:keepNext/>
      </w:pPr>
      <w:r>
        <w:t>Oddelek 23</w:t>
      </w:r>
    </w:p>
    <w:p w:rsidR="008A0B0A" w:rsidRPr="007E23E2" w:rsidRDefault="008A0B0A" w:rsidP="00C245D5">
      <w:pPr>
        <w:pStyle w:val="LLPykalanOtsikko"/>
        <w:keepNext/>
      </w:pPr>
      <w:r>
        <w:t>Masa skupine vozila in priklopnika</w:t>
      </w:r>
    </w:p>
    <w:p w:rsidR="008A0B0A" w:rsidRPr="007E23E2" w:rsidRDefault="008A0B0A" w:rsidP="00C245D5">
      <w:pPr>
        <w:pStyle w:val="LLMomentinJohdantoKappale"/>
        <w:keepNext/>
      </w:pPr>
      <w:r>
        <w:t>Masa skupine vozil na cesti ne sme presegati naslednjih vrednosti:</w:t>
      </w:r>
    </w:p>
    <w:p w:rsidR="002D1DA4" w:rsidRPr="007E23E2" w:rsidRDefault="002D1DA4" w:rsidP="00FD11EE">
      <w:pPr>
        <w:pStyle w:val="LLMomentinJohdantoKappale"/>
      </w:pPr>
    </w:p>
    <w:p w:rsidR="002D1DA4" w:rsidRPr="007E23E2" w:rsidRDefault="002D1DA4" w:rsidP="00EC043B">
      <w:pPr>
        <w:pStyle w:val="LLMomentinAlakohta"/>
        <w:numPr>
          <w:ilvl w:val="0"/>
          <w:numId w:val="45"/>
        </w:numPr>
        <w:tabs>
          <w:tab w:val="left" w:pos="450"/>
          <w:tab w:val="left" w:pos="6480"/>
        </w:tabs>
        <w:ind w:left="450" w:hanging="280"/>
      </w:pPr>
      <w:r>
        <w:t>skupina motornega vozila in priklopnika s centralno osjo</w:t>
      </w:r>
      <w:r>
        <w:tab/>
        <w:t>50 t</w:t>
      </w:r>
    </w:p>
    <w:p w:rsidR="002D1DA4" w:rsidRPr="007E23E2" w:rsidRDefault="002D1DA4" w:rsidP="002D1DA4">
      <w:pPr>
        <w:pStyle w:val="LLMomentinAlakohta"/>
        <w:ind w:left="170" w:firstLine="0"/>
      </w:pPr>
    </w:p>
    <w:p w:rsidR="002D1DA4" w:rsidRPr="007E23E2" w:rsidRDefault="002D1DA4" w:rsidP="00EC043B">
      <w:pPr>
        <w:pStyle w:val="LLMomentinAlakohta"/>
        <w:tabs>
          <w:tab w:val="left" w:pos="450"/>
        </w:tabs>
      </w:pPr>
      <w:r>
        <w:t>(2)</w:t>
      </w:r>
      <w:r>
        <w:tab/>
        <w:t>skupina motornega vozila in polpriklopnika, skupina motornega vozila in polnega priklopnika ali skupina motornega vozila in več priklopnikov:</w:t>
      </w:r>
    </w:p>
    <w:p w:rsidR="002D1DA4" w:rsidRPr="007E23E2" w:rsidRDefault="002D1DA4" w:rsidP="002D1DA4">
      <w:pPr>
        <w:pStyle w:val="LLMomentinAlakohta"/>
        <w:ind w:left="170" w:firstLine="0"/>
      </w:pPr>
    </w:p>
    <w:p w:rsidR="002D1DA4" w:rsidRPr="007E23E2" w:rsidRDefault="002D1DA4" w:rsidP="00EC043B">
      <w:pPr>
        <w:pStyle w:val="LLMomentinAlakohta"/>
        <w:tabs>
          <w:tab w:val="left" w:pos="6480"/>
        </w:tabs>
        <w:ind w:left="170" w:firstLine="0"/>
      </w:pPr>
      <w:r>
        <w:t>s štirimi osmi</w:t>
      </w:r>
      <w:r>
        <w:tab/>
        <w:t>36 t</w:t>
      </w:r>
    </w:p>
    <w:p w:rsidR="002D1DA4" w:rsidRPr="007E23E2" w:rsidRDefault="002D1DA4" w:rsidP="002D1DA4">
      <w:pPr>
        <w:pStyle w:val="LLMomentinAlakohta"/>
        <w:ind w:left="170" w:firstLine="0"/>
      </w:pPr>
    </w:p>
    <w:p w:rsidR="002D1DA4" w:rsidRPr="007E23E2" w:rsidRDefault="00427716" w:rsidP="00EC043B">
      <w:pPr>
        <w:pStyle w:val="LLMomentinAlakohta"/>
        <w:tabs>
          <w:tab w:val="left" w:pos="6480"/>
        </w:tabs>
        <w:ind w:left="170" w:firstLine="0"/>
      </w:pPr>
      <w:r>
        <w:t>s petimi osmi</w:t>
      </w:r>
      <w:r>
        <w:tab/>
        <w:t>44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s šestimi osmi</w:t>
      </w:r>
      <w:r>
        <w:tab/>
        <w:t>53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s sedmimi osmi</w:t>
      </w:r>
      <w:r>
        <w:tab/>
        <w:t>60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z osmimi osmi</w:t>
      </w:r>
      <w:r>
        <w:tab/>
        <w:t>64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lastRenderedPageBreak/>
        <w:t>z osmimi osmi, pri čemer je vsaj 65 % mase priklopnika ali skupne mase priklopnikov na oseh z dvojnimi kolesi</w:t>
      </w:r>
      <w:r>
        <w:tab/>
      </w:r>
      <w:r>
        <w:rPr>
          <w:i/>
        </w:rPr>
        <w:t>68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z devetimi osmi</w:t>
      </w:r>
      <w:r>
        <w:tab/>
        <w:t>69 t</w:t>
      </w:r>
    </w:p>
    <w:p w:rsidR="00427716" w:rsidRPr="007E23E2" w:rsidRDefault="00427716" w:rsidP="00FD11EE">
      <w:pPr>
        <w:pStyle w:val="LLMomentinJohdantoKappale"/>
      </w:pPr>
    </w:p>
    <w:p w:rsidR="00427716" w:rsidRPr="007E23E2" w:rsidRDefault="00427716" w:rsidP="004A5693">
      <w:pPr>
        <w:pStyle w:val="LLMomentinAlakohta"/>
        <w:tabs>
          <w:tab w:val="left" w:pos="6480"/>
        </w:tabs>
        <w:ind w:left="170" w:firstLine="0"/>
      </w:pPr>
      <w:r>
        <w:t>z najmanj devetimi osmi, pri čemer je vsaj 65 % mase priklopnika ali skupne mase priklopnikov na oseh z dvojnimi kolesi</w:t>
      </w:r>
      <w:r>
        <w:tab/>
        <w:t>76 t</w:t>
      </w:r>
    </w:p>
    <w:p w:rsidR="00427716" w:rsidRPr="007E23E2" w:rsidRDefault="00427716" w:rsidP="00427716">
      <w:pPr>
        <w:pStyle w:val="LLMomentinJohdantoKappale"/>
      </w:pPr>
    </w:p>
    <w:p w:rsidR="00427716" w:rsidRPr="007E23E2" w:rsidRDefault="00427716" w:rsidP="00EC043B">
      <w:pPr>
        <w:pStyle w:val="LLMomentinAlakohta"/>
        <w:tabs>
          <w:tab w:val="left" w:pos="6480"/>
        </w:tabs>
        <w:ind w:left="170" w:firstLine="0"/>
      </w:pPr>
      <w:r>
        <w:t>z 10 osmi</w:t>
      </w:r>
      <w:r>
        <w:tab/>
        <w:t>74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z najmanj 11 osmi</w:t>
      </w:r>
      <w:r>
        <w:tab/>
        <w:t>76 t</w:t>
      </w:r>
    </w:p>
    <w:p w:rsidR="00582328" w:rsidRPr="007E23E2" w:rsidRDefault="00582328" w:rsidP="00FD11EE">
      <w:pPr>
        <w:pStyle w:val="LLMomentinJohdantoKappale"/>
      </w:pPr>
    </w:p>
    <w:p w:rsidR="008A0B0A" w:rsidRPr="007E23E2" w:rsidRDefault="008A0B0A" w:rsidP="00FC06EC">
      <w:pPr>
        <w:pStyle w:val="LLKappalejako"/>
      </w:pPr>
      <w:r>
        <w:t>Pri izračunu števila osi, določenih v pododdelku 1, se os pri povzročeni masi, ki je manjša od 5 t, ne upošteva pri šestosnih ali večosnih skupinah.</w:t>
      </w:r>
    </w:p>
    <w:p w:rsidR="008A0B0A" w:rsidRPr="007E23E2" w:rsidRDefault="008A0B0A" w:rsidP="00FC06EC">
      <w:pPr>
        <w:pStyle w:val="LLKappalejako"/>
      </w:pPr>
      <w:r>
        <w:t>Vsota mas na zadnjem podstavnem vozičku vlečnega vozila in prednjem podstavnem vozičku priklopnika ne sme presegati vrednosti, ki jo dobimo, če dodamo 350 kg 20 tonam za vsakega 0,1 m, za katerega razdalja med skrajnima osema podstavnih vozičkov presega 1,80 m.</w:t>
      </w:r>
    </w:p>
    <w:p w:rsidR="008A0B0A" w:rsidRPr="007E23E2" w:rsidRDefault="008A0B0A" w:rsidP="00FC06EC">
      <w:pPr>
        <w:pStyle w:val="LLKappalejako"/>
      </w:pPr>
      <w:r>
        <w:t>Masa skupine vozil, ki presega 44 t, ne sme presegati vrednosti, ki jo dobimo, če dodamo 320 kg 20 tonam za vsakega 0,1 m, za katerega razdalja med skrajnima osema vozila ali podstavnega vozička presega 1,80 m. To velja tudi za skupino vozil, ki vsebuje vozilo in polpriklopnik, ki je del skupine iz pododdelka 1(b), če njena masa presega 44 t.</w:t>
      </w:r>
    </w:p>
    <w:p w:rsidR="008A0B0A" w:rsidRPr="007E23E2" w:rsidRDefault="008A0B0A" w:rsidP="00FC06EC">
      <w:pPr>
        <w:pStyle w:val="LLKappalejako"/>
      </w:pPr>
      <w:r>
        <w:t>Pri skupini vozil z maso, ki presega 40 t, mora biti razdalja med zadnjo osjo vozila in prednjo osjo priklopnika z maso, ki presega 10 t, najmanj 3,00 m.</w:t>
      </w:r>
    </w:p>
    <w:p w:rsidR="008A0B0A" w:rsidRPr="007E23E2" w:rsidRDefault="008A0B0A" w:rsidP="00FC06EC">
      <w:pPr>
        <w:pStyle w:val="LLKappalejako"/>
      </w:pPr>
      <w:r>
        <w:t>Najmanj 15 % mase skupine vozil mora biti na pogonskih oseh skupine, sestavljene iz vozila in enega ali več priklopnikov, in najmanj 9 % mase skupine vozil mora biti na krmilni osi vlečnega vozila. Če masa skupine vozil presega 68 t, mora biti vsaj 20 % mase skupine na pogonskih oseh.</w:t>
      </w:r>
    </w:p>
    <w:p w:rsidR="008A0B0A" w:rsidRPr="007E23E2" w:rsidRDefault="008A0B0A" w:rsidP="00FC06EC">
      <w:pPr>
        <w:pStyle w:val="LLKappalejako"/>
      </w:pPr>
      <w:r>
        <w:t>Moč motorja pri skupini vozil z maso, ki presega 44 t, mora znašati vsaj 5 kilovatov na tono mase skupine.</w:t>
      </w:r>
    </w:p>
    <w:p w:rsidR="008A0B0A" w:rsidRPr="007E23E2" w:rsidRDefault="008A0B0A" w:rsidP="00FC06EC">
      <w:pPr>
        <w:pStyle w:val="LLKappalejako"/>
      </w:pPr>
      <w:r>
        <w:t>Masa skupine lahko presega največjo dovoljeno vrednost iz pododdelka 1, če so izpolnjeni pogoji iz oddelka 21(6) zgoraj, pod pogojem da je motorno vozilo, ki uporablja alternativna goriva iz navedenega pododdelka, del skupine.</w:t>
      </w:r>
    </w:p>
    <w:p w:rsidR="00FD11EE" w:rsidRPr="007E23E2" w:rsidRDefault="00FD11EE" w:rsidP="00F8307A">
      <w:pPr>
        <w:pStyle w:val="LLNormaali"/>
      </w:pPr>
    </w:p>
    <w:p w:rsidR="008A0B0A" w:rsidRPr="007E23E2" w:rsidRDefault="008A0B0A" w:rsidP="00C245D5">
      <w:pPr>
        <w:pStyle w:val="LLPykala"/>
        <w:keepNext/>
      </w:pPr>
      <w:r>
        <w:t>Oddelek 23 a</w:t>
      </w:r>
    </w:p>
    <w:p w:rsidR="008A0B0A" w:rsidRPr="007E23E2" w:rsidRDefault="008A0B0A" w:rsidP="00C245D5">
      <w:pPr>
        <w:pStyle w:val="LLPykalanOtsikko"/>
        <w:keepNext/>
      </w:pPr>
      <w:r>
        <w:t>Odstopanje za maso skupine vozil, ki se uporablja za prevoz nevarnega tovora</w:t>
      </w:r>
    </w:p>
    <w:p w:rsidR="008A0B0A" w:rsidRPr="007E23E2" w:rsidRDefault="008A0B0A" w:rsidP="00FD11EE">
      <w:pPr>
        <w:pStyle w:val="LLMomentinJohdantoKappale"/>
      </w:pPr>
      <w:r>
        <w:t>Z odstopanjem od oddelka 23(1)(b), če za prevoz velja Zakon o prevozu nevarnega tovora (719/1994), je največja dovoljena masa skupine vozila</w:t>
      </w:r>
    </w:p>
    <w:p w:rsidR="008A0B0A" w:rsidRPr="007E23E2" w:rsidRDefault="008A0B0A" w:rsidP="00FD11EE">
      <w:pPr>
        <w:pStyle w:val="LLMomentinKohta"/>
      </w:pPr>
      <w:r>
        <w:t>(1) z najmanj sedmimi osmi, 60 t;</w:t>
      </w:r>
    </w:p>
    <w:p w:rsidR="008A0B0A" w:rsidRPr="007E23E2" w:rsidRDefault="008A0B0A" w:rsidP="00FD11EE">
      <w:pPr>
        <w:pStyle w:val="LLMomentinKohta"/>
      </w:pPr>
      <w:r>
        <w:t>(2) 64 t v primeru skupine vlečnega vozila z najmanj tremi osmi in polpriklopnika z najmanj petimi osmi;</w:t>
      </w:r>
    </w:p>
    <w:p w:rsidR="008A0B0A" w:rsidRPr="007E23E2" w:rsidRDefault="008A0B0A" w:rsidP="00FD11EE">
      <w:pPr>
        <w:pStyle w:val="LLMomentinKohta"/>
      </w:pPr>
      <w:r>
        <w:t>(3) 68 t,</w:t>
      </w:r>
    </w:p>
    <w:p w:rsidR="008A0B0A" w:rsidRPr="007E23E2" w:rsidRDefault="008A0B0A" w:rsidP="00582328">
      <w:pPr>
        <w:pStyle w:val="LLMomentinAlakohta"/>
      </w:pPr>
      <w:r>
        <w:t>(a) če ima skupina vozil najmanj osem osi in vlečno vozilo skupine najmanj štiri osi ali</w:t>
      </w:r>
    </w:p>
    <w:p w:rsidR="008A0B0A" w:rsidRPr="007E23E2" w:rsidRDefault="008A0B0A" w:rsidP="00FD11EE">
      <w:pPr>
        <w:pStyle w:val="LLMomentinAlakohta"/>
      </w:pPr>
      <w:r>
        <w:t>(b) če ima vlečno vozilo skupine vozil najmanj tri osi in zadevna skupina obsega motorno vozilo z najmanj osmimi osmi in dvema polpriklopnikoma.</w:t>
      </w:r>
    </w:p>
    <w:p w:rsidR="008A0B0A" w:rsidRPr="007E23E2" w:rsidRDefault="008A0B0A" w:rsidP="00FD11EE">
      <w:pPr>
        <w:pStyle w:val="LLMomentinAlakohta"/>
      </w:pPr>
      <w:r>
        <w:t>V skupinah vozil z največ osmimi osmi z maso več kot 64 t morajo najmanj 65 % mase priklopnika ali skupne mase priklopnikov nositi osi z dvojnimi kolesi. Vendar se zahteva ne uporablja za prevoz nevarnih snovi v rezervoarju, če količina prevažane nevarne snovi presega 5 t.</w:t>
      </w:r>
    </w:p>
    <w:p w:rsidR="008A0B0A" w:rsidRPr="007E23E2" w:rsidRDefault="008A0B0A" w:rsidP="00FD11EE">
      <w:pPr>
        <w:pStyle w:val="LLMomentinAlakohta"/>
      </w:pPr>
      <w:r>
        <w:lastRenderedPageBreak/>
        <w:t>Določbe odstavkov 1 in 2 zgoraj se ne uporabljajo za prevoz pakiranega tovora, če količina prevažane nevarne snovi ne presega mejnih vrednosti, navedenih ali določenih v skladu z zakonom iz odstavka 1, ki se nanaša na izjeme v zvezi s količinami, prevažanimi v prevozni enoti.</w:t>
      </w:r>
    </w:p>
    <w:p w:rsidR="00FD11EE" w:rsidRPr="007E23E2" w:rsidRDefault="00FD11EE" w:rsidP="00FD11EE">
      <w:pPr>
        <w:pStyle w:val="LLNormaali"/>
      </w:pPr>
    </w:p>
    <w:p w:rsidR="008A0B0A" w:rsidRPr="007E23E2" w:rsidRDefault="008A0B0A" w:rsidP="00C245D5">
      <w:pPr>
        <w:pStyle w:val="LLPykala"/>
        <w:keepNext/>
      </w:pPr>
      <w:r>
        <w:t>Oddelek 24</w:t>
      </w:r>
    </w:p>
    <w:p w:rsidR="008A0B0A" w:rsidRPr="007E23E2" w:rsidRDefault="008A0B0A" w:rsidP="00C245D5">
      <w:pPr>
        <w:pStyle w:val="LLPykalanOtsikko"/>
        <w:keepNext/>
      </w:pPr>
      <w:r>
        <w:t>Dolžina vozila, priklopnika ali njune skupine</w:t>
      </w:r>
    </w:p>
    <w:p w:rsidR="008A0B0A" w:rsidRPr="007E23E2" w:rsidRDefault="008A0B0A" w:rsidP="00C245D5">
      <w:pPr>
        <w:pStyle w:val="LLMomentinJohdantoKappale"/>
        <w:keepNext/>
      </w:pPr>
      <w:r>
        <w:t>Dolžina vozila ne sme presegati naslednjih vrednosti:</w:t>
      </w:r>
    </w:p>
    <w:p w:rsidR="00921B70" w:rsidRPr="007E23E2" w:rsidRDefault="00921B70" w:rsidP="00C245D5">
      <w:pPr>
        <w:pStyle w:val="LLNormaali"/>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230"/>
        <w:gridCol w:w="1326"/>
      </w:tblGrid>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(1) avtobus ali potovalni avtobus (kategoriji M</w:t>
            </w:r>
            <w:r>
              <w:rPr>
                <w:vertAlign w:val="subscript"/>
              </w:rPr>
              <w:t>2</w:t>
            </w:r>
            <w:r>
              <w:t xml:space="preserve"> in M</w:t>
            </w:r>
            <w:r>
              <w:rPr>
                <w:vertAlign w:val="subscript"/>
              </w:rPr>
              <w:t>3</w:t>
            </w:r>
            <w:r>
              <w:t>)</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13,50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vendar pa, če ima vsaj tri osi</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15,00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vendar pa, če je zgiben</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18,75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vendar pa, če ima zgibno vozilo več kot en zgibni del</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25,25 m</w:t>
            </w:r>
          </w:p>
        </w:tc>
      </w:tr>
      <w:tr w:rsidR="00410079" w:rsidRPr="007E23E2" w:rsidTr="002336DB">
        <w:trPr>
          <w:tblCellSpacing w:w="15" w:type="dxa"/>
        </w:trPr>
        <w:tc>
          <w:tcPr>
            <w:tcW w:w="0" w:type="auto"/>
            <w:tcBorders>
              <w:right w:val="single" w:sz="6" w:space="0" w:color="000000"/>
            </w:tcBorders>
            <w:hideMark/>
          </w:tcPr>
          <w:p w:rsidR="00410079" w:rsidRPr="007E23E2" w:rsidRDefault="00410079" w:rsidP="00410079">
            <w:pPr>
              <w:pStyle w:val="LLMomentinKohta"/>
              <w:rPr>
                <w:sz w:val="24"/>
              </w:rPr>
            </w:pPr>
            <w:r>
              <w:t>(2) druga motorna vozila</w:t>
            </w:r>
          </w:p>
        </w:tc>
        <w:tc>
          <w:tcPr>
            <w:tcW w:w="0" w:type="auto"/>
            <w:tcBorders>
              <w:left w:val="single" w:sz="6" w:space="0" w:color="000000"/>
            </w:tcBorders>
            <w:hideMark/>
          </w:tcPr>
          <w:p w:rsidR="00410079" w:rsidRPr="007E23E2" w:rsidRDefault="00410079" w:rsidP="007E23E2">
            <w:pPr>
              <w:pStyle w:val="LLMomentinKohta"/>
              <w:rPr>
                <w:sz w:val="24"/>
              </w:rPr>
            </w:pPr>
            <w:r>
              <w:t>13,00 m</w:t>
            </w:r>
          </w:p>
        </w:tc>
      </w:tr>
    </w:tbl>
    <w:p w:rsidR="008A0B0A" w:rsidRPr="007E23E2" w:rsidRDefault="008A0B0A" w:rsidP="00FD11EE">
      <w:pPr>
        <w:pStyle w:val="LLMomentinJohdantoKappale"/>
      </w:pPr>
      <w:r>
        <w:t>Dolžina priklopnika ne sme presegati naslednjih vrednosti:</w:t>
      </w: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382"/>
        <w:gridCol w:w="1174"/>
      </w:tblGrid>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7E23E2">
            <w:pPr>
              <w:pStyle w:val="LLMomentinKohta"/>
              <w:rPr>
                <w:strike/>
                <w:sz w:val="24"/>
              </w:rPr>
            </w:pPr>
            <w:r>
              <w:t>(1) razdalja od navpične osi kraljevega čepa polpriklopnika do skrajne točke priklopnika na zadnji strani</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18,00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pPr>
            <w:r>
              <w:t>(2) v primeru polnega priklopnika v skupini vozil z dolžino več kot 22,00 m razdalja od točke obračanja prednjih osi do skrajne točke priklopnika na zadnji strani</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16,00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rPr>
                <w:sz w:val="24"/>
              </w:rPr>
            </w:pPr>
            <w:r>
              <w:t>od navpične osi kraljevega čepa ali točke obračanja prednjih osi, navedenih v odstavkih 1 in 2, do katere koli točke naprej od zadevne točke, z izjemo ojesa</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2,04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rPr>
                <w:sz w:val="24"/>
              </w:rPr>
            </w:pPr>
            <w:r>
              <w:t>(3) kakršen koli priklopnik razen teh iz odstavka 1 ali 2, z izjemo ojesa</w:t>
            </w:r>
          </w:p>
        </w:tc>
        <w:tc>
          <w:tcPr>
            <w:tcW w:w="660" w:type="pct"/>
            <w:tcBorders>
              <w:left w:val="single" w:sz="6" w:space="0" w:color="000000"/>
              <w:bottom w:val="single" w:sz="6" w:space="0" w:color="000000"/>
            </w:tcBorders>
            <w:hideMark/>
          </w:tcPr>
          <w:p w:rsidR="00410079" w:rsidRPr="007E23E2" w:rsidRDefault="00410079" w:rsidP="007E23E2">
            <w:pPr>
              <w:pStyle w:val="LLMomentinKohta"/>
              <w:jc w:val="right"/>
              <w:rPr>
                <w:sz w:val="24"/>
              </w:rPr>
            </w:pPr>
            <w:r>
              <w:t>12,50 m</w:t>
            </w:r>
          </w:p>
        </w:tc>
      </w:tr>
    </w:tbl>
    <w:p w:rsidR="008A0B0A" w:rsidRPr="007E23E2" w:rsidRDefault="008A0B0A" w:rsidP="00C245D5">
      <w:pPr>
        <w:pStyle w:val="LLMomentinKohta"/>
        <w:keepNext/>
      </w:pPr>
      <w:r>
        <w:t>Dolžina skupine vozil ne sme presegati naslednjih vrednosti:</w:t>
      </w:r>
    </w:p>
    <w:p w:rsidR="000E10A2" w:rsidRPr="007E23E2" w:rsidRDefault="000E10A2" w:rsidP="00C245D5">
      <w:pPr>
        <w:pStyle w:val="LLMomentinKohta"/>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382"/>
        <w:gridCol w:w="1174"/>
      </w:tblGrid>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(1) skupina osebnega avtomobila ali avtobusa (kategorija M) in priklopnika, ki ni polpriklopnik, ali skupina furgona (kategorija N</w:t>
            </w:r>
            <w:r>
              <w:rPr>
                <w:vertAlign w:val="subscript"/>
              </w:rPr>
              <w:t>1</w:t>
            </w:r>
            <w:r>
              <w:t xml:space="preserve">) in priklopnika, ki ni polpriklopnik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18,75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(2) skupina osebnega avtomobila (kategorija M</w:t>
            </w:r>
            <w:r>
              <w:rPr>
                <w:vertAlign w:val="subscript"/>
              </w:rPr>
              <w:t>1</w:t>
            </w:r>
            <w:r>
              <w:t>) ali furgona (kategorija N</w:t>
            </w:r>
            <w:r>
              <w:rPr>
                <w:vertAlign w:val="subscript"/>
              </w:rPr>
              <w:t>1</w:t>
            </w:r>
            <w:r>
              <w:t>) ali tovornega vozila s kesonom kategorije N</w:t>
            </w:r>
            <w:r>
              <w:rPr>
                <w:vertAlign w:val="subscript"/>
              </w:rPr>
              <w:t>2</w:t>
            </w:r>
            <w:r>
              <w:t xml:space="preserve"> in polpriklopnika, kakor tudi kakršna koli skupina vozil, ki ni navedena v odstavkih 1, 3, 4 ali 5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16,50 m</w:t>
            </w:r>
          </w:p>
        </w:tc>
      </w:tr>
      <w:tr w:rsidR="000E10A2" w:rsidRPr="007E23E2" w:rsidTr="007E23E2">
        <w:trPr>
          <w:tblCellSpacing w:w="15" w:type="dxa"/>
        </w:trPr>
        <w:tc>
          <w:tcPr>
            <w:tcW w:w="4286" w:type="pct"/>
            <w:tcBorders>
              <w:bottom w:val="single" w:sz="6" w:space="0" w:color="000000"/>
              <w:right w:val="single" w:sz="6" w:space="0" w:color="000000"/>
            </w:tcBorders>
          </w:tcPr>
          <w:p w:rsidR="000E10A2" w:rsidRPr="007E23E2" w:rsidRDefault="000E10A2" w:rsidP="000E10A2">
            <w:pPr>
              <w:pStyle w:val="LLMomentinKohta"/>
            </w:pPr>
            <w:r>
              <w:t>(3) skupina tovornega vozila s kesonom kategorije N</w:t>
            </w:r>
            <w:r>
              <w:rPr>
                <w:vertAlign w:val="subscript"/>
              </w:rPr>
              <w:t>3</w:t>
            </w:r>
            <w:r>
              <w:t xml:space="preserve"> in polpriklopnika</w:t>
            </w:r>
          </w:p>
        </w:tc>
        <w:tc>
          <w:tcPr>
            <w:tcW w:w="660" w:type="pct"/>
            <w:tcBorders>
              <w:left w:val="single" w:sz="6" w:space="0" w:color="000000"/>
              <w:bottom w:val="single" w:sz="6" w:space="0" w:color="000000"/>
            </w:tcBorders>
          </w:tcPr>
          <w:p w:rsidR="000E10A2" w:rsidRPr="007E23E2" w:rsidRDefault="000E10A2" w:rsidP="007E23E2">
            <w:pPr>
              <w:pStyle w:val="LLMomentinKohta"/>
              <w:ind w:firstLine="0"/>
              <w:jc w:val="right"/>
            </w:pPr>
            <w:r>
              <w:t>23,00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 xml:space="preserve">(4) skupina motornega vozila, ki ni navedeno v odstavku a, in priklopnika s centralno osjo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20,75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(5) skupina tovornega vozila s kesonom (kategoriji N</w:t>
            </w:r>
            <w:r>
              <w:rPr>
                <w:vertAlign w:val="subscript"/>
              </w:rPr>
              <w:t>2</w:t>
            </w:r>
            <w:r>
              <w:t xml:space="preserve"> in N</w:t>
            </w:r>
            <w:r>
              <w:rPr>
                <w:vertAlign w:val="subscript"/>
              </w:rPr>
              <w:t>3</w:t>
            </w:r>
            <w:r>
              <w:t xml:space="preserve">), ki ni navedeno v odstavkih 2, 3 ali 4, in enega ali več priklopnikov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34,50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 xml:space="preserve">od tega vsota notranjih dolžin tovornega prostora za kabino v vlečnem vozilu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 xml:space="preserve">29,24 m </w:t>
            </w:r>
          </w:p>
        </w:tc>
      </w:tr>
    </w:tbl>
    <w:p w:rsidR="00FC06EC" w:rsidRPr="007E23E2" w:rsidRDefault="00FC06EC" w:rsidP="00EB55F3">
      <w:pPr>
        <w:pStyle w:val="LLKappalejako"/>
      </w:pPr>
    </w:p>
    <w:p w:rsidR="008A0B0A" w:rsidRPr="007E23E2" w:rsidRDefault="008A0B0A" w:rsidP="00EB55F3">
      <w:pPr>
        <w:pStyle w:val="LLKappalejako"/>
      </w:pPr>
      <w:r>
        <w:t>Če je avtobus ali potovalni avtobus opremljen s snemljivo opremo, kot je smučarska omarica, dolžina avtobusa ali potovalnega avtobusa in priključene opreme ne sme presegati mer, določenih v tem oddelku.</w:t>
      </w:r>
    </w:p>
    <w:p w:rsidR="008A0B0A" w:rsidRPr="007E23E2" w:rsidRDefault="008A0B0A" w:rsidP="00EB55F3">
      <w:pPr>
        <w:pStyle w:val="LLKappalejako"/>
      </w:pPr>
      <w:r>
        <w:t>Vozila ali skupine vozil z aerodinamično opremo, navedeno v členu 8 b direktive o merah in masah, lahko presegajo mere, navedene v tem oddelku, razen notranjih dolžin tovornega prostora, pod pogojem da so zahteve iz direktive izpolnjene. Prekoračitev mer je dovoljena samo, če je potrebna za priklapljanje takšne opreme na zadnjo stran vozila ali skupine vozil, kar pa ne sme povzročiti povečanja velikosti tovornega prostora.</w:t>
      </w:r>
    </w:p>
    <w:p w:rsidR="008A0B0A" w:rsidRPr="007E23E2" w:rsidRDefault="008A0B0A" w:rsidP="00EB55F3">
      <w:pPr>
        <w:pStyle w:val="LLKappalejako"/>
      </w:pPr>
      <w:r>
        <w:t>Vozila ali skupine vozil s kabinami, navedenimi v členu 9 a direktive o merah in masah, lahko presegajo mere, navedene v tem oddelku, razen notranjih dolžin tovornega prostora, pod pogojem da so zahteve iz direktive izpolnjene. Prekoračitev mer ne sme povzročiti povečanja velikosti tovornega prostora.</w:t>
      </w:r>
    </w:p>
    <w:p w:rsidR="008A0B0A" w:rsidRPr="007E23E2" w:rsidRDefault="008A0B0A" w:rsidP="00EB55F3">
      <w:pPr>
        <w:pStyle w:val="LLKappalejako"/>
      </w:pPr>
      <w:r>
        <w:t>Mere, določene v tem oddelku, se lahko presežejo za 15 cm s priklopnikom ali skupino vozil, ki se uporablja za prevoz zabojnika dolžine 45 čevljev ali zamenljivega tovorišča dolžine 45 čevljev kot del intermodalnega prevoza iz člena 2 direktive o merah in masah.</w:t>
      </w:r>
    </w:p>
    <w:p w:rsidR="008A0B0A" w:rsidRPr="007E23E2" w:rsidRDefault="008A0B0A" w:rsidP="00EB55F3">
      <w:pPr>
        <w:pStyle w:val="LLMomentinJohdantoKappale"/>
      </w:pPr>
      <w:r>
        <w:t>Vozila ali dodatki, ki se uporabljajo za natovarjanje, se lahko pritrdijo za tovornim prostorom vozil, ki se uporabljajo za prevoz tovora, kljub temu, da zadevno vozilo ali skupina vozil presega največjo dovoljeno dolžino, če:</w:t>
      </w:r>
    </w:p>
    <w:p w:rsidR="008A0B0A" w:rsidRPr="007E23E2" w:rsidRDefault="008A0B0A" w:rsidP="00921B70">
      <w:pPr>
        <w:pStyle w:val="LLMomentinKohta"/>
      </w:pPr>
      <w:r>
        <w:t>(1) prostor, ki se uporablja za prevoz tovora, ne bo povečan;</w:t>
      </w:r>
    </w:p>
    <w:p w:rsidR="008A0B0A" w:rsidRPr="007E23E2" w:rsidRDefault="008A0B0A" w:rsidP="00921B70">
      <w:pPr>
        <w:pStyle w:val="LLMomentinKohta"/>
      </w:pPr>
      <w:r>
        <w:t>(2) nobena druga splošno dovoljena mera razen dolžine ni presežena;</w:t>
      </w:r>
    </w:p>
    <w:p w:rsidR="008A0B0A" w:rsidRPr="007E23E2" w:rsidRDefault="008A0B0A" w:rsidP="00921B70">
      <w:pPr>
        <w:pStyle w:val="LLMomentinKohta"/>
      </w:pPr>
      <w:r>
        <w:t>(3) širina vozila, ki se uporablja za prevoz tovora, ni presežena;</w:t>
      </w:r>
    </w:p>
    <w:p w:rsidR="008A0B0A" w:rsidRPr="007E23E2" w:rsidRDefault="008A0B0A" w:rsidP="00921B70">
      <w:pPr>
        <w:pStyle w:val="LLMomentinKohta"/>
      </w:pPr>
      <w:r>
        <w:t>(4) vozilo, na katero je tukaj navedeno vozilo ali dodatek priključeno, izpolnjuje zahteve, navedene ali določene zanj, z vidika zaščite pred podletom;</w:t>
      </w:r>
    </w:p>
    <w:p w:rsidR="008A0B0A" w:rsidRPr="007E23E2" w:rsidRDefault="008A0B0A" w:rsidP="00921B70">
      <w:pPr>
        <w:pStyle w:val="LLMomentinKohta"/>
      </w:pPr>
      <w:r>
        <w:t>(5) zahteve glede vidnosti in kotov vidnosti luči in zadnje lučke za registrsko tablico, so izpolnjene z lastnimi lučmi vozila in registrsko tablico ali dodatnimi lučmi in registrsko tablico, nameščenimi v ta namen; in</w:t>
      </w:r>
    </w:p>
    <w:p w:rsidR="008A0B0A" w:rsidRPr="007E23E2" w:rsidRDefault="008A0B0A" w:rsidP="00921B70">
      <w:pPr>
        <w:pStyle w:val="LLMomentinKohta"/>
      </w:pPr>
      <w:r>
        <w:t>(6) vozilo ali dodatek, priključen za vozilom, ne predstavlja nevarnosti.</w:t>
      </w:r>
    </w:p>
    <w:p w:rsidR="000E10A2" w:rsidRPr="007E23E2" w:rsidRDefault="000E10A2" w:rsidP="00EB55F3">
      <w:pPr>
        <w:pStyle w:val="LLNormaali"/>
      </w:pPr>
    </w:p>
    <w:p w:rsidR="008A0B0A" w:rsidRPr="007E23E2" w:rsidRDefault="008A0B0A" w:rsidP="00C245D5">
      <w:pPr>
        <w:pStyle w:val="LLPykala"/>
        <w:keepNext/>
      </w:pPr>
      <w:r>
        <w:t>Oddelek 26</w:t>
      </w:r>
    </w:p>
    <w:p w:rsidR="008A0B0A" w:rsidRPr="007E23E2" w:rsidRDefault="008A0B0A" w:rsidP="00C245D5">
      <w:pPr>
        <w:pStyle w:val="LLPykalanOtsikko"/>
        <w:keepNext/>
      </w:pPr>
      <w:r>
        <w:t>Okretnost skupine vozil</w:t>
      </w:r>
    </w:p>
    <w:p w:rsidR="00343150" w:rsidRPr="007E23E2" w:rsidRDefault="008A0B0A" w:rsidP="00D85F19">
      <w:pPr>
        <w:pStyle w:val="LLKappalejako"/>
      </w:pPr>
      <w:r>
        <w:t>Skupina vozila in polpriklopnika, ki ne presega 16,50 m v dolžino, skupina polnega priklopnika ali priklopnika s centralno osjo, ki ne presega 18,75 m v dolžino, in vozilo ali skupina iz pododdelkov 5–7 oddelka 24 zgoraj, morajo biti sposobni manevrirati na obeh straneh skozi celotno krožno pot 360° znotraj območja, ki ga določata dva koncentrična kroga; zunanji krog ima polmer 12,50 m, notranji krog pa polmer 5,30 m. Za skupino polpriklopnikov se šteje, da izpolnjuje to zahtevo, če razdalja od kraljevega čepa sedla do središčnice nekrmiljenih osi podstavnega vozička ni večja od</w:t>
      </w:r>
    </w:p>
    <w:p w:rsidR="000E10A2" w:rsidRPr="007E23E2" w:rsidRDefault="000E10A2" w:rsidP="00D85F19">
      <w:pPr>
        <w:pStyle w:val="LLKappalejako"/>
      </w:pPr>
    </w:p>
    <w:p w:rsidR="00A84BD8" w:rsidRPr="007E23E2" w:rsidRDefault="00A84BD8" w:rsidP="007E23E2">
      <w:pPr>
        <w:pStyle w:val="LLKappalejako"/>
        <w:spacing w:line="240" w:lineRule="auto"/>
        <w:ind w:firstLine="173"/>
      </w:pPr>
      <w:r>
        <w:rPr>
          <w:rFonts w:ascii="Calibri" w:hAnsi="Calibri"/>
          <w:noProof/>
          <w:szCs w:val="22"/>
          <w:lang w:val="en-US" w:eastAsia="en-US" w:bidi="ar-SA"/>
        </w:rPr>
        <w:drawing>
          <wp:inline distT="0" distB="0" distL="0" distR="0" wp14:anchorId="23D5341E" wp14:editId="453D304D">
            <wp:extent cx="3228975" cy="341630"/>
            <wp:effectExtent l="0" t="0" r="9525" b="127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975" cy="341630"/>
                    </a:xfrm>
                    <a:prstGeom prst="rect">
                      <a:avLst/>
                    </a:prstGeom>
                    <a:noFill/>
                  </pic:spPr>
                </pic:pic>
              </a:graphicData>
            </a:graphic>
          </wp:inline>
        </w:drawing>
      </w:r>
    </w:p>
    <w:p w:rsidR="000E10A2" w:rsidRPr="007E23E2" w:rsidRDefault="000E10A2" w:rsidP="00A84BD8">
      <w:pPr>
        <w:pStyle w:val="LLKappalejako"/>
        <w:ind w:firstLine="0"/>
      </w:pPr>
    </w:p>
    <w:p w:rsidR="008A0B0A" w:rsidRPr="007E23E2" w:rsidRDefault="008A0B0A" w:rsidP="00D85F19">
      <w:pPr>
        <w:pStyle w:val="LLKappalejako"/>
      </w:pPr>
      <w:r>
        <w:t>kjer je L širina priklopnika.</w:t>
      </w:r>
    </w:p>
    <w:p w:rsidR="008A0B0A" w:rsidRPr="007E23E2" w:rsidRDefault="008A0B0A" w:rsidP="00D85F19">
      <w:pPr>
        <w:pStyle w:val="LLKappalejako"/>
      </w:pPr>
      <w:r>
        <w:t xml:space="preserve">Skupina vozila in enega ali dveh priklopnikov, ki presega 18,75 m v dolžino, mora biti sposobna obrniti v čistem krogu z zunanjim polmerom 12,50 m in notranjim polmerom 2,0 m. V polpriklopniku ali polnem priklopniku, ki je uporabljen v takšni skupini, razdalja od kraljevega čepa sedla ali točke vrtenja prednje skupine osi do zadnje osi priklopnika z eno osjo ali do središčnice nekrmiljene zadnje skupine osi večosnega priklopnika ne sme presegati 8,15 m. Če so vse zadnje osi priklopnika krmilne osi ali če so nekatere izmed teh osi krmiljene ali če se zadnje osi z nameščenim sedlom lahko premaknejo nazaj za namene povezave z </w:t>
      </w:r>
      <w:r>
        <w:lastRenderedPageBreak/>
        <w:t>drugim polpriklopnikom, zgoraj navedene mere lahko prekoračijo mere v obsegu določbe o okretnosti, določene v tem pododdelku.</w:t>
      </w:r>
    </w:p>
    <w:p w:rsidR="008A0B0A" w:rsidRPr="007E23E2" w:rsidRDefault="008A0B0A" w:rsidP="00D85F19">
      <w:pPr>
        <w:pStyle w:val="LLKappalejako"/>
      </w:pPr>
      <w:r>
        <w:t>Namesto določbe oddelka 2 zgoraj se lahko skupina motornega vozila in enega ali dveh priklopnikov, ki presega 18,75 m v dolžino, ali skupina motornega vozila in polpriklopnika, ki presega 16,50 m v dolžino, obrne tako, da medtem ko njen zunanji rob naredi obrat 120° vzdolž kroga z zunanjim polmerom 12,50 m, notranji rob skupine opravi lok s polmerom najmanj 4,0 m. Kateri koli zadnji vogal priklopnika se ne sme premakniti več kot 0,80 m proti zunanjemu loku, ko se začne ta obrat. Če je bočno gibanje zgoraj navedenega priklopnega vozila manjše od 0,80 m, lahko notranji rob skupine opravi lok, katerega polmer je manjši od 4,00 m, z razliko, pri kateri je stranski premik zadnjega vogala manjši od 0,80 m. Vendar mora notranji rob skupine opraviti lok s polmerom najmanj 3,7 m. Tehnične informacije vozila in skupine, potrebne za dokazilo skladnosti z zahtevami glede okretnosti, morajo spremljati prevoz.</w:t>
      </w:r>
    </w:p>
    <w:p w:rsidR="008A0B0A" w:rsidRPr="007E23E2" w:rsidRDefault="008A0B0A" w:rsidP="00D85F19">
      <w:pPr>
        <w:pStyle w:val="LLKappalejako"/>
      </w:pPr>
      <w:r>
        <w:t>Mere 16,50 m in 18,75 m skupine iz pododdelkov 1–3 zgoraj ne upoštevajo prekoračitev mer iz pododdelkov 5 in 6 oddelka 24.</w:t>
      </w:r>
    </w:p>
    <w:p w:rsidR="00591DDD" w:rsidRPr="007E23E2" w:rsidRDefault="008A0B0A" w:rsidP="00D85F19">
      <w:pPr>
        <w:pStyle w:val="LLKappalejako"/>
      </w:pPr>
      <w:r>
        <w:t>Če je ena ali več nekrmilnih osi ali nekrmiljenih osi podstavnega vozička opremljenih z napravo za dviganje osi, je treba pri uporabi zahtev iz pododdelkov 1–3 upoštevati položaje naprav za dviganje osi, ki izboljšajo obračalni polmer pri nizki hitrosti.</w:t>
      </w:r>
    </w:p>
    <w:p w:rsidR="00591DDD" w:rsidRPr="007E23E2" w:rsidRDefault="00591DDD" w:rsidP="00D85F19">
      <w:pPr>
        <w:pStyle w:val="LLKappalejako"/>
      </w:pPr>
    </w:p>
    <w:p w:rsidR="00591DDD" w:rsidRPr="007E23E2" w:rsidRDefault="00591DDD" w:rsidP="00C245D5">
      <w:pPr>
        <w:pStyle w:val="LLPykala"/>
        <w:keepNext/>
      </w:pPr>
      <w:r>
        <w:t>Oddelek 27</w:t>
      </w:r>
    </w:p>
    <w:p w:rsidR="00591DDD" w:rsidRPr="007E23E2" w:rsidRDefault="00591DDD" w:rsidP="00C245D5">
      <w:pPr>
        <w:pStyle w:val="LLPykalanOtsikko"/>
        <w:keepNext/>
      </w:pPr>
      <w:r>
        <w:t>Uporaba določb o merah in masah za druga vozila</w:t>
      </w:r>
    </w:p>
    <w:p w:rsidR="00591DDD" w:rsidRPr="007E23E2" w:rsidRDefault="00591DDD" w:rsidP="00E53F36">
      <w:pPr>
        <w:pStyle w:val="LLKappalejako"/>
      </w:pPr>
      <w:r>
        <w:t>Mase in glavne mere vozil in skupin vozil, razen teh iz oddelkov 20–23, 23 a, 24 in 25, so, razen odstopanj iz oddelkov 27 a in 28–30, predmet določb oddelkov 19 a, 20–23, 23 a, 24, 25 in 27 a o vozilih z minimalno odstopajočo konstrukcijo. Vendar oddelek 27 a določa glavne mere motornega kolesa, mopeda, tricikla, štirikolesnika in lahkega štirikolesnika. Vendar se oddelek 24(3)(1) in (3–5) ne uporablja za skupino vlačilca in priklopnika.</w:t>
      </w:r>
    </w:p>
    <w:p w:rsidR="00591DDD" w:rsidRPr="007E23E2" w:rsidRDefault="00591DDD" w:rsidP="00E53F36">
      <w:pPr>
        <w:pStyle w:val="LLKappalejako"/>
      </w:pPr>
      <w:r>
        <w:t>Največja dovoljena masa vozila, opremljenega s kovinskimi tiri, je 20 t.</w:t>
      </w:r>
    </w:p>
    <w:p w:rsidR="00D85F19" w:rsidRPr="007E23E2" w:rsidRDefault="00D85F19" w:rsidP="00D85F19">
      <w:pPr>
        <w:pStyle w:val="LLNormaali"/>
      </w:pPr>
    </w:p>
    <w:p w:rsidR="008A0B0A" w:rsidRPr="007E23E2" w:rsidRDefault="008A0B0A" w:rsidP="00C245D5">
      <w:pPr>
        <w:pStyle w:val="LLPykala"/>
        <w:keepNext/>
      </w:pPr>
      <w:r>
        <w:t>Oddelek 32</w:t>
      </w:r>
    </w:p>
    <w:p w:rsidR="008A0B0A" w:rsidRPr="007E23E2" w:rsidRDefault="008A0B0A" w:rsidP="00C245D5">
      <w:pPr>
        <w:pStyle w:val="LLPykalanOtsikko"/>
        <w:keepNext/>
      </w:pPr>
      <w:r>
        <w:t>Vlečena vozila, ki se priklopijo na vozilo</w:t>
      </w:r>
    </w:p>
    <w:p w:rsidR="008A0B0A" w:rsidRPr="007E23E2" w:rsidRDefault="008A0B0A" w:rsidP="00D85F19">
      <w:pPr>
        <w:pStyle w:val="LLKappalejako"/>
      </w:pPr>
      <w:r>
        <w:t>Priklopnik s centralno osjo v kategoriji O</w:t>
      </w:r>
      <w:r>
        <w:rPr>
          <w:vertAlign w:val="subscript"/>
        </w:rPr>
        <w:t>1</w:t>
      </w:r>
      <w:r>
        <w:t xml:space="preserve"> ali O</w:t>
      </w:r>
      <w:r>
        <w:rPr>
          <w:vertAlign w:val="subscript"/>
        </w:rPr>
        <w:t>2</w:t>
      </w:r>
      <w:r>
        <w:t>, polpriklopnik v kategoriji O</w:t>
      </w:r>
      <w:r>
        <w:rPr>
          <w:vertAlign w:val="subscript"/>
        </w:rPr>
        <w:t>2</w:t>
      </w:r>
      <w:r>
        <w:t xml:space="preserve"> ali polni priklopnik v kategoriji O</w:t>
      </w:r>
      <w:r>
        <w:rPr>
          <w:vertAlign w:val="subscript"/>
        </w:rPr>
        <w:t>2</w:t>
      </w:r>
      <w:r>
        <w:t xml:space="preserve"> se lahko priklopi na osebni avtomobil in furgon (kategoriji M</w:t>
      </w:r>
      <w:r>
        <w:rPr>
          <w:vertAlign w:val="subscript"/>
        </w:rPr>
        <w:t>1</w:t>
      </w:r>
      <w:r>
        <w:t xml:space="preserve"> in N</w:t>
      </w:r>
      <w:r>
        <w:rPr>
          <w:vertAlign w:val="subscript"/>
        </w:rPr>
        <w:t>1</w:t>
      </w:r>
      <w:r>
        <w:t>) ter tudi na vozilo za posebne namene. Zavorni sistem polpriklopnika ali polnega priklopnika, priklopljenega na osebni avtomobil ali furgon, mora biti primeren za takšno povezavo in izpolnjevati tehnične zahteve, ki veljajo v času, ko se priklopnik začne uporabljati ali po tem. Polpriklopnik ali polni priklopnik, priklopljen na osebni avtomobil ali furgon, z datumom pričetka uporabe pred 1. januarjem 2011 mora izpolnjevati tehnične zahteve za zavorne sisteme, veljavne 1. januarja 2011 ali kasneje.</w:t>
      </w:r>
    </w:p>
    <w:p w:rsidR="008A0B0A" w:rsidRPr="007E23E2" w:rsidRDefault="008A0B0A" w:rsidP="00D85F19">
      <w:pPr>
        <w:pStyle w:val="LLKappalejako"/>
      </w:pPr>
      <w:r>
        <w:t>Priklopnik s centralno osjo ali polni priklopnik s tandemsko osjo se lahko priklopi na avtobus ali potovalni avtobus (kategoriji M2 in M3).</w:t>
      </w:r>
    </w:p>
    <w:p w:rsidR="008A0B0A" w:rsidRPr="007E23E2" w:rsidRDefault="008A0B0A" w:rsidP="00D85F19">
      <w:pPr>
        <w:pStyle w:val="LLMomentinJohdantoKappale"/>
      </w:pPr>
      <w:r>
        <w:t>Na tovorno vozilo s kesonom (kategoriji N2 in N3) se lahko priklopi:</w:t>
      </w:r>
    </w:p>
    <w:p w:rsidR="008A0B0A" w:rsidRPr="007E23E2" w:rsidRDefault="00591DDD" w:rsidP="00D85F19">
      <w:pPr>
        <w:pStyle w:val="LLMomentinAlakohta"/>
      </w:pPr>
      <w:r>
        <w:t>1) polpriklopnik;</w:t>
      </w:r>
    </w:p>
    <w:p w:rsidR="008A0B0A" w:rsidRPr="007E23E2" w:rsidRDefault="00591DDD" w:rsidP="00D85F19">
      <w:pPr>
        <w:pStyle w:val="LLMomentinAlakohta"/>
      </w:pPr>
      <w:r>
        <w:t>2) priklopnik s centralno osjo;</w:t>
      </w:r>
    </w:p>
    <w:p w:rsidR="008A0B0A" w:rsidRPr="007E23E2" w:rsidRDefault="00591DDD" w:rsidP="00D85F19">
      <w:pPr>
        <w:pStyle w:val="LLMomentinAlakohta"/>
      </w:pPr>
      <w:r>
        <w:t>3) polni priklopnik;</w:t>
      </w:r>
    </w:p>
    <w:p w:rsidR="008A0B0A" w:rsidRPr="007E23E2" w:rsidRDefault="00591DDD" w:rsidP="00D85F19">
      <w:pPr>
        <w:pStyle w:val="LLMomentinAlakohta"/>
      </w:pPr>
      <w:r>
        <w:t>4) podporna os s priklopljenim polpriklopnikom;</w:t>
      </w:r>
    </w:p>
    <w:p w:rsidR="008A0B0A" w:rsidRPr="007E23E2" w:rsidRDefault="00591DDD" w:rsidP="00D85F19">
      <w:pPr>
        <w:pStyle w:val="LLMomentinAlakohta"/>
      </w:pPr>
      <w:r>
        <w:t>5) polpriklopnik s priklopljenim polpriklopnikom;</w:t>
      </w:r>
    </w:p>
    <w:p w:rsidR="008A0B0A" w:rsidRPr="007E23E2" w:rsidRDefault="00591DDD" w:rsidP="00D85F19">
      <w:pPr>
        <w:pStyle w:val="LLMomentinAlakohta"/>
      </w:pPr>
      <w:r>
        <w:t>6) polpriklopnik s priklopljenim priklopnikom s centralno osjo;</w:t>
      </w:r>
    </w:p>
    <w:p w:rsidR="008A0B0A" w:rsidRPr="007E23E2" w:rsidRDefault="00591DDD" w:rsidP="00D85F19">
      <w:pPr>
        <w:pStyle w:val="LLMomentinAlakohta"/>
      </w:pPr>
      <w:r>
        <w:t>7) polpriklopnik s priklopljenim polnim priklopnikom;</w:t>
      </w:r>
    </w:p>
    <w:p w:rsidR="008A0B0A" w:rsidRPr="007E23E2" w:rsidRDefault="00591DDD" w:rsidP="00D85F19">
      <w:pPr>
        <w:pStyle w:val="LLMomentinAlakohta"/>
      </w:pPr>
      <w:r>
        <w:lastRenderedPageBreak/>
        <w:t>8) polpriklopnik s priklopljeno podporno osjo, ki je priklopljena na polpriklopnik;</w:t>
      </w:r>
    </w:p>
    <w:p w:rsidR="008A0B0A" w:rsidRPr="007E23E2" w:rsidRDefault="00591DDD" w:rsidP="00D85F19">
      <w:pPr>
        <w:pStyle w:val="LLMomentinAlakohta"/>
      </w:pPr>
      <w:r>
        <w:t>9) podporna os s priklopljenim polpriklopnikom, na katerega je priklopljen polpriklopnik;</w:t>
      </w:r>
    </w:p>
    <w:p w:rsidR="008A0B0A" w:rsidRPr="007E23E2" w:rsidRDefault="00591DDD" w:rsidP="00D85F19">
      <w:pPr>
        <w:pStyle w:val="LLMomentinAlakohta"/>
      </w:pPr>
      <w:r>
        <w:t>10) polpriklopnik s priklopljenim polpriklopnikom, na katerega je priklopljen polpriklopnik;</w:t>
      </w:r>
    </w:p>
    <w:p w:rsidR="008A0B0A" w:rsidRPr="007E23E2" w:rsidRDefault="00591DDD" w:rsidP="00D85F19">
      <w:pPr>
        <w:pStyle w:val="LLMomentinAlakohta"/>
      </w:pPr>
      <w:r>
        <w:t>11) polpriklopnik s priklopljenim polpriklopnikom, na katerega je priklopljen priklopnik s centralno osjo.</w:t>
      </w:r>
    </w:p>
    <w:p w:rsidR="008A0B0A" w:rsidRPr="007E23E2" w:rsidRDefault="008A0B0A" w:rsidP="00D85F19">
      <w:pPr>
        <w:pStyle w:val="LLMomentinKohta"/>
      </w:pPr>
      <w:r>
        <w:t>Če dolžina neobremenjene skupine vozil iz pododdelka 3 zgoraj presega 22,0 m, morajo imeti vsa vozila v skupini protiblokirni zavorni sistem.</w:t>
      </w:r>
    </w:p>
    <w:p w:rsidR="00D85F19" w:rsidRPr="007E23E2" w:rsidRDefault="00D85F19" w:rsidP="00D85F19">
      <w:pPr>
        <w:pStyle w:val="LLNormaali"/>
      </w:pPr>
    </w:p>
    <w:p w:rsidR="008A0B0A" w:rsidRPr="007E23E2" w:rsidRDefault="008A0B0A" w:rsidP="00C245D5">
      <w:pPr>
        <w:pStyle w:val="LLPykala"/>
        <w:keepNext/>
      </w:pPr>
      <w:r>
        <w:t>Oddelek 32 a</w:t>
      </w:r>
    </w:p>
    <w:p w:rsidR="008A0B0A" w:rsidRPr="007E23E2" w:rsidRDefault="008A0B0A" w:rsidP="00C245D5">
      <w:pPr>
        <w:pStyle w:val="LLPykalanOtsikko"/>
        <w:keepNext/>
      </w:pPr>
      <w:r>
        <w:t>Priklopna masa vlečenega vozila</w:t>
      </w:r>
    </w:p>
    <w:p w:rsidR="00D85F19" w:rsidRPr="007E23E2" w:rsidRDefault="00D85F19" w:rsidP="00D85F19">
      <w:pPr>
        <w:pStyle w:val="LLNormaali"/>
      </w:pPr>
      <w:r>
        <w:t>— — — — — — — — — — — — — — — —</w:t>
      </w:r>
      <w:r w:rsidR="004A5693">
        <w:t xml:space="preserve"> — — — — — — — — — — — — — —</w:t>
      </w:r>
    </w:p>
    <w:p w:rsidR="008A0B0A" w:rsidRPr="007E23E2" w:rsidRDefault="008A0B0A" w:rsidP="00D85F19">
      <w:pPr>
        <w:pStyle w:val="LLKappalejako"/>
      </w:pPr>
      <w:r>
        <w:t>Masa na podstavnem vozičku polpriklopnika ne sme biti večja od 1,7-kratnika splošno dovoljene mase vlečnega vozila.</w:t>
      </w:r>
    </w:p>
    <w:p w:rsidR="008A0B0A" w:rsidRPr="007E23E2" w:rsidRDefault="008A0B0A" w:rsidP="008A0B0A">
      <w:pPr>
        <w:pStyle w:val="LLNormaali"/>
      </w:pPr>
    </w:p>
    <w:p w:rsidR="008A0B0A" w:rsidRPr="007E23E2" w:rsidRDefault="008A0B0A" w:rsidP="00C245D5">
      <w:pPr>
        <w:pStyle w:val="LLPykala"/>
        <w:keepNext/>
      </w:pPr>
      <w:r>
        <w:t>Oddelek 32 b</w:t>
      </w:r>
    </w:p>
    <w:p w:rsidR="008A0B0A" w:rsidRPr="007E23E2" w:rsidRDefault="008A0B0A" w:rsidP="00C245D5">
      <w:pPr>
        <w:pStyle w:val="LLPykalanOtsikko"/>
        <w:keepNext/>
      </w:pPr>
      <w:r>
        <w:t>Zahteva glede stabilnosti skupine vozil</w:t>
      </w:r>
    </w:p>
    <w:p w:rsidR="008A0B0A" w:rsidRPr="007E23E2" w:rsidRDefault="00D45A9B" w:rsidP="00D85F19">
      <w:pPr>
        <w:pStyle w:val="LLKappalejako"/>
      </w:pPr>
      <w:r>
        <w:t>Skupina vozil, natovorjena do največje splošno dovoljene mase, navedene v zgornjem oddelku 32(3)(7–11), je glede na svoje mere enakovredna skupini, ki ima največji faktor povečanja 1,9 za navpično kotno hitrost premika in največji faktor povečanja 3,95 za bočni pospešek, izmerjen v središču mase tovora, ki se nahaja 1,5 m nad tlemi tovornega prostora in pri vozni hitrosti 80 km/h v preskusih vožnje, skladnih s standardom ISO 14791, ali v enakovrednih simulacijah.</w:t>
      </w:r>
    </w:p>
    <w:p w:rsidR="008A0B0A" w:rsidRPr="007E23E2" w:rsidRDefault="008A0B0A" w:rsidP="00D85F19">
      <w:pPr>
        <w:pStyle w:val="LLKappalejako"/>
      </w:pPr>
      <w:r>
        <w:t>Potrebne tehnične specifikacije vozila morajo spremljati prevoz kot dokazilo skladnosti z zahtevo glede stabilnosti iz pododdelka 1.</w:t>
      </w:r>
    </w:p>
    <w:p w:rsidR="008A0B0A" w:rsidRPr="007E23E2" w:rsidRDefault="008A0B0A" w:rsidP="00D85F19">
      <w:pPr>
        <w:pStyle w:val="LLNormaali"/>
      </w:pPr>
    </w:p>
    <w:p w:rsidR="008A0B0A" w:rsidRPr="007E23E2" w:rsidRDefault="008A0B0A" w:rsidP="00C245D5">
      <w:pPr>
        <w:pStyle w:val="LLPykala"/>
        <w:keepNext/>
      </w:pPr>
      <w:r>
        <w:t>Oddelek 33</w:t>
      </w:r>
    </w:p>
    <w:p w:rsidR="008A0B0A" w:rsidRPr="007E23E2" w:rsidRDefault="008A0B0A" w:rsidP="00C245D5">
      <w:pPr>
        <w:pStyle w:val="LLPykalanOtsikko"/>
        <w:keepNext/>
      </w:pPr>
      <w:r>
        <w:t>Sklapljanje vozil in priklopnikov</w:t>
      </w:r>
    </w:p>
    <w:p w:rsidR="008A0B0A" w:rsidRPr="007E23E2" w:rsidRDefault="008A0B0A" w:rsidP="00D85F19">
      <w:pPr>
        <w:pStyle w:val="LLMomentinJohdantoKappale"/>
      </w:pPr>
      <w:r>
        <w:t>Pri priklopu priklopnika na vlečno vozilo je treba zagotoviti, da:</w:t>
      </w:r>
    </w:p>
    <w:p w:rsidR="008A0B0A" w:rsidRPr="007E23E2" w:rsidRDefault="00357D0C" w:rsidP="00D85F19">
      <w:pPr>
        <w:pStyle w:val="LLMomentinAlakohta"/>
      </w:pPr>
      <w:r>
        <w:t>(1) konstrukcije vlečnega vozila in vlečenega vozila niso v stiku med seboj med običajnimi voznimi operacijami;</w:t>
      </w:r>
    </w:p>
    <w:p w:rsidR="008A0B0A" w:rsidRPr="007E23E2" w:rsidRDefault="00357D0C" w:rsidP="00D85F19">
      <w:pPr>
        <w:pStyle w:val="LLMomentinAlakohta"/>
      </w:pPr>
      <w:r>
        <w:t>(2) voznik ima jasno vidno polje na straneh motornega vozila in priklopnika(-ov), pri čemer lahko opazuje drug promet, ki prihaja od zadaj;</w:t>
      </w:r>
    </w:p>
    <w:p w:rsidR="008A0B0A" w:rsidRPr="007E23E2" w:rsidRDefault="00357D0C" w:rsidP="00D85F19">
      <w:pPr>
        <w:pStyle w:val="LLMomentinAlakohta"/>
      </w:pPr>
      <w:r>
        <w:t>(3) zavore in luči priklopnika(-ov) delujejo v skladu s predpisi;</w:t>
      </w:r>
    </w:p>
    <w:p w:rsidR="008A0B0A" w:rsidRPr="007E23E2" w:rsidRDefault="00357D0C" w:rsidP="00D85F19">
      <w:pPr>
        <w:pStyle w:val="LLMomentinAlakohta"/>
      </w:pPr>
      <w:r>
        <w:t>(4) pnevmatske zavore motornega vozila in priklopnika(-ov) so bile prilagojene, da so med seboj združljive v skladu s predpisi.</w:t>
      </w:r>
    </w:p>
    <w:p w:rsidR="008A0B0A" w:rsidRPr="007E23E2" w:rsidRDefault="008A0B0A" w:rsidP="00D85F19">
      <w:pPr>
        <w:pStyle w:val="LLMomentinAlakohta"/>
      </w:pPr>
      <w:r>
        <w:t>Poleg določb iz zgornjega pododdelka 1 morajo skupina vozila in polpriklopnika, ki presega 20,0 m v dolžino, in druge skupine vozil, ki presegajo 28,0 m v dolžino, imeti:</w:t>
      </w:r>
    </w:p>
    <w:p w:rsidR="008A0B0A" w:rsidRPr="007E23E2" w:rsidRDefault="00357D0C" w:rsidP="00D85F19">
      <w:pPr>
        <w:pStyle w:val="LLMomentinAlakohta"/>
      </w:pPr>
      <w:r>
        <w:t>(1) naprave za posredno gledanje, ki vozniku omogočajo, da pri obračanju na obe strani vidi celotno notranjo krivuljo skupine in sosednje območje med zavojem iz oddelka 26(2) ali (3);</w:t>
      </w:r>
    </w:p>
    <w:p w:rsidR="008A0B0A" w:rsidRPr="007E23E2" w:rsidRDefault="00357D0C" w:rsidP="00D85F19">
      <w:pPr>
        <w:pStyle w:val="LLMomentinAlakohta"/>
      </w:pPr>
      <w:r>
        <w:t>(2) sodobni sistem zasilnega zaviranja in sistem opozarjanja pri zapuščanju voznega pasu v vlečnem vozilu;</w:t>
      </w:r>
    </w:p>
    <w:p w:rsidR="008A0B0A" w:rsidRPr="007E23E2" w:rsidRDefault="00357D0C" w:rsidP="00D85F19">
      <w:pPr>
        <w:pStyle w:val="LLMomentinAlakohta"/>
      </w:pPr>
      <w:r>
        <w:t>(3) elektronski nadzor stabilnosti in električno upravljane zavore v vseh vozilih v skupini;</w:t>
      </w:r>
    </w:p>
    <w:p w:rsidR="008A0B0A" w:rsidRPr="007E23E2" w:rsidRDefault="00357D0C" w:rsidP="00D85F19">
      <w:pPr>
        <w:pStyle w:val="LLMomentinAlakohta"/>
      </w:pPr>
      <w:r>
        <w:t>(4) podatke o masi na vsaki enojni osi in podstavnem vozičku z voznikom; podatki se zahtevajo samo za sprednjo os vlečnega vozila, če je os opremljena z zračnim vzmetenjem.</w:t>
      </w:r>
    </w:p>
    <w:p w:rsidR="008A0B0A" w:rsidRPr="007E23E2" w:rsidRDefault="00357D0C" w:rsidP="00D85F19">
      <w:pPr>
        <w:pStyle w:val="LLMomentinAlakohta"/>
      </w:pPr>
      <w:r>
        <w:t xml:space="preserve">Vendar pa motornih vozil s štirimi ali več osmi in vozil kategorije N3G ni treba opremiti s sodobnim sistemom zasilnega zaviranja in sistemom opozarjanja pri zapuščanju voznega pasu </w:t>
      </w:r>
      <w:r>
        <w:lastRenderedPageBreak/>
        <w:t>iz odstavka 2 pododdelka 2 ali z elektronskim nadzorom stabilnosti iz odstavka 3. Elektronski sistem za stabilnost tudi ni zahtevan za skupino tovornega vozila s kesonom in dveh polpriklopnikov.</w:t>
      </w:r>
    </w:p>
    <w:p w:rsidR="008A0B0A" w:rsidRPr="007E23E2" w:rsidRDefault="008A0B0A" w:rsidP="00D85F19">
      <w:pPr>
        <w:pStyle w:val="LLKappalejako"/>
      </w:pPr>
      <w:r>
        <w:t>Potrebne tehnične specifikacije vozila morajo spremljati prevoz za dokazilo skladnosti z zahtevo glede stabilnosti iz pododdelka 2.</w:t>
      </w:r>
    </w:p>
    <w:p w:rsidR="007E23E2" w:rsidRDefault="007E23E2" w:rsidP="00D85F19">
      <w:pPr>
        <w:pStyle w:val="LLPykala"/>
      </w:pPr>
    </w:p>
    <w:p w:rsidR="008A0B0A" w:rsidRPr="007E23E2" w:rsidRDefault="008A0B0A" w:rsidP="00C245D5">
      <w:pPr>
        <w:pStyle w:val="LLPykala"/>
        <w:keepNext/>
      </w:pPr>
      <w:r>
        <w:t>Oddelek 36</w:t>
      </w:r>
    </w:p>
    <w:p w:rsidR="008A0B0A" w:rsidRPr="007E23E2" w:rsidRDefault="008A0B0A" w:rsidP="00C245D5">
      <w:pPr>
        <w:pStyle w:val="LLPykalanOtsikko"/>
        <w:keepNext/>
      </w:pPr>
      <w:r>
        <w:t>Priklop vlečenih vozil na motorne delovne stroje in terenska vozila</w:t>
      </w:r>
    </w:p>
    <w:p w:rsidR="008A0B0A" w:rsidRPr="007E23E2" w:rsidRDefault="008A0B0A" w:rsidP="005542BD">
      <w:pPr>
        <w:pStyle w:val="LLKappalejako"/>
      </w:pPr>
      <w:r>
        <w:t>Vlečeno vozilo, prikolica ali enakovredna vlečena naprava se lahko priklopi na motorni delovni stroj, če se vlečeno vozilo uporablja za prevoz goriva in maziva za delovni stroj, kakor tudi opreme in pribora, povezanih z delom. Priključena masa vlečenega vozila ne sme preseči neobremenjene mase motornega delovnega stroja.</w:t>
      </w:r>
    </w:p>
    <w:p w:rsidR="008A0B0A" w:rsidRPr="007E23E2" w:rsidRDefault="008A0B0A" w:rsidP="005542BD">
      <w:pPr>
        <w:pStyle w:val="LLKappalejako"/>
      </w:pPr>
      <w:r>
        <w:t>Motorni delovni stroj, ki se uporablja kot vlačilec, se lahko priklopi na vlečeno(-a) vozilo(-a) za prevoz obremenjenih ali neobremenjenih priklopnikov ali zabojnikov, ko se odpremijo v pristanišču ali terminalu.</w:t>
      </w:r>
    </w:p>
    <w:p w:rsidR="008A0B0A" w:rsidRPr="007E23E2" w:rsidRDefault="008A0B0A" w:rsidP="005542BD">
      <w:pPr>
        <w:pStyle w:val="LLKappalejako"/>
      </w:pPr>
      <w:r>
        <w:t>Priklopnik se lahko priklopi na terensko vozilo, če njegova priključena masa ni večja od 1,5-kratnika neobremenjene mase terenskega vozila.</w:t>
      </w:r>
    </w:p>
    <w:p w:rsidR="006E245A" w:rsidRPr="007E23E2" w:rsidRDefault="006E245A" w:rsidP="005542BD">
      <w:pPr>
        <w:pStyle w:val="LLKappalejako"/>
      </w:pPr>
    </w:p>
    <w:p w:rsidR="008A0B0A" w:rsidRPr="007E23E2" w:rsidRDefault="008A0B0A" w:rsidP="00C245D5">
      <w:pPr>
        <w:pStyle w:val="LLPykala"/>
        <w:keepNext/>
      </w:pPr>
      <w:r>
        <w:t>Oddelek 45</w:t>
      </w:r>
    </w:p>
    <w:p w:rsidR="008A0B0A" w:rsidRPr="007E23E2" w:rsidRDefault="008A0B0A" w:rsidP="00C245D5">
      <w:pPr>
        <w:pStyle w:val="LLPykalanOtsikko"/>
        <w:keepNext/>
      </w:pPr>
      <w:r>
        <w:t>Prevoz tovora</w:t>
      </w:r>
    </w:p>
    <w:p w:rsidR="008A0B0A" w:rsidRPr="007E23E2" w:rsidRDefault="008A0B0A" w:rsidP="006E245A">
      <w:pPr>
        <w:pStyle w:val="LLKappalejako"/>
      </w:pPr>
      <w:r>
        <w:t>Vozilo ne sme biti obremenjeno tako, da se tovor razteza bočno izven karoserije ali tovornega prostora vozila. Če vozilo nima karoserije, lahko tovor v tovornem prostoru presega širino vozila, merjeno na sprednji osi, za največ 0,35 m. Vendar se omejitev ne uporablja za prevoz čolna.</w:t>
      </w:r>
    </w:p>
    <w:p w:rsidR="008A0B0A" w:rsidRPr="007E23E2" w:rsidRDefault="008A0B0A" w:rsidP="006E245A">
      <w:pPr>
        <w:pStyle w:val="LLKappalejako"/>
      </w:pPr>
      <w:r>
        <w:t>V skladu z najvišjimi dovoljenimi omejitvami glede dolžine za vozila in skupine vozil se tovor lahko na prednji strani razteza največ 1 m od skrajne točke in na zadnji strani največ 2 m od skrajne točke vozila. Če skupina vozil ne izpolnjuje zahteve glede okretnosti iz pododdelka 1 ali 2 oddelka 26 se lahko tovor na zadnji strani razteza največ 1 m od skrajne točke vozila. Vendar lahko tovor vozila presega največjo dovoljeno dolžino na zadnji strani, ko je priklopnik priklopljen na vozilo. Poleg tega lahko tovor presega največjo dovoljeno dolžino za vlečno vozilo med kratkimi prenosi v zvezi z natovarjanjem in raztovarjanjem. Zahteva glede prekoračitve največje dovoljene dolžine je, da postopek natovarjanja ne predstavlja tveganja, da bi tovor na vlečnem vozilu udaril ob priklopnik ali tovor na priklopniku. Postopek natovarjanja tudi v drugih pogledih ne sme predstavljati tveganja za prometno varnost.</w:t>
      </w:r>
    </w:p>
    <w:p w:rsidR="008A0B0A" w:rsidRPr="007E23E2" w:rsidRDefault="008A0B0A" w:rsidP="006E245A">
      <w:pPr>
        <w:pStyle w:val="LLKappalejako"/>
      </w:pPr>
      <w:r>
        <w:t>Masa tovora, prevažanega na strehi osebnega avtomobila (kategorija M</w:t>
      </w:r>
      <w:r>
        <w:rPr>
          <w:vertAlign w:val="subscript"/>
        </w:rPr>
        <w:t>1</w:t>
      </w:r>
      <w:r>
        <w:t>), je lahko, v območju dovoljene mase vozila, največ 10 % neobremenjene mase vozila.</w:t>
      </w:r>
    </w:p>
    <w:p w:rsidR="008A0B0A" w:rsidRPr="007E23E2" w:rsidRDefault="008A0B0A" w:rsidP="006E245A">
      <w:pPr>
        <w:pStyle w:val="LLKappalejako"/>
      </w:pPr>
      <w:r>
        <w:t>Za prevoz največ 50 kg tovora se lahko uporabi dvokolesno kolo, za prevoz 100 kg tovora pa se lahko uporabi kolo z vsaj tremi kolesi. Vendar pa za kolo, namenjeno za prevoz tovora, skupna masa oseb in tovora, v skladu s skupno maso, ki jo dovoljuje proizvajalec, ne sme presegati 250 kg, če proizvajalec za krmiljenje kolesa, namenjenega za prevoz tovora, in njegovega priklopnika zagotovi dodatna kolesa, zavorne naprave ali druge rešitve.</w:t>
      </w:r>
    </w:p>
    <w:p w:rsidR="008A0B0A" w:rsidRPr="007E23E2" w:rsidRDefault="008A0B0A" w:rsidP="006E245A">
      <w:pPr>
        <w:pStyle w:val="LLKappalejako"/>
      </w:pPr>
      <w:r>
        <w:t>Z izjemo prevozov s priklopnikom, navedenim v oddelku 36(1), se motorni delovni stroj ne sme uporabljati za prevoze, razen za prevoze na kraju dela, ki so povezani z dejansko predvideno uporabo delovnega stroja.</w:t>
      </w:r>
    </w:p>
    <w:p w:rsidR="008A0B0A" w:rsidRPr="007E23E2" w:rsidRDefault="008A0B0A" w:rsidP="006E245A">
      <w:pPr>
        <w:pStyle w:val="LLKappalejako"/>
      </w:pPr>
      <w:r>
        <w:t>V primeru lahkega električnega vozila je skupna masa oseb in blaga lahko v skladu z največjo dovoljeno maso, ki jo določi proizvajalec, vendar največ 250 kg.</w:t>
      </w:r>
    </w:p>
    <w:p w:rsidR="008A0B0A" w:rsidRPr="007E23E2" w:rsidRDefault="008A0B0A" w:rsidP="006E245A">
      <w:pPr>
        <w:pStyle w:val="LLMomentinJohdantoKappale"/>
      </w:pPr>
      <w:r>
        <w:lastRenderedPageBreak/>
        <w:t>Skupna masa oseb in tovora ne sme presegati najvišje dovoljene mase, ki jo določi proizvajalec. Vendar skupna masa oseb in tovora v vozilu za prevoz tovora ne sme presegati:</w:t>
      </w:r>
    </w:p>
    <w:p w:rsidR="008A0B0A" w:rsidRPr="007E23E2" w:rsidRDefault="00357D0C" w:rsidP="006E245A">
      <w:pPr>
        <w:pStyle w:val="LLMomentinAlakohta"/>
      </w:pPr>
      <w:r>
        <w:t>1) 375 kg v primeru mopeda s tremi kolesi, zasnovanega za gospodarske namene, ali lahkega štirikolesnika za gospodarske namene;</w:t>
      </w:r>
    </w:p>
    <w:p w:rsidR="008A0B0A" w:rsidRPr="007E23E2" w:rsidRDefault="00357D0C" w:rsidP="006E245A">
      <w:pPr>
        <w:pStyle w:val="LLMomentinAlakohta"/>
      </w:pPr>
      <w:r>
        <w:t>2) 675 kg v primeru cestnega štirikolesnika ali težkega terenskega štirikolesnika;</w:t>
      </w:r>
    </w:p>
    <w:p w:rsidR="008A0B0A" w:rsidRPr="007E23E2" w:rsidRDefault="00357D0C" w:rsidP="006E245A">
      <w:pPr>
        <w:pStyle w:val="LLMomentinAlakohta"/>
      </w:pPr>
      <w:r>
        <w:t>3) 1 075 kg v primeru komercialnega trikolesa ali težkega štirikolesnika za gospodarske namene.</w:t>
      </w:r>
    </w:p>
    <w:p w:rsidR="006E245A" w:rsidRPr="007E23E2" w:rsidRDefault="006E245A" w:rsidP="006E245A">
      <w:pPr>
        <w:pStyle w:val="LLNormaali"/>
      </w:pPr>
    </w:p>
    <w:p w:rsidR="008A0B0A" w:rsidRPr="007E23E2" w:rsidRDefault="008A0B0A" w:rsidP="00C245D5">
      <w:pPr>
        <w:pStyle w:val="LLPykala"/>
        <w:keepNext/>
      </w:pPr>
      <w:r>
        <w:t>Oddelek 46</w:t>
      </w:r>
    </w:p>
    <w:p w:rsidR="008A0B0A" w:rsidRPr="007E23E2" w:rsidRDefault="008A0B0A" w:rsidP="00C245D5">
      <w:pPr>
        <w:pStyle w:val="LLPykalanOtsikko"/>
        <w:keepNext/>
      </w:pPr>
      <w:r>
        <w:t>Položaj tovora</w:t>
      </w:r>
    </w:p>
    <w:p w:rsidR="008A0B0A" w:rsidRPr="007E23E2" w:rsidRDefault="008A0B0A" w:rsidP="006E245A">
      <w:pPr>
        <w:pStyle w:val="LLKappalejako"/>
      </w:pPr>
      <w:r>
        <w:t>Tovor mora biti celovita enota in postavljen čim nižje. Središče tovora mora biti čim nižje in se nahajati blizu vzdolžne središčnice vozila. V skupini vozila in več priklopnikov se mora tovor nahajati kolikor mogoče na prednji strani, ob upoštevanju celotne skupine. Vozilo ne sme biti naloženo na način, da je težišče vozila višje, kot je tehnično dovoljeno za vozilo.</w:t>
      </w:r>
    </w:p>
    <w:p w:rsidR="008A0B0A" w:rsidRPr="007E23E2" w:rsidRDefault="008A0B0A" w:rsidP="006E245A">
      <w:pPr>
        <w:pStyle w:val="LLKappalejako"/>
      </w:pPr>
      <w:r>
        <w:t>Kolikor je mogoče, mora biti tovor podprt za sprednji dostop do tovornega prostora. Ostri deli tovora morajo biti usmerjeni nazaj.</w:t>
      </w:r>
    </w:p>
    <w:p w:rsidR="008A0B0A" w:rsidRPr="007E23E2" w:rsidRDefault="008A0B0A" w:rsidP="006E245A">
      <w:pPr>
        <w:pStyle w:val="LLKappalejako"/>
      </w:pPr>
      <w:r>
        <w:t>Priklopnik s centralno osjo se natovori tako, da bremeni napravo za priklop vlečnega vozila. Obremenitev je lahko največ 10 % dovoljene mase na oseh priklopnika ali enakovredna masi 1 000 kg, glede na to, katera obremenitev je manjša. Obremenitev ne sme presegati obremenitev, dovoljenih za priklopljena vozila ali naprave za priklop.</w:t>
      </w:r>
    </w:p>
    <w:p w:rsidR="006E245A" w:rsidRPr="007E23E2" w:rsidRDefault="006E245A" w:rsidP="006E245A">
      <w:pPr>
        <w:pStyle w:val="LLNormaali"/>
      </w:pPr>
    </w:p>
    <w:p w:rsidR="008A0B0A" w:rsidRPr="007E23E2" w:rsidRDefault="008A0B0A" w:rsidP="00C245D5">
      <w:pPr>
        <w:pStyle w:val="LLPykala"/>
        <w:keepNext/>
      </w:pPr>
      <w:r>
        <w:t>Oddelek 51 b</w:t>
      </w:r>
    </w:p>
    <w:p w:rsidR="008A0B0A" w:rsidRPr="007E23E2" w:rsidRDefault="008A0B0A" w:rsidP="00C245D5">
      <w:pPr>
        <w:pStyle w:val="LLPykalanOtsikko"/>
        <w:keepNext/>
      </w:pPr>
      <w:r>
        <w:t>Označevanje dolgih skupin vozil</w:t>
      </w:r>
    </w:p>
    <w:p w:rsidR="008A0B0A" w:rsidRPr="007E23E2" w:rsidRDefault="008A0B0A" w:rsidP="006E245A">
      <w:pPr>
        <w:pStyle w:val="LLKappalejako"/>
      </w:pPr>
      <w:r>
        <w:t>Skupina vozil, ki presega 15,5 m v dolžino, sestavljena iz tovornjaka s kesonom in priklopnika(-ov), mora imeti oznako, primerljivo s prvotno različico Pravilnika UN/ECE št. 70, kakor je bila spremenjena z zadnjo serijo sprememb. Alternativno se lahko oznaka pritrdi na skupino vozil. Mere navedene oznake morajo biti najmanj 0,3 m x 0,8 m in imeti mora črno sliko skupine vozil na rumenem odsevnem ozadju in 25-milimetrski rdeči fluorescenčni ali odsevni rob, pod katerim je mogoče navesti dolžino skupine.</w:t>
      </w:r>
    </w:p>
    <w:p w:rsidR="008A0B0A" w:rsidRPr="007E23E2" w:rsidRDefault="008A0B0A" w:rsidP="006E245A">
      <w:pPr>
        <w:pStyle w:val="LLKappalejako"/>
      </w:pPr>
      <w:r>
        <w:t>Poleg zgoraj navedenih določb iz zgornjega pododdelka 1 mora imeti skupina tovornjaka s kesonom in polpriklopnika, ki presega 18,75 m v dolžino, in druge skupine vozil, ki presegajo 25,25 m v dolžino, odsevne konturne oznake na strani vozil in neobvezne gabaritne luči iz odstavka 6.13 Pravilnika UN/ECE št. 48, ki se namestijo na zadnjem priklopniku.</w:t>
      </w:r>
    </w:p>
    <w:p w:rsidR="008A0B0A" w:rsidRPr="007E23E2" w:rsidRDefault="008A0B0A" w:rsidP="006E245A">
      <w:pPr>
        <w:pStyle w:val="LLKappalejako"/>
      </w:pPr>
      <w:r>
        <w:t>Skupin vozil, ki presega 25,25 m v dolžino, mora imeti oznako s površino najmanj 0,5 m</w:t>
      </w:r>
      <w:r>
        <w:rPr>
          <w:vertAlign w:val="superscript"/>
        </w:rPr>
        <w:t>2</w:t>
      </w:r>
      <w:r>
        <w:t>. Barva in odsevne značilnosti le-te morajo biti v skladu z zahtevami Pravilnika UN/ECE št. 70 in prikazovati besedo „PITKA“ ali ustrezno besedo v švedščini ali angleščini, napisano z velikimi črkami višine najmanj 200 mm. Oznaka lahko vsebuje tudi druge informacije v zvezi z dolžino prevoza.</w:t>
      </w:r>
    </w:p>
    <w:p w:rsidR="006E245A" w:rsidRPr="007E23E2" w:rsidRDefault="006E245A" w:rsidP="006E245A">
      <w:pPr>
        <w:pStyle w:val="LLNormaali"/>
      </w:pPr>
    </w:p>
    <w:p w:rsidR="008A0B0A" w:rsidRPr="007E23E2" w:rsidRDefault="008A0B0A" w:rsidP="00C245D5">
      <w:pPr>
        <w:pStyle w:val="LLPykala"/>
        <w:keepNext/>
      </w:pPr>
      <w:r>
        <w:t>Oddelek 52</w:t>
      </w:r>
    </w:p>
    <w:p w:rsidR="008A0B0A" w:rsidRPr="007E23E2" w:rsidRDefault="008A0B0A" w:rsidP="00C245D5">
      <w:pPr>
        <w:pStyle w:val="LLPykalanOtsikko"/>
        <w:keepNext/>
      </w:pPr>
      <w:r>
        <w:t>Odobritev vozil in skupin vozil, ki bodo dana v promet, z odstopanjem od določb o merah in masah</w:t>
      </w:r>
    </w:p>
    <w:p w:rsidR="008A0B0A" w:rsidRPr="007E23E2" w:rsidRDefault="008A0B0A" w:rsidP="006E245A">
      <w:pPr>
        <w:pStyle w:val="LLKappalejako"/>
      </w:pPr>
      <w:r>
        <w:t xml:space="preserve">Finska agencija za varnost v prometu lahko odobri izjemo od določb oddelkov 20, 21, 23, 23a, 24–26, 31, 32, 32 a in 32 b posameznemu motornemu vozilu ali skupini vozil, če je to potrebno zaradi testiranja nove tehnologije, razvoja izdelkov ali drugega posebnega razloga. </w:t>
      </w:r>
      <w:r>
        <w:lastRenderedPageBreak/>
        <w:t>Poleg tega izjema ne sme ogrožati varnosti v cestnem prometu in izkrivljati konkurence. Izjema se lahko odobri za določeno obdobje in je lahko pogojena.</w:t>
      </w:r>
    </w:p>
    <w:p w:rsidR="008A0B0A" w:rsidRPr="007E23E2" w:rsidRDefault="006E245A" w:rsidP="008A0B0A">
      <w:pPr>
        <w:pStyle w:val="LLNormaali"/>
      </w:pPr>
      <w:r>
        <w:t>— — — — — — — — — — — — — — — —</w:t>
      </w:r>
      <w:r w:rsidR="004A5693">
        <w:t xml:space="preserve"> — — — — — — — — — — — — — —</w:t>
      </w:r>
      <w:bookmarkStart w:id="0" w:name="_GoBack"/>
      <w:bookmarkEnd w:id="0"/>
    </w:p>
    <w:p w:rsidR="00357D0C" w:rsidRPr="007E23E2" w:rsidRDefault="008A0B0A" w:rsidP="00557B92">
      <w:pPr>
        <w:pStyle w:val="LLKappalejako"/>
      </w:pPr>
      <w:r>
        <w:t>Ta uredba začne veljati [x.] januarja 2019.</w:t>
      </w:r>
    </w:p>
    <w:p w:rsidR="008A0B0A" w:rsidRPr="007E23E2" w:rsidRDefault="008A0B0A" w:rsidP="00557B92">
      <w:pPr>
        <w:pStyle w:val="LLKappalejako"/>
      </w:pPr>
      <w:r>
        <w:t>Če je bil priklopnik dan v uporabo pred [x.] januarjem 2019, se oddelek 22 uredbe uporablja od [x.] januarja 2024.</w:t>
      </w:r>
    </w:p>
    <w:p w:rsidR="008A0B0A" w:rsidRPr="007E23E2" w:rsidRDefault="008A0B0A" w:rsidP="00557B92">
      <w:pPr>
        <w:pStyle w:val="LLKappalejako"/>
      </w:pPr>
      <w:r>
        <w:t>Ne glede na določbe oddelka 23(1) uredbe o masi skupine, sestavljene iz motornega vozila in polpriklopnika, se določbe o masi motornega vozila in polpriklopnika, ki veljajo ob začetku veljave te uredbe, lahko uporabljajo za takšno skupino do 31. decembra 2023, če je bil priklopnik dan v uporabo pred [x.] januarjem 2019.</w:t>
      </w:r>
    </w:p>
    <w:p w:rsidR="008A0B0A" w:rsidRPr="007E23E2" w:rsidRDefault="008A0B0A" w:rsidP="00557B92">
      <w:pPr>
        <w:pStyle w:val="LLKappalejako"/>
      </w:pPr>
      <w:r>
        <w:t>Če je bil priklopnik dan v uporabo pred [x.] januarjem 2019, mora skupina vozil, sestavljena iz motornega vozila in priklopnika ali več priklopnikov, izpolnjevati zahteve iz oddelka 23(3) uredbe glede vsote mas na zadnjem podstavnem vozičku vlečnega vozila in prednjem podstavnem vozičku priklopnika od [x.] januarja 2024.</w:t>
      </w:r>
    </w:p>
    <w:p w:rsidR="008A0B0A" w:rsidRPr="007E23E2" w:rsidRDefault="008A0B0A" w:rsidP="00557B92">
      <w:pPr>
        <w:pStyle w:val="LLKappalejako"/>
      </w:pPr>
      <w:r>
        <w:t>Če je bilo vozilo sprejeto v promet pred [x.] januarjem 2019 kot vozilo za prevoz izrednega tovora na podlagi dovoljenih mer ali mase, veljavnih ob začetku veljavnosti uredbe, se lahko takšno vozilo uporabi za prevoz izrednega tovora po določbah, veljavnih ob začetku veljavnosti uredbe.</w:t>
      </w:r>
    </w:p>
    <w:p w:rsidR="00557B92" w:rsidRPr="007E23E2" w:rsidRDefault="00557B92" w:rsidP="00557B92">
      <w:pPr>
        <w:pStyle w:val="LLNormaali"/>
        <w:jc w:val="center"/>
      </w:pPr>
      <w:r>
        <w:t>—————</w:t>
      </w:r>
    </w:p>
    <w:p w:rsidR="00620F51" w:rsidRPr="007E23E2" w:rsidRDefault="00620F51" w:rsidP="00620F51">
      <w:pPr>
        <w:pStyle w:val="LLNormaali"/>
      </w:pPr>
    </w:p>
    <w:p w:rsidR="004C03B8" w:rsidRPr="007E23E2" w:rsidRDefault="004C03B8" w:rsidP="004C03B8">
      <w:pPr>
        <w:pStyle w:val="LLPaivays"/>
      </w:pPr>
      <w:r>
        <w:t>Helsinki, [dan]. [meseca] 20XX</w:t>
      </w:r>
    </w:p>
    <w:sectPr w:rsidR="004C03B8" w:rsidRPr="007E23E2" w:rsidSect="00C85EB5">
      <w:headerReference w:type="default" r:id="rId8"/>
      <w:footerReference w:type="even" r:id="rId9"/>
      <w:footerReference w:type="default" r:id="rId10"/>
      <w:headerReference w:type="first" r:id="rId11"/>
      <w:footerReference w:type="first" r:id="rId12"/>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E3F" w:rsidRDefault="00E03E3F">
      <w:r>
        <w:separator/>
      </w:r>
    </w:p>
  </w:endnote>
  <w:endnote w:type="continuationSeparator" w:id="0">
    <w:p w:rsidR="00E03E3F" w:rsidRDefault="00E0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Light">
    <w:altName w:val="DengXian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altName w:val="DengXia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0" w:rsidRDefault="00690920"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0920" w:rsidRDefault="00690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690920" w:rsidTr="000C5020">
      <w:trPr>
        <w:trHeight w:hRule="exact" w:val="356"/>
      </w:trPr>
      <w:tc>
        <w:tcPr>
          <w:tcW w:w="2828" w:type="dxa"/>
          <w:shd w:val="clear" w:color="auto" w:fill="auto"/>
          <w:vAlign w:val="bottom"/>
        </w:tcPr>
        <w:p w:rsidR="00690920" w:rsidRPr="000C5020" w:rsidRDefault="00690920" w:rsidP="001310B9">
          <w:pPr>
            <w:pStyle w:val="Footer"/>
            <w:rPr>
              <w:sz w:val="18"/>
              <w:szCs w:val="18"/>
            </w:rPr>
          </w:pPr>
        </w:p>
      </w:tc>
      <w:tc>
        <w:tcPr>
          <w:tcW w:w="2829" w:type="dxa"/>
          <w:shd w:val="clear" w:color="auto" w:fill="auto"/>
          <w:vAlign w:val="bottom"/>
        </w:tcPr>
        <w:p w:rsidR="00690920" w:rsidRPr="000C5020" w:rsidRDefault="00690920" w:rsidP="000C5020">
          <w:pPr>
            <w:pStyle w:val="Footer"/>
            <w:jc w:val="center"/>
            <w:rPr>
              <w:sz w:val="22"/>
              <w:szCs w:val="22"/>
            </w:rPr>
          </w:pPr>
          <w:r w:rsidRPr="000C5020">
            <w:rPr>
              <w:rStyle w:val="PageNumber"/>
              <w:sz w:val="22"/>
            </w:rPr>
            <w:fldChar w:fldCharType="begin"/>
          </w:r>
          <w:r w:rsidRPr="000C5020">
            <w:rPr>
              <w:rStyle w:val="PageNumber"/>
              <w:sz w:val="22"/>
            </w:rPr>
            <w:instrText xml:space="preserve"> PAGE </w:instrText>
          </w:r>
          <w:r w:rsidRPr="000C5020">
            <w:rPr>
              <w:rStyle w:val="PageNumber"/>
              <w:sz w:val="22"/>
            </w:rPr>
            <w:fldChar w:fldCharType="separate"/>
          </w:r>
          <w:r w:rsidR="004A5693">
            <w:rPr>
              <w:rStyle w:val="PageNumber"/>
              <w:noProof/>
              <w:sz w:val="22"/>
            </w:rPr>
            <w:t>11</w:t>
          </w:r>
          <w:r w:rsidRPr="000C5020">
            <w:rPr>
              <w:rStyle w:val="PageNumber"/>
              <w:sz w:val="22"/>
            </w:rPr>
            <w:fldChar w:fldCharType="end"/>
          </w:r>
        </w:p>
      </w:tc>
      <w:tc>
        <w:tcPr>
          <w:tcW w:w="2829" w:type="dxa"/>
          <w:shd w:val="clear" w:color="auto" w:fill="auto"/>
          <w:vAlign w:val="bottom"/>
        </w:tcPr>
        <w:p w:rsidR="00690920" w:rsidRPr="000C5020" w:rsidRDefault="00690920" w:rsidP="001310B9">
          <w:pPr>
            <w:pStyle w:val="Footer"/>
            <w:rPr>
              <w:sz w:val="18"/>
              <w:szCs w:val="18"/>
            </w:rPr>
          </w:pPr>
        </w:p>
      </w:tc>
    </w:tr>
  </w:tbl>
  <w:p w:rsidR="00690920" w:rsidRDefault="00690920" w:rsidP="001310B9">
    <w:pPr>
      <w:pStyle w:val="Footer"/>
    </w:pPr>
  </w:p>
  <w:p w:rsidR="00690920" w:rsidRDefault="00690920" w:rsidP="001310B9">
    <w:pPr>
      <w:pStyle w:val="Footer"/>
      <w:framePr w:wrap="around" w:vAnchor="text" w:hAnchor="page" w:x="5921" w:y="729"/>
      <w:rPr>
        <w:rStyle w:val="PageNumber"/>
      </w:rPr>
    </w:pPr>
  </w:p>
  <w:p w:rsidR="00690920" w:rsidRDefault="00690920" w:rsidP="001310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690920" w:rsidTr="000C5020">
      <w:trPr>
        <w:trHeight w:val="841"/>
      </w:trPr>
      <w:tc>
        <w:tcPr>
          <w:tcW w:w="2829" w:type="dxa"/>
          <w:shd w:val="clear" w:color="auto" w:fill="auto"/>
        </w:tcPr>
        <w:p w:rsidR="00690920" w:rsidRPr="000C5020" w:rsidRDefault="00690920" w:rsidP="005224A0">
          <w:pPr>
            <w:pStyle w:val="Footer"/>
            <w:rPr>
              <w:sz w:val="17"/>
              <w:szCs w:val="18"/>
            </w:rPr>
          </w:pPr>
        </w:p>
      </w:tc>
      <w:tc>
        <w:tcPr>
          <w:tcW w:w="2829" w:type="dxa"/>
          <w:shd w:val="clear" w:color="auto" w:fill="auto"/>
          <w:vAlign w:val="bottom"/>
        </w:tcPr>
        <w:p w:rsidR="00690920" w:rsidRPr="000C5020" w:rsidRDefault="00690920" w:rsidP="000C5020">
          <w:pPr>
            <w:pStyle w:val="Footer"/>
            <w:jc w:val="center"/>
            <w:rPr>
              <w:sz w:val="22"/>
              <w:szCs w:val="22"/>
            </w:rPr>
          </w:pPr>
        </w:p>
      </w:tc>
      <w:tc>
        <w:tcPr>
          <w:tcW w:w="2829" w:type="dxa"/>
          <w:shd w:val="clear" w:color="auto" w:fill="auto"/>
        </w:tcPr>
        <w:p w:rsidR="00690920" w:rsidRPr="000C5020" w:rsidRDefault="00690920" w:rsidP="005224A0">
          <w:pPr>
            <w:pStyle w:val="Footer"/>
            <w:rPr>
              <w:sz w:val="17"/>
              <w:szCs w:val="18"/>
            </w:rPr>
          </w:pPr>
        </w:p>
      </w:tc>
    </w:tr>
  </w:tbl>
  <w:p w:rsidR="00690920" w:rsidRPr="001310B9" w:rsidRDefault="00690920">
    <w:pPr>
      <w:pStyle w:val="Footer"/>
      <w:rPr>
        <w:sz w:val="22"/>
        <w:szCs w:val="22"/>
      </w:rPr>
    </w:pPr>
  </w:p>
  <w:p w:rsidR="00690920" w:rsidRDefault="00690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E3F" w:rsidRDefault="00E03E3F">
      <w:r>
        <w:separator/>
      </w:r>
    </w:p>
  </w:footnote>
  <w:footnote w:type="continuationSeparator" w:id="0">
    <w:p w:rsidR="00E03E3F" w:rsidRDefault="00E03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C95716">
      <w:tc>
        <w:tcPr>
          <w:tcW w:w="2140" w:type="dxa"/>
        </w:tcPr>
        <w:p w:rsidR="00690920" w:rsidRDefault="00690920" w:rsidP="00C95716">
          <w:pPr>
            <w:pStyle w:val="LLNormaali"/>
          </w:pPr>
        </w:p>
      </w:tc>
      <w:tc>
        <w:tcPr>
          <w:tcW w:w="4281" w:type="dxa"/>
          <w:gridSpan w:val="2"/>
        </w:tcPr>
        <w:p w:rsidR="00690920" w:rsidRDefault="00690920" w:rsidP="00C95716">
          <w:pPr>
            <w:pStyle w:val="LLNormaali"/>
            <w:jc w:val="center"/>
          </w:pPr>
        </w:p>
      </w:tc>
      <w:tc>
        <w:tcPr>
          <w:tcW w:w="2141" w:type="dxa"/>
        </w:tcPr>
        <w:p w:rsidR="00690920" w:rsidRDefault="00690920" w:rsidP="00C95716">
          <w:pPr>
            <w:pStyle w:val="LLNormaali"/>
          </w:pPr>
        </w:p>
      </w:tc>
    </w:tr>
    <w:tr w:rsidR="00690920" w:rsidTr="00C95716">
      <w:tc>
        <w:tcPr>
          <w:tcW w:w="4281" w:type="dxa"/>
          <w:gridSpan w:val="2"/>
        </w:tcPr>
        <w:p w:rsidR="00690920" w:rsidRPr="00AC3BA6" w:rsidRDefault="00690920" w:rsidP="00C95716">
          <w:pPr>
            <w:pStyle w:val="LLNormaali"/>
            <w:rPr>
              <w:i/>
            </w:rPr>
          </w:pPr>
        </w:p>
      </w:tc>
      <w:tc>
        <w:tcPr>
          <w:tcW w:w="4281" w:type="dxa"/>
          <w:gridSpan w:val="2"/>
        </w:tcPr>
        <w:p w:rsidR="00690920" w:rsidRPr="00AC3BA6" w:rsidRDefault="00690920" w:rsidP="00C95716">
          <w:pPr>
            <w:pStyle w:val="LLNormaali"/>
            <w:rPr>
              <w:i/>
            </w:rPr>
          </w:pPr>
        </w:p>
      </w:tc>
    </w:tr>
  </w:tbl>
  <w:p w:rsidR="00690920" w:rsidRDefault="00690920" w:rsidP="00007EA2">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F674CC">
      <w:tc>
        <w:tcPr>
          <w:tcW w:w="2140" w:type="dxa"/>
        </w:tcPr>
        <w:p w:rsidR="00690920" w:rsidRDefault="00690920" w:rsidP="00F674CC">
          <w:pPr>
            <w:pStyle w:val="LLNormaali"/>
          </w:pPr>
        </w:p>
      </w:tc>
      <w:tc>
        <w:tcPr>
          <w:tcW w:w="4281" w:type="dxa"/>
          <w:gridSpan w:val="2"/>
        </w:tcPr>
        <w:p w:rsidR="00690920" w:rsidRDefault="00690920" w:rsidP="00F674CC">
          <w:pPr>
            <w:pStyle w:val="LLNormaali"/>
            <w:jc w:val="center"/>
          </w:pPr>
        </w:p>
      </w:tc>
      <w:tc>
        <w:tcPr>
          <w:tcW w:w="2141" w:type="dxa"/>
        </w:tcPr>
        <w:p w:rsidR="00690920" w:rsidRDefault="00690920" w:rsidP="00F674CC">
          <w:pPr>
            <w:pStyle w:val="LLNormaali"/>
          </w:pPr>
        </w:p>
      </w:tc>
    </w:tr>
    <w:tr w:rsidR="00690920" w:rsidTr="00F674CC">
      <w:tc>
        <w:tcPr>
          <w:tcW w:w="4281" w:type="dxa"/>
          <w:gridSpan w:val="2"/>
        </w:tcPr>
        <w:p w:rsidR="00690920" w:rsidRPr="00AC3BA6" w:rsidRDefault="00690920" w:rsidP="00F674CC">
          <w:pPr>
            <w:pStyle w:val="LLNormaali"/>
            <w:rPr>
              <w:i/>
            </w:rPr>
          </w:pPr>
        </w:p>
      </w:tc>
      <w:tc>
        <w:tcPr>
          <w:tcW w:w="4281" w:type="dxa"/>
          <w:gridSpan w:val="2"/>
        </w:tcPr>
        <w:p w:rsidR="00690920" w:rsidRPr="00AC3BA6" w:rsidRDefault="00690920" w:rsidP="00F674CC">
          <w:pPr>
            <w:pStyle w:val="LLNormaali"/>
            <w:rPr>
              <w:i/>
            </w:rPr>
          </w:pPr>
        </w:p>
      </w:tc>
    </w:tr>
  </w:tbl>
  <w:p w:rsidR="00690920" w:rsidRDefault="00690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CE876AD"/>
    <w:multiLevelType w:val="hybridMultilevel"/>
    <w:tmpl w:val="284C5E3C"/>
    <w:lvl w:ilvl="0" w:tplc="1C763D46">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16"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0"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3"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9"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5"/>
  </w:num>
  <w:num w:numId="4">
    <w:abstractNumId w:val="4"/>
  </w:num>
  <w:num w:numId="5">
    <w:abstractNumId w:val="28"/>
  </w:num>
  <w:num w:numId="6">
    <w:abstractNumId w:val="21"/>
  </w:num>
  <w:num w:numId="7">
    <w:abstractNumId w:val="24"/>
  </w:num>
  <w:num w:numId="8">
    <w:abstractNumId w:val="41"/>
  </w:num>
  <w:num w:numId="9">
    <w:abstractNumId w:val="36"/>
  </w:num>
  <w:num w:numId="10">
    <w:abstractNumId w:val="26"/>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6"/>
  </w:num>
  <w:num w:numId="18">
    <w:abstractNumId w:val="5"/>
  </w:num>
  <w:num w:numId="19">
    <w:abstractNumId w:val="29"/>
  </w:num>
  <w:num w:numId="20">
    <w:abstractNumId w:val="17"/>
  </w:num>
  <w:num w:numId="21">
    <w:abstractNumId w:val="35"/>
  </w:num>
  <w:num w:numId="22">
    <w:abstractNumId w:val="0"/>
  </w:num>
  <w:num w:numId="23">
    <w:abstractNumId w:val="3"/>
  </w:num>
  <w:num w:numId="24">
    <w:abstractNumId w:val="7"/>
  </w:num>
  <w:num w:numId="25">
    <w:abstractNumId w:val="10"/>
  </w:num>
  <w:num w:numId="26">
    <w:abstractNumId w:val="23"/>
  </w:num>
  <w:num w:numId="27">
    <w:abstractNumId w:val="19"/>
  </w:num>
  <w:num w:numId="28">
    <w:abstractNumId w:val="43"/>
  </w:num>
  <w:num w:numId="29">
    <w:abstractNumId w:val="34"/>
  </w:num>
  <w:num w:numId="30">
    <w:abstractNumId w:val="27"/>
  </w:num>
  <w:num w:numId="31">
    <w:abstractNumId w:val="18"/>
  </w:num>
  <w:num w:numId="32">
    <w:abstractNumId w:val="20"/>
  </w:num>
  <w:num w:numId="33">
    <w:abstractNumId w:val="6"/>
  </w:num>
  <w:num w:numId="34">
    <w:abstractNumId w:val="37"/>
  </w:num>
  <w:num w:numId="35">
    <w:abstractNumId w:val="14"/>
  </w:num>
  <w:num w:numId="36">
    <w:abstractNumId w:val="22"/>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GB" w:vendorID="64" w:dllVersion="131078" w:nlCheck="1" w:checkStyle="1"/>
  <w:activeWritingStyle w:appName="MSWord" w:lang="fi-FI" w:vendorID="22" w:dllVersion="513" w:checkStyle="1"/>
  <w:activeWritingStyle w:appName="MSWord" w:lang="sv-SE" w:vendorID="22"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B0A"/>
    <w:rsid w:val="00000B13"/>
    <w:rsid w:val="00000D79"/>
    <w:rsid w:val="00001C65"/>
    <w:rsid w:val="000026A6"/>
    <w:rsid w:val="00005736"/>
    <w:rsid w:val="00007C03"/>
    <w:rsid w:val="00007EA2"/>
    <w:rsid w:val="00012F4B"/>
    <w:rsid w:val="000131D0"/>
    <w:rsid w:val="0001433B"/>
    <w:rsid w:val="0001582F"/>
    <w:rsid w:val="00015D45"/>
    <w:rsid w:val="000166D0"/>
    <w:rsid w:val="00017270"/>
    <w:rsid w:val="000202BC"/>
    <w:rsid w:val="000208A6"/>
    <w:rsid w:val="0002194F"/>
    <w:rsid w:val="00023201"/>
    <w:rsid w:val="00024B6D"/>
    <w:rsid w:val="00030044"/>
    <w:rsid w:val="0003265F"/>
    <w:rsid w:val="0003393F"/>
    <w:rsid w:val="00034B95"/>
    <w:rsid w:val="0003652F"/>
    <w:rsid w:val="000370C8"/>
    <w:rsid w:val="00040D23"/>
    <w:rsid w:val="00043723"/>
    <w:rsid w:val="00045508"/>
    <w:rsid w:val="00047B66"/>
    <w:rsid w:val="000502E9"/>
    <w:rsid w:val="00050C95"/>
    <w:rsid w:val="00052549"/>
    <w:rsid w:val="00052E56"/>
    <w:rsid w:val="000543D1"/>
    <w:rsid w:val="000608D6"/>
    <w:rsid w:val="00061325"/>
    <w:rsid w:val="000614BC"/>
    <w:rsid w:val="00061565"/>
    <w:rsid w:val="00061FE7"/>
    <w:rsid w:val="000627CD"/>
    <w:rsid w:val="00062A38"/>
    <w:rsid w:val="00063DCC"/>
    <w:rsid w:val="00066DC3"/>
    <w:rsid w:val="000677E9"/>
    <w:rsid w:val="00070B45"/>
    <w:rsid w:val="000722C4"/>
    <w:rsid w:val="00075ADB"/>
    <w:rsid w:val="000769BB"/>
    <w:rsid w:val="00077867"/>
    <w:rsid w:val="000811EC"/>
    <w:rsid w:val="00083E71"/>
    <w:rsid w:val="00084034"/>
    <w:rsid w:val="00086D51"/>
    <w:rsid w:val="00086E44"/>
    <w:rsid w:val="0009275E"/>
    <w:rsid w:val="00094938"/>
    <w:rsid w:val="00095E38"/>
    <w:rsid w:val="000968AF"/>
    <w:rsid w:val="00096F94"/>
    <w:rsid w:val="00097836"/>
    <w:rsid w:val="000A11C9"/>
    <w:rsid w:val="000A23C8"/>
    <w:rsid w:val="000A2C2D"/>
    <w:rsid w:val="000A3181"/>
    <w:rsid w:val="000A48BD"/>
    <w:rsid w:val="000A4CC1"/>
    <w:rsid w:val="000A55E5"/>
    <w:rsid w:val="000A6C3E"/>
    <w:rsid w:val="000A6EE3"/>
    <w:rsid w:val="000A7212"/>
    <w:rsid w:val="000A75CB"/>
    <w:rsid w:val="000B0F5F"/>
    <w:rsid w:val="000B2410"/>
    <w:rsid w:val="000B43F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0A2"/>
    <w:rsid w:val="000E1BB8"/>
    <w:rsid w:val="000E2BF4"/>
    <w:rsid w:val="000E446C"/>
    <w:rsid w:val="000F02E2"/>
    <w:rsid w:val="000F06B2"/>
    <w:rsid w:val="000F1313"/>
    <w:rsid w:val="000F1A50"/>
    <w:rsid w:val="000F1AE5"/>
    <w:rsid w:val="000F1F95"/>
    <w:rsid w:val="000F2F51"/>
    <w:rsid w:val="000F3FDB"/>
    <w:rsid w:val="000F5A45"/>
    <w:rsid w:val="000F66A0"/>
    <w:rsid w:val="000F6DC9"/>
    <w:rsid w:val="000F70C7"/>
    <w:rsid w:val="000F71FD"/>
    <w:rsid w:val="00100EB7"/>
    <w:rsid w:val="00103ACA"/>
    <w:rsid w:val="00103C5F"/>
    <w:rsid w:val="001044A0"/>
    <w:rsid w:val="001063A9"/>
    <w:rsid w:val="00106FD6"/>
    <w:rsid w:val="00107C32"/>
    <w:rsid w:val="001122D6"/>
    <w:rsid w:val="00113CCD"/>
    <w:rsid w:val="00113D42"/>
    <w:rsid w:val="00113FEF"/>
    <w:rsid w:val="00114D89"/>
    <w:rsid w:val="00115E19"/>
    <w:rsid w:val="0011693E"/>
    <w:rsid w:val="00117C3F"/>
    <w:rsid w:val="00120A6F"/>
    <w:rsid w:val="00121E3B"/>
    <w:rsid w:val="0012475C"/>
    <w:rsid w:val="00127D8D"/>
    <w:rsid w:val="001305A0"/>
    <w:rsid w:val="001310B9"/>
    <w:rsid w:val="00136DBF"/>
    <w:rsid w:val="001421FF"/>
    <w:rsid w:val="001534DC"/>
    <w:rsid w:val="001619B4"/>
    <w:rsid w:val="00161A08"/>
    <w:rsid w:val="001628A5"/>
    <w:rsid w:val="00167060"/>
    <w:rsid w:val="00170B5F"/>
    <w:rsid w:val="00171AEB"/>
    <w:rsid w:val="00172F9D"/>
    <w:rsid w:val="001737ED"/>
    <w:rsid w:val="00173F89"/>
    <w:rsid w:val="00174FCA"/>
    <w:rsid w:val="00175AD6"/>
    <w:rsid w:val="00177976"/>
    <w:rsid w:val="001809D8"/>
    <w:rsid w:val="00185F2E"/>
    <w:rsid w:val="0019152A"/>
    <w:rsid w:val="0019244A"/>
    <w:rsid w:val="001942C3"/>
    <w:rsid w:val="00197B82"/>
    <w:rsid w:val="00197F54"/>
    <w:rsid w:val="001A0813"/>
    <w:rsid w:val="001A119D"/>
    <w:rsid w:val="001A15F0"/>
    <w:rsid w:val="001A20EA"/>
    <w:rsid w:val="001A2377"/>
    <w:rsid w:val="001A2585"/>
    <w:rsid w:val="001A2C87"/>
    <w:rsid w:val="001A5FE9"/>
    <w:rsid w:val="001A6BB6"/>
    <w:rsid w:val="001A78D7"/>
    <w:rsid w:val="001B0461"/>
    <w:rsid w:val="001B0E89"/>
    <w:rsid w:val="001B17ED"/>
    <w:rsid w:val="001B1D4B"/>
    <w:rsid w:val="001B3072"/>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7D9"/>
    <w:rsid w:val="001E0895"/>
    <w:rsid w:val="001E2815"/>
    <w:rsid w:val="001E3303"/>
    <w:rsid w:val="001E6CCB"/>
    <w:rsid w:val="001F0934"/>
    <w:rsid w:val="001F5EEB"/>
    <w:rsid w:val="001F6E1A"/>
    <w:rsid w:val="001F7A9D"/>
    <w:rsid w:val="002013EA"/>
    <w:rsid w:val="00203617"/>
    <w:rsid w:val="002042DB"/>
    <w:rsid w:val="002049A0"/>
    <w:rsid w:val="00205F1C"/>
    <w:rsid w:val="002070FC"/>
    <w:rsid w:val="00213078"/>
    <w:rsid w:val="002133C2"/>
    <w:rsid w:val="00214F6B"/>
    <w:rsid w:val="00216F59"/>
    <w:rsid w:val="0021781C"/>
    <w:rsid w:val="00220C7D"/>
    <w:rsid w:val="002233F1"/>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C8C"/>
    <w:rsid w:val="002568F3"/>
    <w:rsid w:val="002600EF"/>
    <w:rsid w:val="00260ED8"/>
    <w:rsid w:val="00261B3D"/>
    <w:rsid w:val="002622E6"/>
    <w:rsid w:val="00263506"/>
    <w:rsid w:val="002637F9"/>
    <w:rsid w:val="002640C3"/>
    <w:rsid w:val="00264177"/>
    <w:rsid w:val="00264939"/>
    <w:rsid w:val="00266690"/>
    <w:rsid w:val="00273F65"/>
    <w:rsid w:val="0027666C"/>
    <w:rsid w:val="002767A8"/>
    <w:rsid w:val="0027698E"/>
    <w:rsid w:val="00276C0A"/>
    <w:rsid w:val="0028520A"/>
    <w:rsid w:val="002866EB"/>
    <w:rsid w:val="00292DB8"/>
    <w:rsid w:val="00293DCE"/>
    <w:rsid w:val="00295268"/>
    <w:rsid w:val="002953B9"/>
    <w:rsid w:val="002A0577"/>
    <w:rsid w:val="002A2066"/>
    <w:rsid w:val="002A4575"/>
    <w:rsid w:val="002A5827"/>
    <w:rsid w:val="002A630E"/>
    <w:rsid w:val="002B0120"/>
    <w:rsid w:val="002B3891"/>
    <w:rsid w:val="002B4A7F"/>
    <w:rsid w:val="002B712B"/>
    <w:rsid w:val="002C19FF"/>
    <w:rsid w:val="002C25AD"/>
    <w:rsid w:val="002C694B"/>
    <w:rsid w:val="002C6F56"/>
    <w:rsid w:val="002D0561"/>
    <w:rsid w:val="002D158A"/>
    <w:rsid w:val="002D1DA4"/>
    <w:rsid w:val="002D2DFF"/>
    <w:rsid w:val="002D4C0B"/>
    <w:rsid w:val="002E0619"/>
    <w:rsid w:val="002E0770"/>
    <w:rsid w:val="002E0859"/>
    <w:rsid w:val="002E136D"/>
    <w:rsid w:val="002E1C57"/>
    <w:rsid w:val="002E58B2"/>
    <w:rsid w:val="002E73F2"/>
    <w:rsid w:val="002F036A"/>
    <w:rsid w:val="002F0DA6"/>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7836"/>
    <w:rsid w:val="003206A2"/>
    <w:rsid w:val="0032557F"/>
    <w:rsid w:val="00326029"/>
    <w:rsid w:val="00327C20"/>
    <w:rsid w:val="0033013E"/>
    <w:rsid w:val="00331079"/>
    <w:rsid w:val="00332AFA"/>
    <w:rsid w:val="0033438A"/>
    <w:rsid w:val="00334D23"/>
    <w:rsid w:val="00336539"/>
    <w:rsid w:val="00337046"/>
    <w:rsid w:val="00337B35"/>
    <w:rsid w:val="00342547"/>
    <w:rsid w:val="00343150"/>
    <w:rsid w:val="003433C2"/>
    <w:rsid w:val="0035308D"/>
    <w:rsid w:val="00353702"/>
    <w:rsid w:val="003569FE"/>
    <w:rsid w:val="00357D0C"/>
    <w:rsid w:val="00360341"/>
    <w:rsid w:val="00360E69"/>
    <w:rsid w:val="003612B1"/>
    <w:rsid w:val="00362079"/>
    <w:rsid w:val="0036367F"/>
    <w:rsid w:val="00371B2E"/>
    <w:rsid w:val="00373F61"/>
    <w:rsid w:val="00374108"/>
    <w:rsid w:val="003741DD"/>
    <w:rsid w:val="0037489B"/>
    <w:rsid w:val="0037538C"/>
    <w:rsid w:val="0037558E"/>
    <w:rsid w:val="00377BFD"/>
    <w:rsid w:val="003801DE"/>
    <w:rsid w:val="0038158D"/>
    <w:rsid w:val="00384BEB"/>
    <w:rsid w:val="00386F49"/>
    <w:rsid w:val="0039043F"/>
    <w:rsid w:val="00390BBF"/>
    <w:rsid w:val="00392B9C"/>
    <w:rsid w:val="00392BB4"/>
    <w:rsid w:val="00394176"/>
    <w:rsid w:val="003A58B2"/>
    <w:rsid w:val="003A7AF7"/>
    <w:rsid w:val="003B0771"/>
    <w:rsid w:val="003B1CA9"/>
    <w:rsid w:val="003B1D71"/>
    <w:rsid w:val="003B2B16"/>
    <w:rsid w:val="003B2DC7"/>
    <w:rsid w:val="003B2F0E"/>
    <w:rsid w:val="003B63D8"/>
    <w:rsid w:val="003C2B7B"/>
    <w:rsid w:val="003C4BE6"/>
    <w:rsid w:val="003C5C12"/>
    <w:rsid w:val="003C65E6"/>
    <w:rsid w:val="003D038A"/>
    <w:rsid w:val="003D6403"/>
    <w:rsid w:val="003D7447"/>
    <w:rsid w:val="003E10C5"/>
    <w:rsid w:val="003E2774"/>
    <w:rsid w:val="003E3AA4"/>
    <w:rsid w:val="003E46C0"/>
    <w:rsid w:val="003E4F2F"/>
    <w:rsid w:val="003F0137"/>
    <w:rsid w:val="003F4E7F"/>
    <w:rsid w:val="003F591E"/>
    <w:rsid w:val="003F672A"/>
    <w:rsid w:val="003F7948"/>
    <w:rsid w:val="003F7A17"/>
    <w:rsid w:val="00400C9A"/>
    <w:rsid w:val="0040234E"/>
    <w:rsid w:val="0040537C"/>
    <w:rsid w:val="00407254"/>
    <w:rsid w:val="00407335"/>
    <w:rsid w:val="00407AE9"/>
    <w:rsid w:val="00407EDE"/>
    <w:rsid w:val="00410079"/>
    <w:rsid w:val="00412B76"/>
    <w:rsid w:val="00412DDA"/>
    <w:rsid w:val="00412F15"/>
    <w:rsid w:val="00413287"/>
    <w:rsid w:val="00413E31"/>
    <w:rsid w:val="00420AF8"/>
    <w:rsid w:val="00421B61"/>
    <w:rsid w:val="00421C3C"/>
    <w:rsid w:val="00421CC2"/>
    <w:rsid w:val="004232D2"/>
    <w:rsid w:val="00424DB0"/>
    <w:rsid w:val="00424EDF"/>
    <w:rsid w:val="00427716"/>
    <w:rsid w:val="00427F43"/>
    <w:rsid w:val="004300A4"/>
    <w:rsid w:val="00431A47"/>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8CC"/>
    <w:rsid w:val="00477B05"/>
    <w:rsid w:val="00482025"/>
    <w:rsid w:val="00483449"/>
    <w:rsid w:val="00485B55"/>
    <w:rsid w:val="00486E06"/>
    <w:rsid w:val="0049168D"/>
    <w:rsid w:val="00493235"/>
    <w:rsid w:val="004941E5"/>
    <w:rsid w:val="004967AF"/>
    <w:rsid w:val="004A1943"/>
    <w:rsid w:val="004A20F3"/>
    <w:rsid w:val="004A5693"/>
    <w:rsid w:val="004A58F9"/>
    <w:rsid w:val="004A6E42"/>
    <w:rsid w:val="004B1512"/>
    <w:rsid w:val="004B4B00"/>
    <w:rsid w:val="004B5A50"/>
    <w:rsid w:val="004B7136"/>
    <w:rsid w:val="004B741F"/>
    <w:rsid w:val="004C03B8"/>
    <w:rsid w:val="004C0F0E"/>
    <w:rsid w:val="004C2447"/>
    <w:rsid w:val="004C56B7"/>
    <w:rsid w:val="004C5949"/>
    <w:rsid w:val="004C6D41"/>
    <w:rsid w:val="004D0421"/>
    <w:rsid w:val="004D1C90"/>
    <w:rsid w:val="004D30BE"/>
    <w:rsid w:val="004D328B"/>
    <w:rsid w:val="004D35CD"/>
    <w:rsid w:val="004D3E0C"/>
    <w:rsid w:val="004D4146"/>
    <w:rsid w:val="004E0F73"/>
    <w:rsid w:val="004E2153"/>
    <w:rsid w:val="004E232B"/>
    <w:rsid w:val="004E6820"/>
    <w:rsid w:val="004F1386"/>
    <w:rsid w:val="004F3408"/>
    <w:rsid w:val="004F37CF"/>
    <w:rsid w:val="004F45F5"/>
    <w:rsid w:val="004F6D83"/>
    <w:rsid w:val="00500316"/>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6C4C"/>
    <w:rsid w:val="0055413D"/>
    <w:rsid w:val="005542BD"/>
    <w:rsid w:val="00556BBA"/>
    <w:rsid w:val="00557B92"/>
    <w:rsid w:val="00564DEC"/>
    <w:rsid w:val="005662AC"/>
    <w:rsid w:val="005747C4"/>
    <w:rsid w:val="00574A50"/>
    <w:rsid w:val="005815CB"/>
    <w:rsid w:val="00582328"/>
    <w:rsid w:val="005853E6"/>
    <w:rsid w:val="00587CD7"/>
    <w:rsid w:val="0059124A"/>
    <w:rsid w:val="00591464"/>
    <w:rsid w:val="00591DDD"/>
    <w:rsid w:val="005A10EA"/>
    <w:rsid w:val="005A1605"/>
    <w:rsid w:val="005A1C33"/>
    <w:rsid w:val="005A38B8"/>
    <w:rsid w:val="005A4C29"/>
    <w:rsid w:val="005A6734"/>
    <w:rsid w:val="005A7B14"/>
    <w:rsid w:val="005B0BF3"/>
    <w:rsid w:val="005B7A21"/>
    <w:rsid w:val="005C28BF"/>
    <w:rsid w:val="005C4FE0"/>
    <w:rsid w:val="005C6E54"/>
    <w:rsid w:val="005C7E83"/>
    <w:rsid w:val="005D0466"/>
    <w:rsid w:val="005D047B"/>
    <w:rsid w:val="005D15B5"/>
    <w:rsid w:val="005D1D26"/>
    <w:rsid w:val="005D569A"/>
    <w:rsid w:val="005D5B30"/>
    <w:rsid w:val="005D752A"/>
    <w:rsid w:val="005E079F"/>
    <w:rsid w:val="005E1BF4"/>
    <w:rsid w:val="005E7444"/>
    <w:rsid w:val="005F35B9"/>
    <w:rsid w:val="005F466A"/>
    <w:rsid w:val="0060037A"/>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0F51"/>
    <w:rsid w:val="0062144A"/>
    <w:rsid w:val="0062665A"/>
    <w:rsid w:val="0062698C"/>
    <w:rsid w:val="00630648"/>
    <w:rsid w:val="006309A0"/>
    <w:rsid w:val="006372F4"/>
    <w:rsid w:val="00637C8E"/>
    <w:rsid w:val="00640A11"/>
    <w:rsid w:val="006428BE"/>
    <w:rsid w:val="00644FCD"/>
    <w:rsid w:val="00650521"/>
    <w:rsid w:val="00651023"/>
    <w:rsid w:val="006524E7"/>
    <w:rsid w:val="006565C8"/>
    <w:rsid w:val="00660696"/>
    <w:rsid w:val="00660FA6"/>
    <w:rsid w:val="00661C40"/>
    <w:rsid w:val="00664184"/>
    <w:rsid w:val="006652DD"/>
    <w:rsid w:val="0066592E"/>
    <w:rsid w:val="006669BF"/>
    <w:rsid w:val="00670496"/>
    <w:rsid w:val="006724B9"/>
    <w:rsid w:val="00672E0E"/>
    <w:rsid w:val="006747C5"/>
    <w:rsid w:val="00676463"/>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F36"/>
    <w:rsid w:val="006A5163"/>
    <w:rsid w:val="006B0989"/>
    <w:rsid w:val="006B0E5E"/>
    <w:rsid w:val="006B2658"/>
    <w:rsid w:val="006B2F61"/>
    <w:rsid w:val="006B557E"/>
    <w:rsid w:val="006B6985"/>
    <w:rsid w:val="006B7B0A"/>
    <w:rsid w:val="006C070F"/>
    <w:rsid w:val="006C170E"/>
    <w:rsid w:val="006C38DC"/>
    <w:rsid w:val="006C45AA"/>
    <w:rsid w:val="006C4822"/>
    <w:rsid w:val="006D225C"/>
    <w:rsid w:val="006D2CE0"/>
    <w:rsid w:val="006D4C55"/>
    <w:rsid w:val="006D642E"/>
    <w:rsid w:val="006E0967"/>
    <w:rsid w:val="006E245A"/>
    <w:rsid w:val="006E45DD"/>
    <w:rsid w:val="006E56A2"/>
    <w:rsid w:val="006E640F"/>
    <w:rsid w:val="006E6E0F"/>
    <w:rsid w:val="006E7E9F"/>
    <w:rsid w:val="006F0B1A"/>
    <w:rsid w:val="006F1A2F"/>
    <w:rsid w:val="006F20FD"/>
    <w:rsid w:val="006F3115"/>
    <w:rsid w:val="006F5F3F"/>
    <w:rsid w:val="00700617"/>
    <w:rsid w:val="00701097"/>
    <w:rsid w:val="00701EDC"/>
    <w:rsid w:val="00702977"/>
    <w:rsid w:val="00702F51"/>
    <w:rsid w:val="00703CD6"/>
    <w:rsid w:val="00704DA4"/>
    <w:rsid w:val="0070655B"/>
    <w:rsid w:val="0070698A"/>
    <w:rsid w:val="00707A49"/>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6BF4"/>
    <w:rsid w:val="0072735A"/>
    <w:rsid w:val="007275D7"/>
    <w:rsid w:val="007304CB"/>
    <w:rsid w:val="00733E32"/>
    <w:rsid w:val="00734053"/>
    <w:rsid w:val="00736DB4"/>
    <w:rsid w:val="0073710B"/>
    <w:rsid w:val="0074053D"/>
    <w:rsid w:val="007501D0"/>
    <w:rsid w:val="007508DA"/>
    <w:rsid w:val="00751369"/>
    <w:rsid w:val="00751EF6"/>
    <w:rsid w:val="007543E9"/>
    <w:rsid w:val="00755550"/>
    <w:rsid w:val="007573C3"/>
    <w:rsid w:val="0076001A"/>
    <w:rsid w:val="00760A57"/>
    <w:rsid w:val="00760DA7"/>
    <w:rsid w:val="0076239B"/>
    <w:rsid w:val="00766185"/>
    <w:rsid w:val="00771167"/>
    <w:rsid w:val="007736DF"/>
    <w:rsid w:val="00774E8C"/>
    <w:rsid w:val="00775119"/>
    <w:rsid w:val="00775B66"/>
    <w:rsid w:val="0077609A"/>
    <w:rsid w:val="0077641D"/>
    <w:rsid w:val="00780BBD"/>
    <w:rsid w:val="00785D7E"/>
    <w:rsid w:val="007914C8"/>
    <w:rsid w:val="00796058"/>
    <w:rsid w:val="007961ED"/>
    <w:rsid w:val="0079674C"/>
    <w:rsid w:val="00797CFD"/>
    <w:rsid w:val="007A1F5B"/>
    <w:rsid w:val="007A5C1E"/>
    <w:rsid w:val="007A5F41"/>
    <w:rsid w:val="007A669F"/>
    <w:rsid w:val="007B2660"/>
    <w:rsid w:val="007B29BB"/>
    <w:rsid w:val="007B2DFB"/>
    <w:rsid w:val="007B52B9"/>
    <w:rsid w:val="007B5D24"/>
    <w:rsid w:val="007B6F82"/>
    <w:rsid w:val="007C05F6"/>
    <w:rsid w:val="007C1B99"/>
    <w:rsid w:val="007C3721"/>
    <w:rsid w:val="007C5DA4"/>
    <w:rsid w:val="007C7399"/>
    <w:rsid w:val="007D277B"/>
    <w:rsid w:val="007D331F"/>
    <w:rsid w:val="007D46F9"/>
    <w:rsid w:val="007D4C94"/>
    <w:rsid w:val="007D4DF4"/>
    <w:rsid w:val="007D4E10"/>
    <w:rsid w:val="007D7028"/>
    <w:rsid w:val="007E23E2"/>
    <w:rsid w:val="007E2B56"/>
    <w:rsid w:val="007E2F44"/>
    <w:rsid w:val="007E3BCF"/>
    <w:rsid w:val="007E421A"/>
    <w:rsid w:val="007E4274"/>
    <w:rsid w:val="007E4CE9"/>
    <w:rsid w:val="007E5567"/>
    <w:rsid w:val="007E6681"/>
    <w:rsid w:val="007E6A10"/>
    <w:rsid w:val="007F17D0"/>
    <w:rsid w:val="007F197F"/>
    <w:rsid w:val="007F260B"/>
    <w:rsid w:val="007F46A7"/>
    <w:rsid w:val="007F6E4D"/>
    <w:rsid w:val="00800ADC"/>
    <w:rsid w:val="00803E18"/>
    <w:rsid w:val="00807643"/>
    <w:rsid w:val="00814E3D"/>
    <w:rsid w:val="00815458"/>
    <w:rsid w:val="0081545C"/>
    <w:rsid w:val="00815D87"/>
    <w:rsid w:val="008208B7"/>
    <w:rsid w:val="00821567"/>
    <w:rsid w:val="00826432"/>
    <w:rsid w:val="008266F8"/>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E81"/>
    <w:rsid w:val="00856BB8"/>
    <w:rsid w:val="008571E9"/>
    <w:rsid w:val="00860492"/>
    <w:rsid w:val="00861733"/>
    <w:rsid w:val="00861A2E"/>
    <w:rsid w:val="00862CEB"/>
    <w:rsid w:val="00863AA4"/>
    <w:rsid w:val="00863DDF"/>
    <w:rsid w:val="0086510E"/>
    <w:rsid w:val="00866185"/>
    <w:rsid w:val="00866475"/>
    <w:rsid w:val="0087128B"/>
    <w:rsid w:val="00872E1F"/>
    <w:rsid w:val="008731A2"/>
    <w:rsid w:val="0087370F"/>
    <w:rsid w:val="00876A7C"/>
    <w:rsid w:val="00876B11"/>
    <w:rsid w:val="00877266"/>
    <w:rsid w:val="008826AF"/>
    <w:rsid w:val="00885DD6"/>
    <w:rsid w:val="00886C85"/>
    <w:rsid w:val="008903A6"/>
    <w:rsid w:val="008906AD"/>
    <w:rsid w:val="008907B4"/>
    <w:rsid w:val="00890B76"/>
    <w:rsid w:val="00890C18"/>
    <w:rsid w:val="00892348"/>
    <w:rsid w:val="008968F7"/>
    <w:rsid w:val="00896F25"/>
    <w:rsid w:val="00896F9E"/>
    <w:rsid w:val="00897EA1"/>
    <w:rsid w:val="008A027B"/>
    <w:rsid w:val="008A0B0A"/>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4752"/>
    <w:rsid w:val="008D4A96"/>
    <w:rsid w:val="008D765A"/>
    <w:rsid w:val="008D78E1"/>
    <w:rsid w:val="008D7BB5"/>
    <w:rsid w:val="008E15F4"/>
    <w:rsid w:val="008E336B"/>
    <w:rsid w:val="008E3437"/>
    <w:rsid w:val="008E3838"/>
    <w:rsid w:val="008E3D10"/>
    <w:rsid w:val="008E5DE8"/>
    <w:rsid w:val="008F01C4"/>
    <w:rsid w:val="008F1F22"/>
    <w:rsid w:val="008F471B"/>
    <w:rsid w:val="008F6A51"/>
    <w:rsid w:val="008F6AC8"/>
    <w:rsid w:val="009033B5"/>
    <w:rsid w:val="0090416A"/>
    <w:rsid w:val="00905D4D"/>
    <w:rsid w:val="009066F7"/>
    <w:rsid w:val="00907CDB"/>
    <w:rsid w:val="0091070F"/>
    <w:rsid w:val="00911180"/>
    <w:rsid w:val="009126FE"/>
    <w:rsid w:val="00912A46"/>
    <w:rsid w:val="009142F6"/>
    <w:rsid w:val="00915E94"/>
    <w:rsid w:val="00921B70"/>
    <w:rsid w:val="009227B4"/>
    <w:rsid w:val="009231B9"/>
    <w:rsid w:val="00925A7D"/>
    <w:rsid w:val="00925BA7"/>
    <w:rsid w:val="00927D77"/>
    <w:rsid w:val="009309AB"/>
    <w:rsid w:val="00930B9A"/>
    <w:rsid w:val="00931A81"/>
    <w:rsid w:val="0093232A"/>
    <w:rsid w:val="00932830"/>
    <w:rsid w:val="00934693"/>
    <w:rsid w:val="00936812"/>
    <w:rsid w:val="0093694A"/>
    <w:rsid w:val="00936E0C"/>
    <w:rsid w:val="00937EDD"/>
    <w:rsid w:val="009404EC"/>
    <w:rsid w:val="00941491"/>
    <w:rsid w:val="00941D51"/>
    <w:rsid w:val="00943D06"/>
    <w:rsid w:val="00945915"/>
    <w:rsid w:val="00946CA5"/>
    <w:rsid w:val="00947D8C"/>
    <w:rsid w:val="009500E7"/>
    <w:rsid w:val="0095031F"/>
    <w:rsid w:val="00951B10"/>
    <w:rsid w:val="0095254D"/>
    <w:rsid w:val="00952BB2"/>
    <w:rsid w:val="00954A27"/>
    <w:rsid w:val="00955368"/>
    <w:rsid w:val="00956EB7"/>
    <w:rsid w:val="009577A3"/>
    <w:rsid w:val="00957B58"/>
    <w:rsid w:val="00960AD0"/>
    <w:rsid w:val="00964667"/>
    <w:rsid w:val="0098309A"/>
    <w:rsid w:val="0098337C"/>
    <w:rsid w:val="0098383B"/>
    <w:rsid w:val="00987062"/>
    <w:rsid w:val="00990555"/>
    <w:rsid w:val="00991863"/>
    <w:rsid w:val="009918A7"/>
    <w:rsid w:val="00994366"/>
    <w:rsid w:val="009947F3"/>
    <w:rsid w:val="00994A79"/>
    <w:rsid w:val="00995170"/>
    <w:rsid w:val="00995A5D"/>
    <w:rsid w:val="009977DD"/>
    <w:rsid w:val="00997C0F"/>
    <w:rsid w:val="009A1494"/>
    <w:rsid w:val="009B0B47"/>
    <w:rsid w:val="009B0F48"/>
    <w:rsid w:val="009B1141"/>
    <w:rsid w:val="009B3382"/>
    <w:rsid w:val="009B3478"/>
    <w:rsid w:val="009B4CFF"/>
    <w:rsid w:val="009B5946"/>
    <w:rsid w:val="009B717E"/>
    <w:rsid w:val="009B71AB"/>
    <w:rsid w:val="009C4A36"/>
    <w:rsid w:val="009C5AEB"/>
    <w:rsid w:val="009D1283"/>
    <w:rsid w:val="009D22F8"/>
    <w:rsid w:val="009D7B40"/>
    <w:rsid w:val="009D7D94"/>
    <w:rsid w:val="009E0EB6"/>
    <w:rsid w:val="009E166A"/>
    <w:rsid w:val="009E3EA6"/>
    <w:rsid w:val="009E4494"/>
    <w:rsid w:val="009E481E"/>
    <w:rsid w:val="009E4F6F"/>
    <w:rsid w:val="009E519A"/>
    <w:rsid w:val="009E5515"/>
    <w:rsid w:val="009E765A"/>
    <w:rsid w:val="009F1C22"/>
    <w:rsid w:val="009F263A"/>
    <w:rsid w:val="009F4241"/>
    <w:rsid w:val="009F5183"/>
    <w:rsid w:val="009F72FD"/>
    <w:rsid w:val="00A0024C"/>
    <w:rsid w:val="00A014EA"/>
    <w:rsid w:val="00A02F9B"/>
    <w:rsid w:val="00A05399"/>
    <w:rsid w:val="00A0547A"/>
    <w:rsid w:val="00A0653E"/>
    <w:rsid w:val="00A06CF5"/>
    <w:rsid w:val="00A1054A"/>
    <w:rsid w:val="00A105F8"/>
    <w:rsid w:val="00A14CBE"/>
    <w:rsid w:val="00A172DE"/>
    <w:rsid w:val="00A173AE"/>
    <w:rsid w:val="00A20A78"/>
    <w:rsid w:val="00A210D4"/>
    <w:rsid w:val="00A2129B"/>
    <w:rsid w:val="00A21ADC"/>
    <w:rsid w:val="00A25833"/>
    <w:rsid w:val="00A25C2F"/>
    <w:rsid w:val="00A27BCC"/>
    <w:rsid w:val="00A3091D"/>
    <w:rsid w:val="00A33806"/>
    <w:rsid w:val="00A34650"/>
    <w:rsid w:val="00A34BEC"/>
    <w:rsid w:val="00A35FFE"/>
    <w:rsid w:val="00A3683F"/>
    <w:rsid w:val="00A36A75"/>
    <w:rsid w:val="00A36F96"/>
    <w:rsid w:val="00A37B8B"/>
    <w:rsid w:val="00A41323"/>
    <w:rsid w:val="00A4253E"/>
    <w:rsid w:val="00A43667"/>
    <w:rsid w:val="00A4401A"/>
    <w:rsid w:val="00A45011"/>
    <w:rsid w:val="00A46441"/>
    <w:rsid w:val="00A478FD"/>
    <w:rsid w:val="00A503EE"/>
    <w:rsid w:val="00A54615"/>
    <w:rsid w:val="00A54B91"/>
    <w:rsid w:val="00A5645A"/>
    <w:rsid w:val="00A62BF1"/>
    <w:rsid w:val="00A62C64"/>
    <w:rsid w:val="00A6367D"/>
    <w:rsid w:val="00A65997"/>
    <w:rsid w:val="00A66854"/>
    <w:rsid w:val="00A6779F"/>
    <w:rsid w:val="00A7038D"/>
    <w:rsid w:val="00A704A9"/>
    <w:rsid w:val="00A70622"/>
    <w:rsid w:val="00A712DA"/>
    <w:rsid w:val="00A730AA"/>
    <w:rsid w:val="00A808D7"/>
    <w:rsid w:val="00A80A40"/>
    <w:rsid w:val="00A811DA"/>
    <w:rsid w:val="00A8125B"/>
    <w:rsid w:val="00A8134F"/>
    <w:rsid w:val="00A82953"/>
    <w:rsid w:val="00A83834"/>
    <w:rsid w:val="00A83C7D"/>
    <w:rsid w:val="00A844AA"/>
    <w:rsid w:val="00A84BD8"/>
    <w:rsid w:val="00A8672B"/>
    <w:rsid w:val="00A877C7"/>
    <w:rsid w:val="00A90D5A"/>
    <w:rsid w:val="00A9153D"/>
    <w:rsid w:val="00A931F0"/>
    <w:rsid w:val="00A95673"/>
    <w:rsid w:val="00A95921"/>
    <w:rsid w:val="00A95B62"/>
    <w:rsid w:val="00AA1334"/>
    <w:rsid w:val="00AA30CA"/>
    <w:rsid w:val="00AA4121"/>
    <w:rsid w:val="00AA6E8E"/>
    <w:rsid w:val="00AB3E0E"/>
    <w:rsid w:val="00AB445E"/>
    <w:rsid w:val="00AB4A50"/>
    <w:rsid w:val="00AB6042"/>
    <w:rsid w:val="00AC14B9"/>
    <w:rsid w:val="00AC2BF0"/>
    <w:rsid w:val="00AC2F49"/>
    <w:rsid w:val="00AC3BA6"/>
    <w:rsid w:val="00AC44C1"/>
    <w:rsid w:val="00AD07FE"/>
    <w:rsid w:val="00AD21B7"/>
    <w:rsid w:val="00AD3B0F"/>
    <w:rsid w:val="00AD3E93"/>
    <w:rsid w:val="00AD5878"/>
    <w:rsid w:val="00AD632D"/>
    <w:rsid w:val="00AD738F"/>
    <w:rsid w:val="00AD75B9"/>
    <w:rsid w:val="00AD7DC0"/>
    <w:rsid w:val="00AD7FF9"/>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236E"/>
    <w:rsid w:val="00B14081"/>
    <w:rsid w:val="00B140DF"/>
    <w:rsid w:val="00B20077"/>
    <w:rsid w:val="00B20A94"/>
    <w:rsid w:val="00B20B4D"/>
    <w:rsid w:val="00B21AB5"/>
    <w:rsid w:val="00B233CE"/>
    <w:rsid w:val="00B236F7"/>
    <w:rsid w:val="00B23E78"/>
    <w:rsid w:val="00B24C85"/>
    <w:rsid w:val="00B25B2C"/>
    <w:rsid w:val="00B26DDF"/>
    <w:rsid w:val="00B27533"/>
    <w:rsid w:val="00B30909"/>
    <w:rsid w:val="00B31116"/>
    <w:rsid w:val="00B32CCB"/>
    <w:rsid w:val="00B34089"/>
    <w:rsid w:val="00B35B11"/>
    <w:rsid w:val="00B36A40"/>
    <w:rsid w:val="00B37C2C"/>
    <w:rsid w:val="00B40308"/>
    <w:rsid w:val="00B4051A"/>
    <w:rsid w:val="00B40531"/>
    <w:rsid w:val="00B40D6E"/>
    <w:rsid w:val="00B416B5"/>
    <w:rsid w:val="00B42D9C"/>
    <w:rsid w:val="00B43BC5"/>
    <w:rsid w:val="00B46941"/>
    <w:rsid w:val="00B50676"/>
    <w:rsid w:val="00B51264"/>
    <w:rsid w:val="00B515DE"/>
    <w:rsid w:val="00B51A90"/>
    <w:rsid w:val="00B5336D"/>
    <w:rsid w:val="00B5559F"/>
    <w:rsid w:val="00B56BCE"/>
    <w:rsid w:val="00B6025A"/>
    <w:rsid w:val="00B6050B"/>
    <w:rsid w:val="00B6486A"/>
    <w:rsid w:val="00B66882"/>
    <w:rsid w:val="00B67343"/>
    <w:rsid w:val="00B67E15"/>
    <w:rsid w:val="00B719E1"/>
    <w:rsid w:val="00B73260"/>
    <w:rsid w:val="00B73393"/>
    <w:rsid w:val="00B73616"/>
    <w:rsid w:val="00B73ECE"/>
    <w:rsid w:val="00B77E51"/>
    <w:rsid w:val="00B817A6"/>
    <w:rsid w:val="00B8432A"/>
    <w:rsid w:val="00B84E3D"/>
    <w:rsid w:val="00B858FE"/>
    <w:rsid w:val="00B872D6"/>
    <w:rsid w:val="00B9042C"/>
    <w:rsid w:val="00B931C8"/>
    <w:rsid w:val="00B9420D"/>
    <w:rsid w:val="00B95FAB"/>
    <w:rsid w:val="00B96D33"/>
    <w:rsid w:val="00BA2B10"/>
    <w:rsid w:val="00BB70AC"/>
    <w:rsid w:val="00BC283C"/>
    <w:rsid w:val="00BC50F7"/>
    <w:rsid w:val="00BC692D"/>
    <w:rsid w:val="00BC7C29"/>
    <w:rsid w:val="00BD465D"/>
    <w:rsid w:val="00BD55AF"/>
    <w:rsid w:val="00BE009D"/>
    <w:rsid w:val="00BE03B1"/>
    <w:rsid w:val="00BE0BC3"/>
    <w:rsid w:val="00BE3F31"/>
    <w:rsid w:val="00BF1E83"/>
    <w:rsid w:val="00BF29D9"/>
    <w:rsid w:val="00BF42DA"/>
    <w:rsid w:val="00BF7C2C"/>
    <w:rsid w:val="00C01DCD"/>
    <w:rsid w:val="00C02835"/>
    <w:rsid w:val="00C10016"/>
    <w:rsid w:val="00C131FF"/>
    <w:rsid w:val="00C13E48"/>
    <w:rsid w:val="00C14ABD"/>
    <w:rsid w:val="00C20617"/>
    <w:rsid w:val="00C22CBF"/>
    <w:rsid w:val="00C245D5"/>
    <w:rsid w:val="00C26932"/>
    <w:rsid w:val="00C32B61"/>
    <w:rsid w:val="00C33B4F"/>
    <w:rsid w:val="00C36E9A"/>
    <w:rsid w:val="00C3764E"/>
    <w:rsid w:val="00C42540"/>
    <w:rsid w:val="00C4269D"/>
    <w:rsid w:val="00C43D48"/>
    <w:rsid w:val="00C46E51"/>
    <w:rsid w:val="00C51846"/>
    <w:rsid w:val="00C5185A"/>
    <w:rsid w:val="00C53C66"/>
    <w:rsid w:val="00C53D86"/>
    <w:rsid w:val="00C567FF"/>
    <w:rsid w:val="00C5702D"/>
    <w:rsid w:val="00C57814"/>
    <w:rsid w:val="00C6092A"/>
    <w:rsid w:val="00C60BD5"/>
    <w:rsid w:val="00C613F2"/>
    <w:rsid w:val="00C643D4"/>
    <w:rsid w:val="00C66974"/>
    <w:rsid w:val="00C67B43"/>
    <w:rsid w:val="00C73D6A"/>
    <w:rsid w:val="00C74E0A"/>
    <w:rsid w:val="00C752A5"/>
    <w:rsid w:val="00C76363"/>
    <w:rsid w:val="00C76996"/>
    <w:rsid w:val="00C802FF"/>
    <w:rsid w:val="00C81A4F"/>
    <w:rsid w:val="00C820E8"/>
    <w:rsid w:val="00C821D2"/>
    <w:rsid w:val="00C82C17"/>
    <w:rsid w:val="00C82FE7"/>
    <w:rsid w:val="00C85BA8"/>
    <w:rsid w:val="00C85EB5"/>
    <w:rsid w:val="00C864A9"/>
    <w:rsid w:val="00C87843"/>
    <w:rsid w:val="00C87A0E"/>
    <w:rsid w:val="00C903B4"/>
    <w:rsid w:val="00C912AD"/>
    <w:rsid w:val="00C9368B"/>
    <w:rsid w:val="00C95454"/>
    <w:rsid w:val="00C95716"/>
    <w:rsid w:val="00C977E2"/>
    <w:rsid w:val="00C97827"/>
    <w:rsid w:val="00C97A03"/>
    <w:rsid w:val="00CA0357"/>
    <w:rsid w:val="00CA0CF5"/>
    <w:rsid w:val="00CA20FF"/>
    <w:rsid w:val="00CA21C9"/>
    <w:rsid w:val="00CA3714"/>
    <w:rsid w:val="00CA3F71"/>
    <w:rsid w:val="00CA5970"/>
    <w:rsid w:val="00CA77FB"/>
    <w:rsid w:val="00CB2B32"/>
    <w:rsid w:val="00CB4A03"/>
    <w:rsid w:val="00CC16DD"/>
    <w:rsid w:val="00CC1BB0"/>
    <w:rsid w:val="00CC4DA8"/>
    <w:rsid w:val="00CC5A11"/>
    <w:rsid w:val="00CC7214"/>
    <w:rsid w:val="00CD0C80"/>
    <w:rsid w:val="00CD1909"/>
    <w:rsid w:val="00CD661D"/>
    <w:rsid w:val="00CE2B1F"/>
    <w:rsid w:val="00CE3174"/>
    <w:rsid w:val="00CE43BD"/>
    <w:rsid w:val="00CE51C5"/>
    <w:rsid w:val="00CE6A12"/>
    <w:rsid w:val="00CF1122"/>
    <w:rsid w:val="00CF127D"/>
    <w:rsid w:val="00CF561D"/>
    <w:rsid w:val="00D00070"/>
    <w:rsid w:val="00D00BD0"/>
    <w:rsid w:val="00D0289E"/>
    <w:rsid w:val="00D03754"/>
    <w:rsid w:val="00D04186"/>
    <w:rsid w:val="00D045AC"/>
    <w:rsid w:val="00D04F06"/>
    <w:rsid w:val="00D07BF0"/>
    <w:rsid w:val="00D115D2"/>
    <w:rsid w:val="00D13544"/>
    <w:rsid w:val="00D13C8D"/>
    <w:rsid w:val="00D148A8"/>
    <w:rsid w:val="00D151B8"/>
    <w:rsid w:val="00D15630"/>
    <w:rsid w:val="00D15A03"/>
    <w:rsid w:val="00D1660D"/>
    <w:rsid w:val="00D17641"/>
    <w:rsid w:val="00D207E4"/>
    <w:rsid w:val="00D25FFD"/>
    <w:rsid w:val="00D276F1"/>
    <w:rsid w:val="00D33088"/>
    <w:rsid w:val="00D348B0"/>
    <w:rsid w:val="00D34A4F"/>
    <w:rsid w:val="00D366BD"/>
    <w:rsid w:val="00D4041C"/>
    <w:rsid w:val="00D40A31"/>
    <w:rsid w:val="00D40ACA"/>
    <w:rsid w:val="00D441EB"/>
    <w:rsid w:val="00D44217"/>
    <w:rsid w:val="00D45A9B"/>
    <w:rsid w:val="00D46AB4"/>
    <w:rsid w:val="00D46B7E"/>
    <w:rsid w:val="00D4753B"/>
    <w:rsid w:val="00D50D0E"/>
    <w:rsid w:val="00D52659"/>
    <w:rsid w:val="00D54D11"/>
    <w:rsid w:val="00D60F32"/>
    <w:rsid w:val="00D62D3E"/>
    <w:rsid w:val="00D63547"/>
    <w:rsid w:val="00D708F9"/>
    <w:rsid w:val="00D739FA"/>
    <w:rsid w:val="00D75546"/>
    <w:rsid w:val="00D75D46"/>
    <w:rsid w:val="00D7667A"/>
    <w:rsid w:val="00D76C49"/>
    <w:rsid w:val="00D81152"/>
    <w:rsid w:val="00D81538"/>
    <w:rsid w:val="00D82045"/>
    <w:rsid w:val="00D840F4"/>
    <w:rsid w:val="00D84B29"/>
    <w:rsid w:val="00D85324"/>
    <w:rsid w:val="00D85ED8"/>
    <w:rsid w:val="00D85F19"/>
    <w:rsid w:val="00D87C47"/>
    <w:rsid w:val="00D92136"/>
    <w:rsid w:val="00D95FE3"/>
    <w:rsid w:val="00DA35B5"/>
    <w:rsid w:val="00DA3F48"/>
    <w:rsid w:val="00DA6196"/>
    <w:rsid w:val="00DB1223"/>
    <w:rsid w:val="00DB2956"/>
    <w:rsid w:val="00DB487F"/>
    <w:rsid w:val="00DB6247"/>
    <w:rsid w:val="00DC1FC8"/>
    <w:rsid w:val="00DC2CAB"/>
    <w:rsid w:val="00DC3CC6"/>
    <w:rsid w:val="00DC604D"/>
    <w:rsid w:val="00DD0576"/>
    <w:rsid w:val="00DD09E5"/>
    <w:rsid w:val="00DD2F75"/>
    <w:rsid w:val="00DD74A7"/>
    <w:rsid w:val="00DD7657"/>
    <w:rsid w:val="00DE20E2"/>
    <w:rsid w:val="00DE2CAD"/>
    <w:rsid w:val="00DE32DD"/>
    <w:rsid w:val="00DF3BBD"/>
    <w:rsid w:val="00DF5083"/>
    <w:rsid w:val="00DF5087"/>
    <w:rsid w:val="00E012B8"/>
    <w:rsid w:val="00E01CF0"/>
    <w:rsid w:val="00E03E3F"/>
    <w:rsid w:val="00E04C11"/>
    <w:rsid w:val="00E05762"/>
    <w:rsid w:val="00E157A3"/>
    <w:rsid w:val="00E2232A"/>
    <w:rsid w:val="00E2369D"/>
    <w:rsid w:val="00E24146"/>
    <w:rsid w:val="00E25A1B"/>
    <w:rsid w:val="00E261DA"/>
    <w:rsid w:val="00E26380"/>
    <w:rsid w:val="00E314F3"/>
    <w:rsid w:val="00E32223"/>
    <w:rsid w:val="00E345E3"/>
    <w:rsid w:val="00E363E1"/>
    <w:rsid w:val="00E37438"/>
    <w:rsid w:val="00E40FE6"/>
    <w:rsid w:val="00E43474"/>
    <w:rsid w:val="00E44C6B"/>
    <w:rsid w:val="00E45BC2"/>
    <w:rsid w:val="00E471A5"/>
    <w:rsid w:val="00E53F36"/>
    <w:rsid w:val="00E54355"/>
    <w:rsid w:val="00E562BB"/>
    <w:rsid w:val="00E56A47"/>
    <w:rsid w:val="00E574F2"/>
    <w:rsid w:val="00E60C05"/>
    <w:rsid w:val="00E63A86"/>
    <w:rsid w:val="00E6442F"/>
    <w:rsid w:val="00E66659"/>
    <w:rsid w:val="00E70B03"/>
    <w:rsid w:val="00E70EDE"/>
    <w:rsid w:val="00E81D6E"/>
    <w:rsid w:val="00E82D11"/>
    <w:rsid w:val="00E8300F"/>
    <w:rsid w:val="00E846FF"/>
    <w:rsid w:val="00E92D87"/>
    <w:rsid w:val="00E940ED"/>
    <w:rsid w:val="00E94730"/>
    <w:rsid w:val="00E94855"/>
    <w:rsid w:val="00E9582E"/>
    <w:rsid w:val="00E95E2E"/>
    <w:rsid w:val="00E95EB9"/>
    <w:rsid w:val="00E97615"/>
    <w:rsid w:val="00EA1DE3"/>
    <w:rsid w:val="00EA2351"/>
    <w:rsid w:val="00EA2B73"/>
    <w:rsid w:val="00EA6D0E"/>
    <w:rsid w:val="00EB124A"/>
    <w:rsid w:val="00EB1630"/>
    <w:rsid w:val="00EB2B72"/>
    <w:rsid w:val="00EB5118"/>
    <w:rsid w:val="00EB55F3"/>
    <w:rsid w:val="00EC043B"/>
    <w:rsid w:val="00EC0BFA"/>
    <w:rsid w:val="00EC103C"/>
    <w:rsid w:val="00EC603C"/>
    <w:rsid w:val="00EC74CD"/>
    <w:rsid w:val="00EC781D"/>
    <w:rsid w:val="00ED0809"/>
    <w:rsid w:val="00ED0D5F"/>
    <w:rsid w:val="00ED1BD6"/>
    <w:rsid w:val="00ED2320"/>
    <w:rsid w:val="00ED23EC"/>
    <w:rsid w:val="00ED284C"/>
    <w:rsid w:val="00ED3231"/>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3837"/>
    <w:rsid w:val="00EF3908"/>
    <w:rsid w:val="00EF3FC2"/>
    <w:rsid w:val="00EF5ACA"/>
    <w:rsid w:val="00EF64C2"/>
    <w:rsid w:val="00EF7C09"/>
    <w:rsid w:val="00F013CA"/>
    <w:rsid w:val="00F01B05"/>
    <w:rsid w:val="00F037E4"/>
    <w:rsid w:val="00F054DC"/>
    <w:rsid w:val="00F05555"/>
    <w:rsid w:val="00F059F8"/>
    <w:rsid w:val="00F05CA8"/>
    <w:rsid w:val="00F15900"/>
    <w:rsid w:val="00F1713A"/>
    <w:rsid w:val="00F175B6"/>
    <w:rsid w:val="00F17A72"/>
    <w:rsid w:val="00F208B1"/>
    <w:rsid w:val="00F268D9"/>
    <w:rsid w:val="00F27483"/>
    <w:rsid w:val="00F34CBB"/>
    <w:rsid w:val="00F36AFD"/>
    <w:rsid w:val="00F3745E"/>
    <w:rsid w:val="00F37C8E"/>
    <w:rsid w:val="00F40066"/>
    <w:rsid w:val="00F401DB"/>
    <w:rsid w:val="00F443A3"/>
    <w:rsid w:val="00F44F7B"/>
    <w:rsid w:val="00F45AE3"/>
    <w:rsid w:val="00F47FEA"/>
    <w:rsid w:val="00F50A15"/>
    <w:rsid w:val="00F5399B"/>
    <w:rsid w:val="00F57621"/>
    <w:rsid w:val="00F57C9D"/>
    <w:rsid w:val="00F57DCF"/>
    <w:rsid w:val="00F60243"/>
    <w:rsid w:val="00F607FB"/>
    <w:rsid w:val="00F60D0A"/>
    <w:rsid w:val="00F61379"/>
    <w:rsid w:val="00F651F0"/>
    <w:rsid w:val="00F674CC"/>
    <w:rsid w:val="00F76660"/>
    <w:rsid w:val="00F77563"/>
    <w:rsid w:val="00F8307A"/>
    <w:rsid w:val="00F830A8"/>
    <w:rsid w:val="00F87108"/>
    <w:rsid w:val="00F90715"/>
    <w:rsid w:val="00F9097C"/>
    <w:rsid w:val="00F9114B"/>
    <w:rsid w:val="00F93111"/>
    <w:rsid w:val="00F9318B"/>
    <w:rsid w:val="00F93578"/>
    <w:rsid w:val="00F95229"/>
    <w:rsid w:val="00F9586C"/>
    <w:rsid w:val="00F973F8"/>
    <w:rsid w:val="00F97695"/>
    <w:rsid w:val="00FA1026"/>
    <w:rsid w:val="00FA2BAB"/>
    <w:rsid w:val="00FA2BED"/>
    <w:rsid w:val="00FA300C"/>
    <w:rsid w:val="00FA6A64"/>
    <w:rsid w:val="00FB21EC"/>
    <w:rsid w:val="00FB6269"/>
    <w:rsid w:val="00FB7AA4"/>
    <w:rsid w:val="00FB7BE7"/>
    <w:rsid w:val="00FC06EC"/>
    <w:rsid w:val="00FC0F79"/>
    <w:rsid w:val="00FC19DC"/>
    <w:rsid w:val="00FC3AED"/>
    <w:rsid w:val="00FC51DF"/>
    <w:rsid w:val="00FC6AD6"/>
    <w:rsid w:val="00FC7546"/>
    <w:rsid w:val="00FD036D"/>
    <w:rsid w:val="00FD1158"/>
    <w:rsid w:val="00FD11EE"/>
    <w:rsid w:val="00FD1658"/>
    <w:rsid w:val="00FD20BE"/>
    <w:rsid w:val="00FD49DA"/>
    <w:rsid w:val="00FE0AEA"/>
    <w:rsid w:val="00FE1AFF"/>
    <w:rsid w:val="00FE2325"/>
    <w:rsid w:val="00FE37EF"/>
    <w:rsid w:val="00FE5627"/>
    <w:rsid w:val="00FE64B9"/>
    <w:rsid w:val="00FE7770"/>
    <w:rsid w:val="00FF2180"/>
    <w:rsid w:val="00FF2B63"/>
    <w:rsid w:val="00FF33A7"/>
    <w:rsid w:val="00FF3F92"/>
    <w:rsid w:val="00FF6D11"/>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9A32E863-2B40-4160-9E2F-1E2A83F5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37A"/>
    <w:rPr>
      <w:sz w:val="24"/>
      <w:szCs w:val="24"/>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sz w:val="22"/>
      <w:szCs w:val="22"/>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sl-SI" w:eastAsia="en-GB" w:bidi="en-GB"/>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basedOn w:val="DefaultParagraphFont"/>
    <w:uiPriority w:val="99"/>
    <w:semiHidden/>
    <w:unhideWhenUsed/>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 w:val="22"/>
      <w:szCs w:val="20"/>
    </w:rPr>
  </w:style>
  <w:style w:type="paragraph" w:styleId="CommentText">
    <w:name w:val="annotation text"/>
    <w:basedOn w:val="Normal"/>
    <w:uiPriority w:val="99"/>
    <w:semiHidden/>
    <w:unhideWhenUsed/>
    <w:rPr>
      <w:sz w:val="20"/>
      <w:szCs w:val="20"/>
    </w:rPr>
  </w:style>
  <w:style w:type="paragraph" w:styleId="TOC4">
    <w:name w:val="toc 4"/>
    <w:basedOn w:val="Normal"/>
    <w:next w:val="Normal"/>
    <w:autoRedefine/>
    <w:semiHidden/>
    <w:rsid w:val="00AA6E8E"/>
    <w:pPr>
      <w:spacing w:line="220" w:lineRule="exact"/>
    </w:pPr>
    <w:rPr>
      <w:caps/>
      <w:sz w:val="22"/>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rPr>
      <w:sz w:val="22"/>
    </w:r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paragraph" w:customStyle="1" w:styleId="mpaaotsikko">
    <w:name w:val="mpaaotsikko"/>
    <w:basedOn w:val="LLEsityksennimi"/>
    <w:qFormat/>
    <w:rsid w:val="008A0B0A"/>
  </w:style>
  <w:style w:type="paragraph" w:customStyle="1" w:styleId="LLUusiMinisterionAsetus">
    <w:name w:val="LLUusiMinisterionAsetus"/>
    <w:basedOn w:val="LLMinisterionAsetus"/>
    <w:qFormat/>
    <w:rsid w:val="0060037A"/>
  </w:style>
  <w:style w:type="paragraph" w:customStyle="1" w:styleId="LLUusiTPnAsetus">
    <w:name w:val="LLUusiTPnAsetus"/>
    <w:basedOn w:val="LLTPnAsetus"/>
    <w:qFormat/>
    <w:rsid w:val="0060037A"/>
  </w:style>
  <w:style w:type="paragraph" w:customStyle="1" w:styleId="LLUusiValtioneuvostonAsetus">
    <w:name w:val="LLUusiValtioneuvostonAsetus"/>
    <w:basedOn w:val="LLValtioneuvostonAsetus"/>
    <w:qFormat/>
    <w:rsid w:val="0060037A"/>
  </w:style>
  <w:style w:type="paragraph" w:styleId="ListParagraph">
    <w:name w:val="List Paragraph"/>
    <w:basedOn w:val="Normal"/>
    <w:uiPriority w:val="34"/>
    <w:qFormat/>
    <w:rsid w:val="0041007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70250\Desktop\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SäädöspohjaSuomi.dot</Template>
  <TotalTime>1</TotalTime>
  <Pages>13</Pages>
  <Words>5321</Words>
  <Characters>30336</Characters>
  <Application>Microsoft Office Word</Application>
  <DocSecurity>0</DocSecurity>
  <Lines>252</Lines>
  <Paragraphs>71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35586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Viranko Anssi (LVM)</dc:creator>
  <cp:lastModifiedBy>Ke, Tingting</cp:lastModifiedBy>
  <cp:revision>3</cp:revision>
  <cp:lastPrinted>2018-08-17T09:16:00Z</cp:lastPrinted>
  <dcterms:created xsi:type="dcterms:W3CDTF">2018-10-08T11:08:00Z</dcterms:created>
  <dcterms:modified xsi:type="dcterms:W3CDTF">2018-10-08T12:04:00Z</dcterms:modified>
</cp:coreProperties>
</file>