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0477 FIN CS- ------ 20191224 --- --- FINAL</w:t>
      </w:r>
      <w:r>
        <w:rPr>
          <w:sz w:val="20"/>
          <w:rFonts w:ascii="Courier New" w:hAnsi="Courier New"/>
        </w:rPr>
        <w:t xml:space="preserve"> </w:t>
      </w:r>
    </w:p>
    <w:p w:rsidR="001130A8" w:rsidRPr="00D95431" w:rsidRDefault="00CE34F6">
      <w:pPr>
        <w:spacing w:after="0" w:line="259" w:lineRule="auto"/>
        <w:ind w:right="0" w:firstLine="0"/>
        <w:jc w:val="left"/>
      </w:pPr>
      <w:r>
        <w:rPr>
          <w:b/>
          <w:sz w:val="70"/>
          <w:rFonts w:ascii="Bodoni MT" w:hAnsi="Bodoni MT"/>
        </w:rPr>
        <w:t xml:space="preserve">SBÍRKA ZÁKONŮ FINSKA</w:t>
      </w:r>
    </w:p>
    <w:p w:rsidR="001130A8" w:rsidRPr="00D95431" w:rsidRDefault="00CE34F6">
      <w:pPr>
        <w:tabs>
          <w:tab w:val="center" w:pos="3911"/>
        </w:tabs>
        <w:spacing w:after="0" w:line="259" w:lineRule="auto"/>
        <w:ind w:right="0" w:firstLine="0"/>
        <w:jc w:val="left"/>
      </w:pPr>
      <w:r>
        <w:rPr>
          <w:color w:val="FFFFFF"/>
          <w:sz w:val="4"/>
        </w:rPr>
        <w:t xml:space="preserve">Mnrovvvvajoneuvojen käytöstä tiellä annetun asetuksen muuttamisestauu asia</w:t>
      </w:r>
      <w:r>
        <w:tab/>
      </w:r>
      <w:r>
        <w:rPr>
          <w:sz w:val="20"/>
          <w:rFonts w:ascii="Bodoni MT" w:hAnsi="Bodoni MT"/>
        </w:rPr>
        <w:t xml:space="preserve">Zveřejněná v Helsinkách 17. ledna 2019</w:t>
      </w:r>
    </w:p>
    <w:p w:rsidR="001130A8" w:rsidRPr="00D95431" w:rsidRDefault="00CE34F6">
      <w:pPr>
        <w:spacing w:after="741" w:line="259" w:lineRule="auto"/>
        <w:ind w:right="0" w:firstLine="0"/>
        <w:jc w:val="left"/>
      </w:pPr>
      <w:r>
        <w:rPr>
    </w:rPr>
        <w:drawing>
          <wp:inline xmlns:wp="http://schemas.openxmlformats.org/drawingml/2006/wordprocessingDrawing"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 xml:space="preserve">31/2019</w:t>
      </w:r>
    </w:p>
    <w:p w:rsidR="001130A8" w:rsidRPr="00D95431" w:rsidRDefault="00CE34F6">
      <w:pPr>
        <w:spacing w:after="0" w:line="259" w:lineRule="auto"/>
        <w:ind w:left="10" w:right="6" w:hanging="10"/>
        <w:jc w:val="center"/>
      </w:pPr>
      <w:r>
        <w:rPr>
          <w:b/>
          <w:sz w:val="28"/>
        </w:rPr>
        <w:t xml:space="preserve">Výnos vlády,</w:t>
      </w:r>
    </w:p>
    <w:p w:rsidR="001130A8" w:rsidRPr="00D95431" w:rsidRDefault="00CE34F6">
      <w:pPr>
        <w:pStyle w:val="Heading1"/>
      </w:pPr>
      <w:r>
        <w:t xml:space="preserve">kterým se mění výnos o používání vozidel na silničních komunikacích</w:t>
      </w:r>
    </w:p>
    <w:p w:rsidR="001130A8" w:rsidRPr="00D95431" w:rsidRDefault="00CE34F6">
      <w:pPr>
        <w:ind w:left="-15" w:right="0"/>
      </w:pPr>
      <w:r>
        <w:t xml:space="preserve">Rozhodnutím vlády se § 2, § 13, § 17, § 19 písm. a), § 19 písm. b, § 20, § 21, § 23, § 23 písm. a), § 24, § 26, § 27, § 32, § 32 písm. a), § 33, § 36, § 45, § 46, § 51 písm. b), § 52 a § 57 §, jako § 2 ve výnosech 407/2013 a 570/2017, § 13, § 19 písm. a), § 27, § 32, § 32 písm. a), § 52 ve výnosu 407/2013, § 17 částečně ve výnosech 303/1996, 1227/2011 a 407/2013, § 19 písm. b) ve výnosu 1243/2002, § 20 ve výnosech 407/2013 a 123/2017, § 21 ve výnosech 407/2013, 47/2017 a 240/2017, § 23 ve výnosu 47/2017, § 23 písm. a) ve výnosu 1062/2013, § 24 ve výnosech 407/2013, 240/2017 a 206/2018, § 26 ve výnosu 1227/2011, § 33 ve výnosu 487/2009, § 36 částečně ve výnosu 531/1993, § 45 ve výnosu 1612/2015, § 46 ve výnosech 670/1997, 407/2013 a 240/2017, § 51 písm. b) ve výnosu 570/2017 a § 57 částečně ve výnosech</w:t>
      </w:r>
    </w:p>
    <w:p w:rsidR="001130A8" w:rsidRPr="00D95431" w:rsidRDefault="00CE34F6">
      <w:pPr>
        <w:spacing w:after="229"/>
        <w:ind w:left="-15" w:right="0" w:firstLine="0"/>
      </w:pPr>
      <w:r>
        <w:t xml:space="preserve">1453/1992 a 47/2017 výnosu o používání vozidel na silničních komunikacích (1257/1992) </w:t>
      </w:r>
      <w:r>
        <w:rPr>
          <w:i w:val="1"/>
        </w:rPr>
        <w:t xml:space="preserve">pozměňují</w:t>
      </w:r>
      <w:r>
        <w:t xml:space="preserve">, § 22 zrušený výnosem 670/1997 se </w:t>
      </w:r>
      <w:r>
        <w:rPr>
          <w:i w:val="1"/>
        </w:rPr>
        <w:t xml:space="preserve">nahrazuje</w:t>
      </w:r>
      <w:r>
        <w:t xml:space="preserve"> novým § 22, a nový § 32 se </w:t>
      </w:r>
      <w:r>
        <w:rPr>
          <w:i w:val="1"/>
        </w:rPr>
        <w:t xml:space="preserve">vkládá</w:t>
      </w:r>
      <w:r>
        <w:t xml:space="preserve"> takto:</w:t>
      </w:r>
    </w:p>
    <w:p w:rsidR="001130A8" w:rsidRPr="00D95431" w:rsidRDefault="00CE34F6" w:rsidP="00791F05">
      <w:pPr>
        <w:keepNext/>
        <w:spacing w:after="86" w:line="265" w:lineRule="auto"/>
        <w:ind w:left="127" w:right="121" w:hanging="10"/>
        <w:jc w:val="center"/>
      </w:pPr>
      <w:r>
        <w:t xml:space="preserve">§ 2</w:t>
      </w:r>
    </w:p>
    <w:p w:rsidR="001130A8" w:rsidRPr="00D95431" w:rsidRDefault="00CE34F6">
      <w:pPr>
        <w:pStyle w:val="Heading2"/>
      </w:pPr>
      <w:r>
        <w:t xml:space="preserve">Vymezení pojmů</w:t>
      </w:r>
    </w:p>
    <w:p w:rsidR="001130A8" w:rsidRPr="00D95431" w:rsidRDefault="00CE34F6">
      <w:pPr>
        <w:ind w:left="-15" w:right="0"/>
      </w:pPr>
      <w:r>
        <w:t xml:space="preserve">Ustanovení zákona o vozidlech a předpisy přijaté na základě tohoto zákona se vztahují na definici vozidel, kategorií vozidel a rozměrů a hmotnosti vozidel.</w:t>
      </w:r>
      <w:r>
        <w:t xml:space="preserve"> </w:t>
      </w:r>
      <w:r>
        <w:t xml:space="preserve">Kromě toho definice rozměrů a hmotností vozidel upravuje nařízení Komise (EU) č. 1230/2012, kterým se provádí nařízení Evropského parlamentu a Rady (ES) č. 661/2009, pokud jde o požadavky na schválení typu pro hmotnost a rozměry motorových vozidel a jejich přípojných vozidel a mění směrnici Evropského parlamentu a Rady 2007/46/ES.</w:t>
      </w:r>
    </w:p>
    <w:p w:rsidR="001130A8" w:rsidRPr="00D95431" w:rsidRDefault="00CE34F6">
      <w:pPr>
        <w:ind w:left="227" w:right="0" w:firstLine="0"/>
      </w:pPr>
      <w:r>
        <w:t xml:space="preserve">Pro účely tohoto výnosu se rozumí:</w:t>
      </w:r>
    </w:p>
    <w:p w:rsidR="001130A8" w:rsidRPr="00D95431" w:rsidRDefault="00CE34F6" w:rsidP="0005296C">
      <w:pPr>
        <w:numPr>
          <w:ilvl w:val="0"/>
          <w:numId w:val="1"/>
        </w:numPr>
        <w:tabs>
          <w:tab w:val="left" w:pos="540"/>
        </w:tabs>
        <w:ind w:right="0"/>
      </w:pPr>
      <w:r>
        <w:rPr>
          <w:i/>
        </w:rPr>
        <w:t xml:space="preserve">připojená hmotnost </w:t>
      </w:r>
      <w:r>
        <w:t xml:space="preserve">odkazuje na přípustnou skutečnou hmotnost taženého vozidla při jeho spřažení, s výjimkou hmotnosti na točnici nebo tažné tyči tažného vozidla návěsu, přípojného vozidla tahače nebo přípojného vozidla s nápravami uprostřed;</w:t>
      </w:r>
    </w:p>
    <w:p w:rsidR="005D4B84" w:rsidRPr="00D95431" w:rsidRDefault="00CE34F6" w:rsidP="0005296C">
      <w:pPr>
        <w:numPr>
          <w:ilvl w:val="0"/>
          <w:numId w:val="1"/>
        </w:numPr>
        <w:tabs>
          <w:tab w:val="left" w:pos="540"/>
        </w:tabs>
        <w:spacing w:after="34"/>
        <w:ind w:right="0"/>
      </w:pPr>
      <w:r>
        <w:rPr>
          <w:i/>
        </w:rPr>
        <w:t xml:space="preserve">nedělitelný náklad</w:t>
      </w:r>
      <w:r>
        <w:t xml:space="preserve"> odkazuje na náklad, který nemůže být pro účely silniční přepravy rozdělen na dva nebo více nákladů bez zbytečných výdajů nebo nebezpečí poškození a který vzhledem ke svým rozměrům nebo hmotnosti nemůže být přepravován vozidlem nebo soupravou vozidel bez překročení obecně přípustných mezí nebo rozměrů na silnici; nedělitelným nákladem se rozumí i kontejner určený pro přepravu po moři, který je exportován nebo importován, buď prázdný nebo naložený v místě odjezdu, a je vysoký více než 2,80 metru nebo delší než 12,30 metrů; pokud přeprava kontejneru, na kterou se zde odkazuje, vyžaduje překročení výšky 4,40 metru nebo překročení délky 23,00 metrů nebo obecně přípustnou mezní hmotnost na silnici v kloubovém vozidle, je kontejner považován za nedělitelnou položku pouze tehdy, pokud jde o zásilku nedělitelné položky nebo, pokud je kontejner přepravován prázdný;</w:t>
      </w:r>
      <w: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 xml:space="preserve">Směrnice Rady 96/53/ES, Úř. věst. 235, 17.9.1996, s. 59.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 xml:space="preserve">ministerstvo</w:t>
      </w:r>
      <w:r>
        <w:t xml:space="preserve"> odkazuje na ministerstvo dopravy a komunikací;</w:t>
      </w:r>
    </w:p>
    <w:p w:rsidR="001130A8" w:rsidRPr="00D95431" w:rsidRDefault="00CE34F6" w:rsidP="0005296C">
      <w:pPr>
        <w:numPr>
          <w:ilvl w:val="0"/>
          <w:numId w:val="1"/>
        </w:numPr>
        <w:tabs>
          <w:tab w:val="left" w:pos="540"/>
        </w:tabs>
        <w:ind w:right="0"/>
      </w:pPr>
      <w:r>
        <w:rPr>
          <w:i/>
        </w:rPr>
        <w:t xml:space="preserve">pracovní zařízení </w:t>
      </w:r>
      <w:r>
        <w:t xml:space="preserve">znamená přepínatelný stroj, který může být připojen k vozidlu, který je úplně mimo pozemní plochu během silniční přepravy a který se během silniční přepravy nemůže otáčet kolem své svislé osy ve vztahu k vozidlu;</w:t>
      </w:r>
    </w:p>
    <w:p w:rsidR="001130A8" w:rsidRPr="00D95431" w:rsidRDefault="00CE34F6" w:rsidP="0005296C">
      <w:pPr>
        <w:numPr>
          <w:ilvl w:val="0"/>
          <w:numId w:val="1"/>
        </w:numPr>
        <w:tabs>
          <w:tab w:val="left" w:pos="540"/>
        </w:tabs>
        <w:ind w:right="0"/>
      </w:pPr>
      <w:r>
        <w:rPr>
          <w:i/>
        </w:rPr>
        <w:t xml:space="preserve">směrnice o rozměrech a hmotnosti</w:t>
      </w:r>
      <w:r>
        <w:t xml:space="preserve"> odkazuje na směrnici Rady 96/53/ES, kterou se stanoví maximální povolené rozměry vnitrostátní a mezinárodní dopravy u některých silničních vozidel ve Společenství a maximální povolená hmotnost v mezinárodní dopravě, naposledy pozměněnou směrnicí Evropského parlamentu a Rady (EU) 2015/719;</w:t>
      </w:r>
    </w:p>
    <w:p w:rsidR="001130A8" w:rsidRPr="00D95431" w:rsidRDefault="00CE34F6" w:rsidP="0005296C">
      <w:pPr>
        <w:numPr>
          <w:ilvl w:val="0"/>
          <w:numId w:val="1"/>
        </w:numPr>
        <w:tabs>
          <w:tab w:val="left" w:pos="540"/>
        </w:tabs>
        <w:ind w:right="0"/>
      </w:pPr>
      <w:r>
        <w:rPr>
          <w:i/>
        </w:rPr>
        <w:t xml:space="preserve">alternativní paliva</w:t>
      </w:r>
      <w:r>
        <w:t xml:space="preserve"> odkazují na alternativní paliva uvedená v článku 2 směrnice o rozměrech a hmotnosti;</w:t>
      </w:r>
    </w:p>
    <w:p w:rsidR="001130A8" w:rsidRPr="00D95431" w:rsidRDefault="00CE34F6" w:rsidP="0005296C">
      <w:pPr>
        <w:numPr>
          <w:ilvl w:val="0"/>
          <w:numId w:val="1"/>
        </w:numPr>
        <w:tabs>
          <w:tab w:val="left" w:pos="540"/>
        </w:tabs>
        <w:ind w:right="0"/>
      </w:pPr>
      <w:r>
        <w:rPr>
          <w:i w:val="1"/>
        </w:rPr>
        <w:t xml:space="preserve">řídicí náprava:</w:t>
      </w:r>
      <w:r>
        <w:t xml:space="preserve"> náprava, jejíž kola mohou být otočena přímo nebo nepřímo vzhledem k podélné ose vozidla, aby se určil směr pohybu vozidla;</w:t>
      </w:r>
    </w:p>
    <w:p w:rsidR="001130A8" w:rsidRPr="00D95431" w:rsidRDefault="00CE34F6" w:rsidP="0005296C">
      <w:pPr>
        <w:numPr>
          <w:ilvl w:val="0"/>
          <w:numId w:val="1"/>
        </w:numPr>
        <w:tabs>
          <w:tab w:val="left" w:pos="540"/>
        </w:tabs>
        <w:spacing w:after="224"/>
        <w:ind w:right="0"/>
      </w:pPr>
      <w:r>
        <w:rPr>
          <w:i/>
        </w:rPr>
        <w:t xml:space="preserve">řízená náprava </w:t>
      </w:r>
      <w:r>
        <w:t xml:space="preserve">odkazuje na nápravu, u níž se změní úhel řízení kol pouze v důsledku vzájemného působení sil mezi koly a vozovkou; avšak náprava, jejíž úhel řízení se mírně změní z důvodu pružnosti spojení nápravy, se nepovažuje za řízenou nápravu.</w:t>
      </w:r>
    </w:p>
    <w:p w:rsidR="001130A8" w:rsidRPr="00D95431" w:rsidRDefault="00CE34F6" w:rsidP="00791F05">
      <w:pPr>
        <w:keepNext/>
        <w:spacing w:after="86" w:line="265" w:lineRule="auto"/>
        <w:ind w:left="127" w:right="120" w:hanging="10"/>
        <w:jc w:val="center"/>
      </w:pPr>
      <w:r>
        <w:t xml:space="preserve">§ 13</w:t>
      </w:r>
    </w:p>
    <w:p w:rsidR="001130A8" w:rsidRPr="00D95431" w:rsidRDefault="00CE34F6">
      <w:pPr>
        <w:pStyle w:val="Heading2"/>
        <w:ind w:right="1"/>
      </w:pPr>
      <w:r>
        <w:t xml:space="preserve">Řízená náprava</w:t>
      </w:r>
    </w:p>
    <w:p w:rsidR="001130A8" w:rsidRPr="00D95431" w:rsidRDefault="00CE34F6">
      <w:pPr>
        <w:ind w:left="-15" w:right="0"/>
      </w:pPr>
      <w:r>
        <w:t xml:space="preserve">Pokud má vozidlo nebo přípojné vozidlo, pro které nebyly poskytnuty nebo specifikovány žádné technické požadavky na ovládací zařízení, řízenou nápravu vybavenou zařízením, které je ovládáno ze sedadla řidiče nebo automatickým zařízením, které přímo zablokuje řízení, musí být náprava zablokována při jízdě rychlostí vyšší než 40 kilometrů za hodinu.</w:t>
      </w:r>
    </w:p>
    <w:p w:rsidR="001130A8" w:rsidRPr="00D95431" w:rsidRDefault="00CE34F6">
      <w:pPr>
        <w:spacing w:after="224"/>
        <w:ind w:left="-15" w:right="0"/>
      </w:pPr>
      <w:r>
        <w:t xml:space="preserve">Pokud jsou všechny nápravy vozidla řízenými nápravami, musí být cestovní pozice vozidla v běžné dopravě rovnoběžná s vozovkou.</w:t>
      </w:r>
    </w:p>
    <w:p w:rsidR="001130A8" w:rsidRPr="00D95431" w:rsidRDefault="00CE34F6" w:rsidP="00791F05">
      <w:pPr>
        <w:keepNext/>
        <w:spacing w:after="86" w:line="265" w:lineRule="auto"/>
        <w:ind w:left="127" w:right="120" w:hanging="10"/>
        <w:jc w:val="center"/>
      </w:pPr>
      <w:r>
        <w:t xml:space="preserve">§ 17</w:t>
      </w:r>
    </w:p>
    <w:p w:rsidR="001130A8" w:rsidRPr="00D95431" w:rsidRDefault="00CE34F6">
      <w:pPr>
        <w:pStyle w:val="Heading2"/>
        <w:ind w:right="3"/>
      </w:pPr>
      <w:r>
        <w:t xml:space="preserve">Použití protiskluzových zařízení na pneumatikách automobilů a vlečených vozidel k nim připojených</w:t>
      </w:r>
    </w:p>
    <w:p w:rsidR="001130A8" w:rsidRPr="00D95431" w:rsidRDefault="00CE34F6">
      <w:pPr>
        <w:ind w:left="-15" w:right="0"/>
      </w:pPr>
      <w:r>
        <w:t xml:space="preserve">Pneumatiky vozidla a připojeného taženého vozidla mohou být vybaveny hroty, sněhovými řetězy nebo jinými rovnocennými protiskluzovými zařízeními, které zásadně nepoškodí povrch vozovky.</w:t>
      </w:r>
      <w:r>
        <w:t xml:space="preserve"> </w:t>
      </w:r>
      <w:r>
        <w:t xml:space="preserve">Pneumatiky s hroty mohou být používány od 1. listopadu do 31. března nebo do prvního pondělí následujícího po Velikonočním pondělí, podle toho, která z těchto okolností nastane později.</w:t>
      </w:r>
      <w:r>
        <w:t xml:space="preserve"> </w:t>
      </w:r>
      <w:r>
        <w:t xml:space="preserve">Mimo toto období mohou být pneumatiky s hroty používány u pohotovostních vozidel, terénních vozidel a přípojných vozidel používaných obrannými silami, vozidel a přípojných vozidel údržby silnic a nákladních vozidel.</w:t>
      </w:r>
      <w:r>
        <w:t xml:space="preserve"> </w:t>
      </w:r>
      <w:r>
        <w:t xml:space="preserve">Pneumatiky s hroty mohou být používány i mimo výše uvedené období i během dočasného přesunu týkajícího se obchodu, opravy a kontroly technického stavu vozidel nebo tažených vozidel a na všech vozidlech a vlečných vozidlech, pokud to vyžadují klimatické nebo jízdní podmínky.</w:t>
      </w:r>
    </w:p>
    <w:p w:rsidR="001130A8" w:rsidRPr="00D95431" w:rsidRDefault="00CE34F6">
      <w:pPr>
        <w:ind w:left="-15" w:right="0"/>
      </w:pPr>
      <w:r>
        <w:t xml:space="preserve">V případě přípojného vozidla s celkovou hmotností vyšší než 0,75 t, avšak nepřesahující 3,5 tuny (kategorie O</w:t>
      </w:r>
      <w:r>
        <w:rPr>
          <w:vertAlign w:val="subscript"/>
        </w:rPr>
        <w:t xml:space="preserve">2</w:t>
      </w:r>
      <w:r>
        <w:t xml:space="preserve">) se použijí pneumatiky s hroty, je-li pneumatikami s hroty osazeno i tažné vozidlo.</w:t>
      </w:r>
    </w:p>
    <w:p w:rsidR="001130A8" w:rsidRPr="00D95431" w:rsidRDefault="00CE34F6">
      <w:pPr>
        <w:ind w:left="-15" w:right="0"/>
      </w:pPr>
      <w:r>
        <w:t xml:space="preserve">Pokud jsou použity pneumatiky s hroty na osobním automobilu, lehkém užitkovém vozidle (kategorie M</w:t>
      </w:r>
      <w:r>
        <w:rPr>
          <w:vertAlign w:val="subscript"/>
        </w:rPr>
        <w:t xml:space="preserve">1</w:t>
      </w:r>
      <w:r>
        <w:t xml:space="preserve"> a N</w:t>
      </w:r>
      <w:r>
        <w:rPr>
          <w:vertAlign w:val="subscript"/>
        </w:rPr>
        <w:t xml:space="preserve">1</w:t>
      </w:r>
      <w:r>
        <w:t xml:space="preserve">) nebo na přípojném vozidle s celkovou hmotností nepřesahující 3,5 tun (kategorie O</w:t>
      </w:r>
      <w:r>
        <w:rPr>
          <w:vertAlign w:val="subscript"/>
        </w:rPr>
        <w:t xml:space="preserve">1</w:t>
      </w:r>
      <w:r>
        <w:t xml:space="preserve"> a O</w:t>
      </w:r>
      <w:r>
        <w:rPr>
          <w:vertAlign w:val="subscript"/>
        </w:rPr>
        <w:t xml:space="preserve">2</w:t>
      </w:r>
      <w:r>
        <w:t xml:space="preserve">), musí být namontovány na každém kole, s výjimkou obou kol dvojité montáže kol.</w:t>
      </w:r>
      <w:r>
        <w:t xml:space="preserve"> </w:t>
      </w:r>
      <w:r>
        <w:t xml:space="preserve">Počet hrotů v jednotlivých pneumatikách vozidla se může lišit o maximálně 25 % od počtu hrotů v pneumatice, které má nejvíce hrotů.</w:t>
      </w:r>
    </w:p>
    <w:p w:rsidR="001130A8" w:rsidRPr="00D95431" w:rsidRDefault="00CE34F6">
      <w:pPr>
        <w:ind w:left="-15" w:right="0"/>
      </w:pPr>
      <w:r>
        <w:t xml:space="preserve">Po dobu, kdy bude muset být u vozidla nebo jím taženého vozidla používána náhradní pneumatika v důsledku poškození původní pneumatiky, pro něj nebudou platit ustanovení tohoto oddílu.</w:t>
      </w:r>
      <w:r>
        <w:t xml:space="preserve"> </w:t>
      </w:r>
      <w:r>
        <w:t xml:space="preserve">Vozidlo je v takových případech nutné řídit s mimořádnou opatrností.</w:t>
      </w:r>
    </w:p>
    <w:p w:rsidR="001130A8" w:rsidRPr="00D95431" w:rsidRDefault="00CE34F6">
      <w:pPr>
        <w:ind w:left="-15" w:right="0"/>
      </w:pPr>
      <w:r>
        <w:t xml:space="preserve">V případě použití pneumatiky s hroty na osobním vozidle nebo lehkém nákladním automobilu nesmějí hroty vyčnívat o více než 2,0 milimetry.</w:t>
      </w:r>
      <w:r>
        <w:t xml:space="preserve"> </w:t>
      </w:r>
      <w:r>
        <w:t xml:space="preserve">Hrot smí vyčnívat maximálně o 2,5 mm u pneumatik používaných v případě nákladních vozidel.</w:t>
      </w:r>
    </w:p>
    <w:p w:rsidR="001130A8" w:rsidRPr="00D95431" w:rsidRDefault="00CE34F6">
      <w:pPr>
        <w:ind w:left="-15" w:right="0"/>
      </w:pPr>
      <w:r>
        <w:t xml:space="preserve">Finský úřad pro dopravu a komunikace může udělit jednotlivému vozidlu odchylku od povoleného období používání pneumatik s hroty stanoveného v odstavci 1.</w:t>
      </w:r>
    </w:p>
    <w:p w:rsidR="001130A8" w:rsidRPr="00D95431" w:rsidRDefault="00CE34F6">
      <w:pPr>
        <w:ind w:left="-15" w:right="0"/>
      </w:pPr>
      <w:r>
        <w:t xml:space="preserve">Je-li celková hmotnost hnací nápravy nebo hnacích náprav menší než 18 % hrubé kombinované hmotnosti v soupravě vozidel s hmotností převyšující 44 tun nebo délkou přesahující 18,75 metrů, musí být tažné vozidlo během období stanoveného v § 16, odst. 2 vybaveno zařízením, které může zlepšit trakci vozidla při rozjíždění na kluzkých vozovkách.</w:t>
      </w:r>
      <w:r>
        <w:t xml:space="preserve"> </w:t>
      </w:r>
      <w:r>
        <w:t xml:space="preserve">Za takové zařízení není považována konstrukce ovlivňující fungování diferenciálu jedné hnací nápravy.</w:t>
      </w:r>
    </w:p>
    <w:p w:rsidR="001130A8" w:rsidRPr="00D95431" w:rsidRDefault="00CE34F6">
      <w:pPr>
        <w:spacing w:after="224"/>
        <w:ind w:left="-15" w:right="0"/>
      </w:pPr>
      <w:r>
        <w:t xml:space="preserve">Pokud je celková hmotnost hnacích náprav soupravy vozidel, jejichž délka přesahuje 28 metrů, pod 25 % hmotnosti soupravy vozidel během doby stanovené v § 16, odst. 2 a za účelem zlepšení počáteční kapacity při rozjíždění musí být tažné vozidlo vybaveno pískovacím zařízením nebo automatickými sněhovými řetězy pro zlepšení tažné síly alespoň jedné hnací nápravy nebo nápravy používané jako hnací náprava při nízké rychlosti.</w:t>
      </w:r>
    </w:p>
    <w:p w:rsidR="001130A8" w:rsidRPr="00D95431" w:rsidRDefault="00CE34F6" w:rsidP="00791F05">
      <w:pPr>
        <w:keepNext/>
        <w:spacing w:after="86" w:line="265" w:lineRule="auto"/>
        <w:ind w:left="127" w:right="121" w:hanging="10"/>
        <w:jc w:val="center"/>
      </w:pPr>
      <w:r>
        <w:t xml:space="preserve">§ 19 a</w:t>
      </w:r>
    </w:p>
    <w:p w:rsidR="001130A8" w:rsidRPr="00D95431" w:rsidRDefault="00CE34F6">
      <w:pPr>
        <w:pStyle w:val="Heading2"/>
        <w:ind w:right="0"/>
      </w:pPr>
      <w:r>
        <w:t xml:space="preserve">Maximální hmotnosti na nápravách nebo podvozcích vozidla nebo soupravě vozidel</w:t>
      </w:r>
    </w:p>
    <w:p w:rsidR="001130A8" w:rsidRPr="00D95431" w:rsidRDefault="00CE34F6">
      <w:pPr>
        <w:ind w:left="-15" w:right="0"/>
      </w:pPr>
      <w:r>
        <w:t xml:space="preserve">Při jízdě vozidla nebo soupravy vozidel na silnici nesmí hmotnost na nápravě nebo podvozku nebo celková hmotnost vozidla převyšovat hodnotu uvedenou v dopravním registru.</w:t>
      </w:r>
      <w:r>
        <w:t xml:space="preserve"> </w:t>
      </w:r>
      <w:r>
        <w:t xml:space="preserve">Celková hmotnost soupravy vozidel nesmí převyšovat součet hmotností tažného a taženého vozidla zapsaný v dopravním registru nebo celkovou hmotnost povolenou pro soupravu, pokud je nižší než daný součet výše.</w:t>
      </w:r>
    </w:p>
    <w:p w:rsidR="001130A8" w:rsidRPr="00D95431" w:rsidRDefault="00CE34F6">
      <w:pPr>
        <w:ind w:left="-15" w:right="0"/>
      </w:pPr>
      <w:r>
        <w:t xml:space="preserve">Při jízdě na kluzkém povrchu vozovky může hmotnost na nápravě nebo podvozku vozidla při použití zařízení pro zvedání náprav nebo funkce odlehčení náprav dočasně překročit maximální hmotnost nápravy nebo podvozku povolenou na vozovce, je-li to nezbytné, aby byla zajištěna dostatečná přilnavost a aby se nepoškodila silnice.</w:t>
      </w:r>
    </w:p>
    <w:p w:rsidR="001130A8" w:rsidRPr="00D95431" w:rsidRDefault="00CE34F6">
      <w:pPr>
        <w:spacing w:after="224"/>
        <w:ind w:left="-15" w:right="0"/>
      </w:pPr>
      <w:r>
        <w:t xml:space="preserve">Hmotnost na nápravě a podvozku vozidla při použití zařízení pro zvedání náprav nebo funkce odlehčení náprav může dočasně překročit maximální hmotnost povolenou na vozovce, je-li to nezbytné, aby byla zajištěna dostatečná manévrovatelnost.</w:t>
      </w:r>
      <w:r>
        <w:t xml:space="preserve"> </w:t>
      </w:r>
      <w:r>
        <w:t xml:space="preserve">V této době nesmí rychlost jízdy překročit 30 kilometrů za hodinu a hmotnost na nápravě nesmí být vyšší než 12 tun.</w:t>
      </w:r>
      <w:r>
        <w:t xml:space="preserve"> </w:t>
      </w:r>
      <w:r>
        <w:t xml:space="preserve">Ustanovení § 32 písm. b) ohledně požadované stability se nevztahují na soupravu vozidel při provedení zvednutí nápravy při rychlosti jízdy nižší než 30 kilometrů za hodinu.</w:t>
      </w:r>
    </w:p>
    <w:p w:rsidR="001130A8" w:rsidRPr="00D95431" w:rsidRDefault="00CE34F6" w:rsidP="00791F05">
      <w:pPr>
        <w:keepNext/>
        <w:spacing w:after="86" w:line="265" w:lineRule="auto"/>
        <w:ind w:left="127" w:right="121" w:hanging="10"/>
        <w:jc w:val="center"/>
      </w:pPr>
      <w:r>
        <w:t xml:space="preserve">§ 19 písm. b)</w:t>
      </w:r>
    </w:p>
    <w:p w:rsidR="001130A8" w:rsidRPr="00D95431" w:rsidRDefault="00CE34F6">
      <w:pPr>
        <w:pStyle w:val="Heading2"/>
        <w:ind w:right="3"/>
      </w:pPr>
      <w:r>
        <w:t xml:space="preserve">Používání vozidla ve Finsku, které je registrované nebo uváděné do provozu ve státě EHP</w:t>
      </w:r>
    </w:p>
    <w:p w:rsidR="001130A8" w:rsidRPr="00D95431" w:rsidRDefault="00CE34F6">
      <w:pPr>
        <w:ind w:left="-15" w:right="0"/>
      </w:pPr>
      <w:r>
        <w:t xml:space="preserve">Pokud je vozidlo registrováno nebo uvedeno do provozu v jiném členském státě Evropského hospodářského prostoru, dále jen</w:t>
      </w:r>
      <w:r>
        <w:rPr>
          <w:i w:val="1"/>
        </w:rPr>
        <w:t xml:space="preserve"> stát EHP</w:t>
      </w:r>
      <w:r>
        <w:t xml:space="preserve">, a používáno ve Finsku, budou platit ustanovení této kapitoly.</w:t>
      </w:r>
    </w:p>
    <w:p w:rsidR="001130A8" w:rsidRPr="00D95431" w:rsidRDefault="00CE34F6">
      <w:pPr>
        <w:ind w:left="-15" w:right="0"/>
      </w:pPr>
      <w:r>
        <w:t xml:space="preserve">Pokud obecně povolené hmotnosti vozidla uvedeného do provozu v roce 1993 nebo později překročí maximální hodnoty uvedené ve směrnici o hmotnostech a rozměrech:</w:t>
      </w:r>
    </w:p>
    <w:p w:rsidR="001130A8" w:rsidRPr="00D95431" w:rsidRDefault="00CE34F6" w:rsidP="0005296C">
      <w:pPr>
        <w:numPr>
          <w:ilvl w:val="0"/>
          <w:numId w:val="2"/>
        </w:numPr>
        <w:tabs>
          <w:tab w:val="left" w:pos="540"/>
        </w:tabs>
        <w:ind w:right="0"/>
      </w:pPr>
      <w:r>
        <w:t xml:space="preserve">nejméně jedna náprava podvozku se třemi nebo více nápravami musí být řídicí náprava; namísto řídicí nápravy může být použita řízená náprava, která je zablokována v poloze přímo odpovídající směru jízdy při rychlosti 30 kilometrů za hodinu nebo více;</w:t>
      </w:r>
    </w:p>
    <w:p w:rsidR="001130A8" w:rsidRPr="00D95431" w:rsidRDefault="00CE34F6" w:rsidP="0005296C">
      <w:pPr>
        <w:numPr>
          <w:ilvl w:val="0"/>
          <w:numId w:val="2"/>
        </w:numPr>
        <w:tabs>
          <w:tab w:val="left" w:pos="540"/>
        </w:tabs>
        <w:ind w:right="0"/>
      </w:pPr>
      <w:r>
        <w:t xml:space="preserve">v případě taženého vozidla musí být alespoň jedna z náprav podvozku řízená nebo řídící, pokud vzdálenost mezi nejvzdálenějšími nápravami podvozku přesahuje</w:t>
      </w:r>
    </w:p>
    <w:p w:rsidR="001130A8" w:rsidRPr="00D95431" w:rsidRDefault="00CE34F6" w:rsidP="0005296C">
      <w:pPr>
        <w:tabs>
          <w:tab w:val="left" w:pos="540"/>
        </w:tabs>
        <w:ind w:left="-15" w:right="0" w:firstLine="0"/>
      </w:pPr>
      <w:r>
        <w:t xml:space="preserve">2,4 metru na dvounápravovém podvozku nebo 2,8 metru na podvozku se třemi nebo více nápravami;</w:t>
      </w:r>
    </w:p>
    <w:p w:rsidR="001130A8" w:rsidRPr="00D95431" w:rsidRDefault="00CE34F6" w:rsidP="0005296C">
      <w:pPr>
        <w:numPr>
          <w:ilvl w:val="0"/>
          <w:numId w:val="2"/>
        </w:numPr>
        <w:tabs>
          <w:tab w:val="left" w:pos="540"/>
        </w:tabs>
        <w:ind w:right="0"/>
      </w:pPr>
      <w:r>
        <w:t xml:space="preserve">nejzadnější náprava na dvounápravovém podvozku vícenápravového přípojného vozidla musí být pouze řízená náprava, pokud bylo prokázáno, že vozidlo splňuje technické požadavky uvedené v předpisu UN/ECE č. 79;</w:t>
      </w:r>
    </w:p>
    <w:p w:rsidR="001130A8" w:rsidRPr="00D95431" w:rsidRDefault="00CE34F6" w:rsidP="0005296C">
      <w:pPr>
        <w:numPr>
          <w:ilvl w:val="0"/>
          <w:numId w:val="2"/>
        </w:numPr>
        <w:tabs>
          <w:tab w:val="left" w:pos="540"/>
        </w:tabs>
        <w:ind w:right="0"/>
      </w:pPr>
      <w:r>
        <w:t xml:space="preserve">podvozkový návěs spojený pomocí nápravy s ojí a točnicí musí mít minimálně dvě neřízené nápravy.</w:t>
      </w:r>
    </w:p>
    <w:p w:rsidR="001130A8" w:rsidRPr="00D95431" w:rsidRDefault="00CE34F6">
      <w:pPr>
        <w:ind w:left="-15" w:right="0"/>
      </w:pPr>
      <w:r>
        <w:t xml:space="preserve">Součet hmotnosti na neřízených nápravách podvozku se třemi nebo více nápravami na vozidle uvedeném v odstavci 2 musí být nejméně 1,6násobný ve srovnání s hmotností na řízených nápravách.</w:t>
      </w:r>
      <w:r>
        <w:t xml:space="preserve"> </w:t>
      </w:r>
      <w:r>
        <w:t xml:space="preserve">Tento požadavek se nevztahuje na vozidla, u nichž bylo prokázáno, že vyhovují technickým požadavkům uvedeným v předpisu UNECE č. 79.</w:t>
      </w:r>
    </w:p>
    <w:p w:rsidR="001130A8" w:rsidRPr="00D95431" w:rsidRDefault="00CE34F6">
      <w:pPr>
        <w:spacing w:after="224"/>
        <w:ind w:left="-15" w:right="0"/>
      </w:pPr>
      <w:r>
        <w:t xml:space="preserve">Ustanovení stanovená v odstavcích 2 a 3 výše se nevztahují na vozidlo s maximální povolenou rychlostí nepřesahující 40 kilometrů za hodinu.</w:t>
      </w:r>
    </w:p>
    <w:p w:rsidR="001130A8" w:rsidRPr="00D95431" w:rsidRDefault="00CE34F6" w:rsidP="00791F05">
      <w:pPr>
        <w:keepNext/>
        <w:spacing w:after="86" w:line="265" w:lineRule="auto"/>
        <w:ind w:left="127" w:right="120" w:hanging="10"/>
        <w:jc w:val="center"/>
      </w:pPr>
      <w:r>
        <w:t xml:space="preserve">§ 20</w:t>
      </w:r>
    </w:p>
    <w:p w:rsidR="001130A8" w:rsidRPr="00D95431" w:rsidRDefault="00CE34F6">
      <w:pPr>
        <w:pStyle w:val="Heading2"/>
        <w:ind w:right="0"/>
      </w:pPr>
      <w:r>
        <w:t xml:space="preserve">Hmotnosti na nápravy a podvozky</w:t>
      </w:r>
    </w:p>
    <w:p w:rsidR="001130A8" w:rsidRPr="00D95431" w:rsidRDefault="00CE34F6" w:rsidP="00791F05">
      <w:pPr>
        <w:keepNext/>
        <w:spacing w:after="67"/>
        <w:ind w:left="-15" w:right="0"/>
      </w:pPr>
      <w:r>
        <w:t xml:space="preserve">Pokud je na silnici užíváno motorové vozidlo nebo přípojné vozidlo, nesmí hmotnost na jeho nápravě převyšovat tyto hodnoty:</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náprava, která není hnací</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tcPr>
          <w:p w:rsidR="001130A8" w:rsidRPr="00D95431" w:rsidRDefault="00CE34F6">
            <w:pPr>
              <w:spacing w:after="0" w:line="259" w:lineRule="auto"/>
              <w:ind w:right="0" w:firstLine="0"/>
              <w:jc w:val="left"/>
            </w:pPr>
            <w:r>
              <w:t xml:space="preserve">10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hnací náprava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vAlign w:val="bottom"/>
          </w:tcPr>
          <w:p w:rsidR="001130A8" w:rsidRPr="00D95431" w:rsidRDefault="00CE34F6">
            <w:pPr>
              <w:spacing w:after="0" w:line="259" w:lineRule="auto"/>
              <w:ind w:left="1" w:right="0" w:firstLine="0"/>
            </w:pPr>
            <w:r>
              <w:t xml:space="preserve">11,5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 xml:space="preserve">Pokud je na silnici užíváno motorové vozidlo, nesmí hmotnost na jeho podvozku převyšovat tyto hodnoty:</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podvozek s tandemovou nápravou, pokud je rozestup náprav menší než 1,0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left="1" w:right="0" w:firstLine="0"/>
            </w:pPr>
            <w:r>
              <w:t xml:space="preserve">11,5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2) podvozek s tandemovou nápravou, pokud není rozestup náprav menší než 1,0 metru, ale je menší než 1,3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podvozek s tandemovou nápravou, pokud není rozestup náprav menší než 1,3 metru, ale je menší než 1,8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 xml:space="preserve">4) podvozek s tandemovou nápravou, pokud není rozestup náprav menší než 1,3 metru, ale je menší než 1,8 metru a každá hnací náprava je vybavena dvojitou montáží kol a hmotnost na každé nápravě nepřesahuje 9,5 tuny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podvozek s tandemovou nápravou, pokud není rozestup náprav menší než 1,3 metru, ale je menší než 1,8 metru a hnací náprava je vybavena dvojitou montáží kol a pneumatickým zavěšením nebo zavěšením uznaným jako rovnocenné k pneumatickému zavěšení</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 xml:space="preserve">6) podvozek s tandemovou nápravou, pokud není rozestup náprav menší než 1,3 metru, ale menší než 1,8 metru a hnací náprava je vybavena dvojitou montáží kol a pneumatickým zavěšením nebo zavěšením uznaným jako rovnocenné k pneumatickému zavěšení, nebo pokud jsou oba podvozky vybaveny dvojitou montáží kol a hmotnost na každé nápravě nepřevyšuje 10,5 tuny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7) podvozek s trojitou nápravou, pokud je rozestup po sobě jdoucích náprav menší než 1,3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8) podvozek s trojitou nápravou, pokud je rozestup po sobě jdoucích náprav alespoň 1,3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 xml:space="preserve">9) podvozek s trojitou nápravou, pokud není rozestup náprav menší než 1,3 metru a nejméně dvě nápravy podvozku jsou vybaveny dvojitou montáží kol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68"/>
        <w:ind w:left="-14" w:right="0" w:firstLine="216"/>
      </w:pPr>
    </w:p>
    <w:p w:rsidR="001130A8" w:rsidRPr="00D95431" w:rsidRDefault="00CE34F6" w:rsidP="00791F05">
      <w:pPr>
        <w:keepNext/>
        <w:spacing w:after="68"/>
        <w:ind w:left="-15" w:right="0"/>
      </w:pPr>
      <w:r>
        <w:t xml:space="preserve">Pokud je na vozovce užíváno přípojné vozidlo, nesmí hmotnost podvozku převyšovat tyto hodnoty:</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podvozek s tandemovou nápravou, pokud je rozestup náprav menší než 1,0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2) podvozek s tandemovou nápravou, pokud není rozestup náprav menší než 1,0 metru, ale je menší než 1,3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podvozek s tandemovou nápravou, pokud není rozestup náprav menší než 1,3 metru, ale je menší než 1,8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4) podvozek s tandemovou nápravou, pokud není rozestup náprav menší než 1,8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left="1" w:right="0" w:firstLine="0"/>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podvozek s trojitou nápravou, pokud je rozestup po sobě jdoucích náprav menší než 1,3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podvozek s trojitou nápravou, pokud není rozestup po sobě jdoucích náprav menší než 1,3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7) alespoň podvozek se čtyřmi nápravami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alespoň podvozek se čtyřmi nápravami, pokud není rozestup nejvzdálenějších náprav menší než 1,3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9) alespoň podvozek se čtyřmi nápravami, pokud není rozestup po sobě jdoucích náprav menší než 1,3 metru a rozestup nejvzdálenějších náprav není menší než 4,7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 xml:space="preserve">10) alespoň podvozek s pěti nápravami, pokud není rozestup po sobě jdoucích náprav menší než 1,3 metru a rozestup nejvzdálenějších náprav není menší než 6,7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36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0"/>
        <w:ind w:left="-14" w:right="0" w:firstLine="216"/>
      </w:pPr>
    </w:p>
    <w:p w:rsidR="001130A8" w:rsidRPr="00D95431" w:rsidRDefault="00CE34F6">
      <w:pPr>
        <w:spacing w:after="224"/>
        <w:ind w:left="-15" w:right="0"/>
      </w:pPr>
      <w:r>
        <w:t xml:space="preserve">Hmotnost na po sobě následujících nápravách podvozku se třemi nebo více nápravami nesmí překročit maximální přípustnou hmotnost na podvozek s odpovídajícím počtem náprav podle odstavců 2 nebo 3.</w:t>
      </w:r>
      <w:r>
        <w:t xml:space="preserve"> </w:t>
      </w:r>
      <w:r>
        <w:t xml:space="preserve">Hmotnost na nápravách podvozku nesmí překročit maximální přípustnou hmotnost na nápravu stanovenou v odstavci 1.</w:t>
      </w:r>
    </w:p>
    <w:p w:rsidR="001130A8" w:rsidRPr="00D95431" w:rsidRDefault="00CE34F6" w:rsidP="00791F05">
      <w:pPr>
        <w:keepNext/>
        <w:spacing w:after="86" w:line="265" w:lineRule="auto"/>
        <w:ind w:left="127" w:right="120" w:hanging="10"/>
        <w:jc w:val="center"/>
      </w:pPr>
      <w:r>
        <w:t xml:space="preserve">§ 21</w:t>
      </w:r>
    </w:p>
    <w:p w:rsidR="001130A8" w:rsidRPr="00D95431" w:rsidRDefault="00CE34F6">
      <w:pPr>
        <w:pStyle w:val="Heading2"/>
        <w:ind w:right="6"/>
      </w:pPr>
      <w:r>
        <w:t xml:space="preserve">Hmotnost vozidla</w:t>
      </w:r>
    </w:p>
    <w:p w:rsidR="001130A8" w:rsidRPr="00D95431" w:rsidRDefault="00CE34F6" w:rsidP="008513F4">
      <w:pPr>
        <w:keepNext/>
        <w:spacing w:after="68"/>
        <w:ind w:left="-15" w:right="0"/>
      </w:pPr>
      <w:r>
        <w:t xml:space="preserve">Hmotnost vozidla na silnici nesmí překročit následující hodnoty:</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vozidlo s tandemovou nápravou jiné než autobus nebo dálkový autobus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vozidlo s trojitou nápravou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25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 xml:space="preserve">3)</w:t>
            </w:r>
            <w:r>
              <w:t xml:space="preserve"> vozidlo s trojitou nápravou, pokud má jeho hnací náprava dvojitou montáž kol a je vybavena vzduchovým odpružením či odpružením uznaným za rovnocenné vzduchovému odpružení nebo, pokud každá </w:t>
            </w:r>
            <w:r>
              <w:t xml:space="preserve">zadní </w:t>
            </w:r>
            <w:r>
              <w:t xml:space="preserve">hnací náprava má dvojitou montáž kol a pokud hmotnost každé nápravy nepřekračuje </w:t>
            </w:r>
            <w:r>
              <w:t xml:space="preserve">10,5</w:t>
            </w:r>
            <w:r>
              <w:t xml:space="preserve"> tun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 xml:space="preserve">4) vozidlo s trojitou nápravou, se dvěma nápravami, které mají dvojitou montáž kol, nebo s jednou zadní nápravou, která je řídící nebo řízená a je vybavená pneumatikami o jmenovité šířce alespoň 385 milimetrů, a řídící náprava má dvojitou montáž kol a je vybavená vzduchovým odpružením či odpružením uznaným za rovnocenné vzduchovému odpružení</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kloubový autobus se třemi nápravami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w:t>
            </w:r>
            <w:r>
              <w:t xml:space="preserve"> vozidlo se čtyřmi nápravami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31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 xml:space="preserve">7) </w:t>
            </w:r>
            <w:r>
              <w:t xml:space="preserve">vozidlo se čtyřmi nápravami, pokud má jeho hnací náprava dvojitou montáž kol a je vybavena vzduchovým odpružením či odpružením uznaným za rovnocenné vzduchovému odpružení nebo pokud každá </w:t>
            </w:r>
            <w:r>
              <w:t xml:space="preserve">zadní </w:t>
            </w:r>
            <w:r>
              <w:t xml:space="preserve">hnací náprava má dvojitou montáž kol a pokud hmotnost každé nápravy nepřekračuje </w:t>
            </w:r>
            <w:r>
              <w:t xml:space="preserve">10,5</w:t>
            </w:r>
            <w:r>
              <w:t xml:space="preserve"> tun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35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w:t>
            </w:r>
            <w:r>
              <w:t xml:space="preserve"> vozidlo s pěti nápravami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42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9) autobus nebo dálkový autobus s tandemovou nápravou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 xml:space="preserve">19,5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13F4" w:rsidRPr="00D95431" w:rsidRDefault="008513F4" w:rsidP="008513F4">
      <w:pPr>
        <w:spacing w:after="68"/>
        <w:ind w:left="-14" w:right="0" w:firstLine="216"/>
      </w:pPr>
    </w:p>
    <w:p w:rsidR="001130A8" w:rsidRPr="00D95431" w:rsidRDefault="00CE34F6" w:rsidP="008513F4">
      <w:pPr>
        <w:keepNext/>
        <w:spacing w:after="68"/>
        <w:ind w:left="-15" w:right="0"/>
      </w:pPr>
      <w:r>
        <w:t xml:space="preserve">Hmotnost daného vozidla však nesmí překročit hmotnost získanou přičtením následujících hodnot k hodnotě 20 tun za každých 0,10 metru, o které vzdálenost mezi nejvzdálenějšími nápravami vozidla překročí 1,80 metru:</w:t>
      </w:r>
    </w:p>
    <w:p w:rsidR="00791F05" w:rsidRPr="00D95431" w:rsidRDefault="00CE34F6">
      <w:pPr>
        <w:ind w:left="227" w:right="3228" w:firstLine="0"/>
      </w:pPr>
      <w:r>
        <w:t xml:space="preserve">1) 320 kilogramů, pokud má vozidlo čtyři nápravy,</w:t>
      </w:r>
      <w:r>
        <w:t xml:space="preserve"> </w:t>
      </w:r>
    </w:p>
    <w:p w:rsidR="001130A8" w:rsidRPr="00D95431" w:rsidRDefault="00CE34F6">
      <w:pPr>
        <w:ind w:left="227" w:right="3228" w:firstLine="0"/>
      </w:pPr>
      <w:r>
        <w:t xml:space="preserve">2) 350 kilogramů, pokud má vozidlo pět náprav,</w:t>
      </w:r>
    </w:p>
    <w:p w:rsidR="001130A8" w:rsidRPr="00D95431" w:rsidRDefault="00CE34F6">
      <w:pPr>
        <w:ind w:left="-15" w:right="0"/>
      </w:pPr>
      <w:r>
        <w:t xml:space="preserve">Alespoň 20 % hmotnosti vozidla musí být neseno řízenou (řízenými) nápravou (nápravami).</w:t>
      </w:r>
      <w:r>
        <w:t xml:space="preserve"> </w:t>
      </w:r>
      <w:r>
        <w:t xml:space="preserve">U osobního vozidla naloženého na registrační / provozní hmotnost a s plnou povolenou hmotností spočívající na zadní nápravě musí alespoň 30 % hrubé hmotnosti vozidla spočívat na přední nápravě.</w:t>
      </w:r>
    </w:p>
    <w:p w:rsidR="001130A8" w:rsidRPr="00D95431" w:rsidRDefault="00CE34F6">
      <w:pPr>
        <w:ind w:left="-15" w:right="0"/>
      </w:pPr>
      <w:r>
        <w:t xml:space="preserve">Alespoň 25 % hmotnosti v případě vozidel kategorie M2, M3 a N musí být neseno hnací (hnacími) nápravou (nápravami).</w:t>
      </w:r>
    </w:p>
    <w:p w:rsidR="001130A8" w:rsidRPr="00D95431" w:rsidRDefault="00CE34F6">
      <w:pPr>
        <w:spacing w:after="225"/>
        <w:ind w:left="-15" w:right="0"/>
      </w:pPr>
      <w:r>
        <w:t xml:space="preserve">Hmotnost vozidla používajícího alternativní paliva může překročit maximální povolenou hodnotu stanovenou v odstavci 1, bodech 1 až 8, v rozsahu, v jakém výrobce prokáže nárůst hmotnosti z důvodu dodatečné hmotností požadované pro alternativní palivo.</w:t>
      </w:r>
      <w:r>
        <w:t xml:space="preserve"> </w:t>
      </w:r>
      <w:r>
        <w:t xml:space="preserve">Dodatečná hmotnost nesmí překročit jednu tunu.</w:t>
      </w:r>
    </w:p>
    <w:p w:rsidR="001130A8" w:rsidRPr="00D95431" w:rsidRDefault="00CE34F6" w:rsidP="00791F05">
      <w:pPr>
        <w:keepNext/>
        <w:spacing w:after="86" w:line="265" w:lineRule="auto"/>
        <w:ind w:left="127" w:right="120" w:hanging="10"/>
        <w:jc w:val="center"/>
      </w:pPr>
      <w:r>
        <w:t xml:space="preserve">§ 22</w:t>
      </w:r>
    </w:p>
    <w:p w:rsidR="001130A8" w:rsidRPr="00D95431" w:rsidRDefault="00CE34F6">
      <w:pPr>
        <w:pStyle w:val="Heading2"/>
        <w:ind w:right="2"/>
      </w:pPr>
      <w:r>
        <w:t xml:space="preserve">Hmotnost přípojného vozidla</w:t>
      </w:r>
    </w:p>
    <w:p w:rsidR="001130A8" w:rsidRPr="00D95431" w:rsidRDefault="00CE34F6">
      <w:pPr>
        <w:spacing w:after="224"/>
        <w:ind w:left="-15" w:right="0"/>
      </w:pPr>
      <w:r>
        <w:t xml:space="preserve">Hmotnost vícenápravového přípojného vozidla nesmí překročit hodnotu získanou tak, že je k 20 tunám přidáno 350 kilogramů na každých 0,10 metru, kdy vzdálenost mezi nejvzdálenějšími nápravami přívěsu přesahuje 1,80 metru.</w:t>
      </w:r>
    </w:p>
    <w:p w:rsidR="001130A8" w:rsidRPr="00D95431" w:rsidRDefault="00CE34F6" w:rsidP="00791F05">
      <w:pPr>
        <w:keepNext/>
        <w:spacing w:after="86" w:line="265" w:lineRule="auto"/>
        <w:ind w:left="127" w:right="120" w:hanging="10"/>
        <w:jc w:val="center"/>
      </w:pPr>
      <w:r>
        <w:t xml:space="preserve">§ 23</w:t>
      </w:r>
    </w:p>
    <w:p w:rsidR="001130A8" w:rsidRPr="00D95431" w:rsidRDefault="00CE34F6">
      <w:pPr>
        <w:pStyle w:val="Heading2"/>
        <w:ind w:right="2"/>
      </w:pPr>
      <w:r>
        <w:t xml:space="preserve">Hmotnost soupravy vozidla a přípojného vozidla</w:t>
      </w:r>
    </w:p>
    <w:p w:rsidR="001130A8" w:rsidRPr="00D95431" w:rsidRDefault="00CE34F6" w:rsidP="003326CC">
      <w:pPr>
        <w:keepNext/>
        <w:spacing w:after="68"/>
        <w:ind w:left="-15" w:right="0"/>
      </w:pPr>
      <w:r>
        <w:t xml:space="preserve">Hmotnost řízené soupravy vozidel na silnici nesmí překračovat následující hodnoty:</w:t>
      </w:r>
    </w:p>
    <w:p w:rsidR="001130A8" w:rsidRPr="00D95431" w:rsidRDefault="00CE34F6" w:rsidP="003326CC">
      <w:pPr>
        <w:numPr>
          <w:ilvl w:val="0"/>
          <w:numId w:val="3"/>
        </w:numPr>
        <w:tabs>
          <w:tab w:val="left" w:pos="720"/>
        </w:tabs>
        <w:spacing w:after="0" w:line="240" w:lineRule="auto"/>
        <w:ind w:right="0"/>
      </w:pPr>
      <w:r>
        <w:t xml:space="preserve">souprava sestávající z motorového vozidla a přípojného vozidla s nápravou uprostřed</w:t>
        <w:tab/>
        <w:t xml:space="preserve">50 t</w:t>
      </w:r>
    </w:p>
    <w:p w:rsidR="001130A8" w:rsidRPr="00D95431" w:rsidRDefault="00CE34F6" w:rsidP="003326CC">
      <w:pPr>
        <w:numPr>
          <w:ilvl w:val="0"/>
          <w:numId w:val="3"/>
        </w:numPr>
        <w:tabs>
          <w:tab w:val="left" w:pos="720"/>
        </w:tabs>
        <w:spacing w:after="0" w:line="240" w:lineRule="auto"/>
        <w:ind w:right="0"/>
      </w:pPr>
      <w:r>
        <w:t xml:space="preserve">souprava sestávající z motorového vozidla a návěsu, souprava sestávající z motorového vozidla a vícenápravového přípojného vozidla nebo souprava sestávající z motorového vozidla a několika přípojných vozidel:</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 xml:space="preserve">čtyři nápravy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rsidP="003326CC">
            <w:pPr>
              <w:spacing w:after="0" w:line="240" w:lineRule="auto"/>
              <w:ind w:right="0" w:firstLine="0"/>
            </w:pPr>
            <w:r>
              <w:t xml:space="preserve">36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pět náprav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44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šest náprav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53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sedm náprav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 xml:space="preserve">60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osm náprav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64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 xml:space="preserve">osm náprav, pokud alespoň 65 % hmotnosti přípojného vozidla nebo celkové hmotnosti přípojných vozidel spočívá na nápravách s dvojitou montáží kol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rPr>
                <w:i/>
              </w:rPr>
              <w:t xml:space="preserve">68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devět náprav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69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 xml:space="preserve">alespoň devět náprav, pokud alespoň 65 % hmotnosti přípojného vozidla nebo celkové hmotnosti přípojných vozidel spočívá na nápravách s dvojitou montáží kol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t xml:space="preserve">76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deset náprav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74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alespoň jedenáct náprav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76 t</w:t>
            </w:r>
          </w:p>
        </w:tc>
      </w:tr>
    </w:tbl>
    <w:p w:rsidR="001130A8" w:rsidRPr="00D95431" w:rsidRDefault="00CE34F6">
      <w:pPr>
        <w:ind w:left="-15" w:right="0"/>
      </w:pPr>
      <w:r>
        <w:t xml:space="preserve">Při výpočtu počtu náprav stanovených v odstavci 1 náprava zvednutá od země nebo náprava s uloženou hmotností menší než pět tun nebere v úvahu u souprav se šesti nebo více nápravami.</w:t>
      </w:r>
    </w:p>
    <w:p w:rsidR="001130A8" w:rsidRPr="00D95431" w:rsidRDefault="00CE34F6">
      <w:pPr>
        <w:ind w:left="-15" w:right="0"/>
      </w:pPr>
      <w:r>
        <w:t xml:space="preserve">Součet hmotností na nejzadnějším podvozku tažného vozidla a předním podvozku přípojného vozidla nesmí překročit hodnotu získanou přidáním 350 kilogramů k 20 tunám na každých 0,10 metru, o které vzdálenost nejvzdálenějších náprav podvozků přesahuje 1,80 metru.</w:t>
      </w:r>
    </w:p>
    <w:p w:rsidR="001130A8" w:rsidRPr="00D95431" w:rsidRDefault="00CE34F6">
      <w:pPr>
        <w:ind w:left="-15" w:right="0"/>
      </w:pPr>
      <w:r>
        <w:t xml:space="preserve">Hmotnost soupravy vozidel s hmotností překračující 44 tun nesmí překročit hodnotu získanou tak, že je 20 tunám přidáno 350 kilogramů na každých 0,10 metru, kdy vzdálenost mezi nejvzdálenějšími nápravami přípojného vozidla přesahuje 1,80 metru.</w:t>
      </w:r>
      <w:r>
        <w:t xml:space="preserve"> </w:t>
      </w:r>
      <w:r>
        <w:t xml:space="preserve">Ustanovení uvedená v tomto odstavci výše se vztahuje také na soupravu vozidel sestávající z vozidla a návěsu, který je součástí soupravy uvedené v odstavci 1, bodu 2, pokud jeho hmotnost přesahuje 44 tun.</w:t>
      </w:r>
    </w:p>
    <w:p w:rsidR="001130A8" w:rsidRPr="00D95431" w:rsidRDefault="00CE34F6">
      <w:pPr>
        <w:ind w:left="-15" w:right="0"/>
      </w:pPr>
      <w:r>
        <w:t xml:space="preserve">V soupravě vozidel, jejíž hmotnost překračuje 40 tun, musí být vzdálenost mezi zadní nápravou vozidla a přední nápravou přípojného vozidla s hmotností překračující 10 tun alespoň 3,00 metry.</w:t>
      </w:r>
    </w:p>
    <w:p w:rsidR="001130A8" w:rsidRPr="00D95431" w:rsidRDefault="00CE34F6">
      <w:pPr>
        <w:ind w:left="-15" w:right="0"/>
      </w:pPr>
      <w:r>
        <w:t xml:space="preserve">Nejméně 15% hmotnosti soupravy vozidel se musí nacházet na hnacích nápravách soupravy sestávající z vozidla a jednoho nebo více přípojných vozidel.</w:t>
      </w:r>
      <w:r>
        <w:t xml:space="preserve"> </w:t>
      </w:r>
      <w:r>
        <w:t xml:space="preserve">Jestliže hmotnost soupravy vozidel překračuje 68 tun, musí alespoň 20 % hmotnosti soupravy vozidel spočívat na hnacích nápravách a nejméně 9 % hmotnosti soupravy vozidel se musí nacházet na řídicí nápravě tažného vozidla.</w:t>
      </w:r>
    </w:p>
    <w:p w:rsidR="001130A8" w:rsidRPr="00D95431" w:rsidRDefault="00CE34F6">
      <w:pPr>
        <w:ind w:left="-15" w:right="0"/>
      </w:pPr>
      <w:r>
        <w:t xml:space="preserve">Výkon motoru u soupravy vozidla s hmotností překračující 44 tun musí být alespoň 5 kilowatt na jednu tunu hmotnosti soupravy.</w:t>
      </w:r>
    </w:p>
    <w:p w:rsidR="001130A8" w:rsidRPr="00D95431" w:rsidRDefault="00CE34F6">
      <w:pPr>
        <w:spacing w:after="196"/>
        <w:ind w:left="-15" w:right="0"/>
      </w:pPr>
      <w:r>
        <w:t xml:space="preserve">Hmotnost soupravy může překročit maximální povolenou hodnotu stanovenou v odstavci 1, jsou-li splněny podmínky stanovené v § 21 odst. 5 výše za předpokladu, že motorové vozidlo používající alternativní paliva uvedené v daném odstavci je součástí soupravy.</w:t>
      </w:r>
    </w:p>
    <w:p w:rsidR="001130A8" w:rsidRPr="00D95431" w:rsidRDefault="00CE34F6" w:rsidP="00791F05">
      <w:pPr>
        <w:keepNext/>
        <w:spacing w:after="86" w:line="265" w:lineRule="auto"/>
        <w:ind w:left="127" w:right="121" w:hanging="10"/>
        <w:jc w:val="center"/>
      </w:pPr>
      <w:r>
        <w:t xml:space="preserve">§ 23 písm. a)</w:t>
      </w:r>
    </w:p>
    <w:p w:rsidR="001130A8" w:rsidRPr="00D95431" w:rsidRDefault="00CE34F6" w:rsidP="00791F05">
      <w:pPr>
        <w:keepNext/>
        <w:spacing w:after="123" w:line="252" w:lineRule="auto"/>
        <w:ind w:left="97" w:right="0" w:firstLine="0"/>
        <w:jc w:val="left"/>
      </w:pPr>
      <w:r>
        <w:rPr>
          <w:i/>
        </w:rPr>
        <w:t xml:space="preserve">Odchylky pro hmotnost soupravy vozidel pro přepravu nebezpečného zboží</w:t>
      </w:r>
    </w:p>
    <w:p w:rsidR="001130A8" w:rsidRPr="00D95431" w:rsidRDefault="00CE34F6">
      <w:pPr>
        <w:ind w:left="-15" w:right="0"/>
      </w:pPr>
      <w:r>
        <w:t xml:space="preserve">Na základě odchylky od § 23 odst. 1, bodu 2, pokud se na přepravu vztahuje zákon o přepravě nebezpečných věcí (719/1994), bude maximální povolená hmotnost soupravy vozidel</w:t>
      </w:r>
    </w:p>
    <w:p w:rsidR="001130A8" w:rsidRPr="00D95431" w:rsidRDefault="00CE34F6" w:rsidP="0005296C">
      <w:pPr>
        <w:numPr>
          <w:ilvl w:val="0"/>
          <w:numId w:val="4"/>
        </w:numPr>
        <w:tabs>
          <w:tab w:val="left" w:pos="720"/>
        </w:tabs>
        <w:ind w:right="0"/>
      </w:pPr>
      <w:r>
        <w:t xml:space="preserve">60 tun, pokud je počet náprav alespoň sedm;</w:t>
      </w:r>
    </w:p>
    <w:p w:rsidR="003326CC" w:rsidRPr="00D95431" w:rsidRDefault="00CE34F6" w:rsidP="0005296C">
      <w:pPr>
        <w:numPr>
          <w:ilvl w:val="0"/>
          <w:numId w:val="4"/>
        </w:numPr>
        <w:tabs>
          <w:tab w:val="left" w:pos="720"/>
        </w:tabs>
        <w:ind w:right="0"/>
      </w:pPr>
      <w:r>
        <w:t xml:space="preserve">64 tun v případě soupravy tažného vozidla s nejméně třemi nápravami a návěsu s nejméně pěti nápravami;</w:t>
      </w:r>
      <w:r>
        <w:t xml:space="preserve"> </w:t>
      </w:r>
    </w:p>
    <w:p w:rsidR="001130A8" w:rsidRPr="00D95431" w:rsidRDefault="00CE34F6" w:rsidP="0005296C">
      <w:pPr>
        <w:numPr>
          <w:ilvl w:val="0"/>
          <w:numId w:val="4"/>
        </w:numPr>
        <w:tabs>
          <w:tab w:val="left" w:pos="720"/>
        </w:tabs>
        <w:ind w:right="0"/>
      </w:pPr>
      <w:r>
        <w:t xml:space="preserve">68 tun, pokud</w:t>
      </w:r>
      <w:r>
        <w:t xml:space="preserve"> </w:t>
      </w:r>
    </w:p>
    <w:p w:rsidR="001130A8" w:rsidRPr="00D95431" w:rsidRDefault="00CE34F6" w:rsidP="001C7212">
      <w:pPr>
        <w:numPr>
          <w:ilvl w:val="0"/>
          <w:numId w:val="5"/>
        </w:numPr>
        <w:tabs>
          <w:tab w:val="left" w:pos="720"/>
        </w:tabs>
        <w:ind w:right="-6" w:firstLine="324"/>
      </w:pPr>
      <w:r>
        <w:t xml:space="preserve">má souprava vozidel alespoň osm náprav a tažné vozidlo soupravy má alespoň čtyři nápravy; nebo</w:t>
      </w:r>
    </w:p>
    <w:p w:rsidR="001130A8" w:rsidRPr="00D95431" w:rsidRDefault="00CE34F6" w:rsidP="000D6F4A">
      <w:pPr>
        <w:numPr>
          <w:ilvl w:val="0"/>
          <w:numId w:val="5"/>
        </w:numPr>
        <w:tabs>
          <w:tab w:val="left" w:pos="720"/>
        </w:tabs>
        <w:ind w:right="-6" w:firstLine="324"/>
      </w:pPr>
      <w:r>
        <w:t xml:space="preserve">má tažné vozidlo soupravy vozidel alespoň tři nápravy a daná souprava zahrnuje motorové vozidlo s nejméně osmi nápravami a dvěma návěsy.</w:t>
      </w:r>
    </w:p>
    <w:p w:rsidR="001130A8" w:rsidRPr="00D95431" w:rsidRDefault="00CE34F6">
      <w:pPr>
        <w:ind w:left="-15" w:right="0"/>
      </w:pPr>
      <w:r>
        <w:t xml:space="preserve">U soupravy vozidel s maximálně osmi nápravami o hmotnosti větší než 64 tun, bude nejméně 65 procent hmotnosti přípojného vozidla nebo celkové hmotnosti přípojných vozidel neseno na nápravách s dvojitou montáží kol.</w:t>
      </w:r>
      <w:r>
        <w:t xml:space="preserve"> </w:t>
      </w:r>
      <w:r>
        <w:t xml:space="preserve">Požadavek se však nevztahuje na cisternovou přepravu nebezpečných látek, pokud množství přepravované nebezpečné látky přesahuje 5 tun.</w:t>
      </w:r>
    </w:p>
    <w:p w:rsidR="001130A8" w:rsidRPr="00D95431" w:rsidRDefault="00CE34F6">
      <w:pPr>
        <w:spacing w:after="224"/>
        <w:ind w:left="-15" w:right="0"/>
      </w:pPr>
      <w:r>
        <w:t xml:space="preserve">Ustanovení výše uvedených odstavců 1 a 2 se nevztahují na přepravu baleného zboží, pokud množství přepravované nebezpečné látky nepřesáhne limity stanovené v souladu se zákonem uvedeným v odstavci 1, který se týká výjimek týkajících se přepravovaného množství v dopravní jednotce.</w:t>
      </w:r>
    </w:p>
    <w:p w:rsidR="001130A8" w:rsidRPr="00D95431" w:rsidRDefault="00CE34F6" w:rsidP="00791F05">
      <w:pPr>
        <w:keepNext/>
        <w:spacing w:after="86" w:line="265" w:lineRule="auto"/>
        <w:ind w:left="127" w:right="120" w:hanging="10"/>
        <w:jc w:val="center"/>
      </w:pPr>
      <w:r>
        <w:t xml:space="preserve">§ 24</w:t>
      </w:r>
    </w:p>
    <w:p w:rsidR="001130A8" w:rsidRPr="00D95431" w:rsidRDefault="00CE34F6">
      <w:pPr>
        <w:pStyle w:val="Heading2"/>
        <w:ind w:right="3"/>
      </w:pPr>
      <w:r>
        <w:t xml:space="preserve">Délka vozidla, přípojného vozidla nebo jejich souprava</w:t>
      </w:r>
    </w:p>
    <w:p w:rsidR="001130A8" w:rsidRPr="00D95431" w:rsidRDefault="00CE34F6" w:rsidP="00D95431">
      <w:pPr>
        <w:keepNext/>
        <w:spacing w:after="68"/>
        <w:ind w:left="-15" w:right="0"/>
      </w:pPr>
      <w:r>
        <w:t xml:space="preserve">Délka vozidla nesmí převyšovat tyto hodnoty:</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 xml:space="preserve">autobus nebo dálkový autobus (kategorie M</w:t>
            </w:r>
            <w:r>
              <w:rPr>
                <w:vertAlign w:val="subscript"/>
              </w:rPr>
              <w:t xml:space="preserve">2</w:t>
            </w:r>
            <w:r>
              <w:t xml:space="preserve"> a M</w:t>
            </w:r>
            <w:r>
              <w:rPr>
                <w:vertAlign w:val="subscript"/>
              </w:rPr>
              <w:t xml:space="preserve">3</w:t>
            </w:r>
            <w:r>
              <w:t xml:space="preserve">)</w:t>
            </w:r>
            <w:r>
              <w:t xml:space="preserve"> </w:t>
            </w:r>
          </w:p>
          <w:p w:rsidR="0005296C" w:rsidRPr="00D95431" w:rsidRDefault="00CE34F6" w:rsidP="00791F05">
            <w:pPr>
              <w:spacing w:after="0" w:line="240" w:lineRule="auto"/>
              <w:ind w:right="0" w:firstLine="0"/>
              <w:jc w:val="left"/>
            </w:pPr>
            <w:r>
              <w:t xml:space="preserve">nicméně v případě alespoň tří náprav</w:t>
            </w:r>
            <w:r>
              <w:t xml:space="preserve"> </w:t>
            </w:r>
          </w:p>
          <w:p w:rsidR="0005296C" w:rsidRPr="00D95431" w:rsidRDefault="00CE34F6" w:rsidP="00791F05">
            <w:pPr>
              <w:spacing w:after="0" w:line="240" w:lineRule="auto"/>
              <w:ind w:right="0" w:firstLine="0"/>
              <w:jc w:val="left"/>
            </w:pPr>
            <w:r>
              <w:t xml:space="preserve">nicméně, pokud jsou kloubové</w:t>
            </w:r>
            <w:r>
              <w:t xml:space="preserve"> </w:t>
            </w:r>
          </w:p>
          <w:p w:rsidR="001130A8" w:rsidRPr="00D95431" w:rsidRDefault="00CE34F6" w:rsidP="00791F05">
            <w:pPr>
              <w:spacing w:after="0" w:line="240" w:lineRule="auto"/>
              <w:ind w:right="0" w:firstLine="0"/>
              <w:jc w:val="left"/>
            </w:pPr>
            <w:r>
              <w:t xml:space="preserve">nicméně, pokud má kloubové vozidlo více než jednu kloubovou část</w:t>
            </w:r>
          </w:p>
          <w:p w:rsidR="0005296C" w:rsidRPr="00D95431" w:rsidRDefault="00CE34F6" w:rsidP="00791F05">
            <w:pPr>
              <w:numPr>
                <w:ilvl w:val="0"/>
                <w:numId w:val="11"/>
              </w:numPr>
              <w:tabs>
                <w:tab w:val="left" w:pos="493"/>
              </w:tabs>
              <w:spacing w:after="0" w:line="240" w:lineRule="auto"/>
              <w:ind w:left="0" w:right="0" w:firstLine="0"/>
              <w:jc w:val="left"/>
            </w:pPr>
            <w:r>
              <w:t xml:space="preserve">vozidlo jiné než autobus nebo dálkový autobus uvedený v bodu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keepNext/>
              <w:spacing w:after="68"/>
              <w:ind w:left="-15" w:right="0"/>
            </w:pPr>
          </w:p>
          <w:p w:rsidR="001130A8" w:rsidRPr="00D95431" w:rsidRDefault="00CE34F6" w:rsidP="00D95431">
            <w:pPr>
              <w:keepNext/>
              <w:spacing w:after="68"/>
              <w:ind w:left="-15" w:right="0"/>
            </w:pPr>
            <w:r>
              <w:t xml:space="preserve">Délka přípojného vozidla nesmí překračovat tyto hodnoty: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 xml:space="preserve">13,50 m</w:t>
            </w:r>
          </w:p>
          <w:p w:rsidR="001130A8" w:rsidRPr="00D95431" w:rsidRDefault="00CE34F6" w:rsidP="00791F05">
            <w:pPr>
              <w:spacing w:after="0" w:line="240" w:lineRule="auto"/>
              <w:ind w:right="0" w:firstLine="0"/>
              <w:jc w:val="left"/>
            </w:pPr>
            <w:r>
              <w:t xml:space="preserve">15,00 m</w:t>
            </w:r>
          </w:p>
          <w:p w:rsidR="001130A8" w:rsidRPr="00D95431" w:rsidRDefault="00CE34F6" w:rsidP="00791F05">
            <w:pPr>
              <w:spacing w:after="0" w:line="240" w:lineRule="auto"/>
              <w:ind w:right="0" w:firstLine="0"/>
              <w:jc w:val="right"/>
            </w:pPr>
            <w:r>
              <w:t xml:space="preserve">18,75 m 25,25 m</w:t>
            </w:r>
          </w:p>
          <w:p w:rsidR="001130A8" w:rsidRPr="00D95431" w:rsidRDefault="00CE34F6" w:rsidP="00791F05">
            <w:pPr>
              <w:spacing w:after="0" w:line="240" w:lineRule="auto"/>
              <w:ind w:right="0" w:firstLine="0"/>
              <w:jc w:val="left"/>
            </w:pPr>
            <w:r>
              <w:t xml:space="preserve">13,00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 xml:space="preserve">vzdálenost od svislé osy návěsného čepu návěsu k nejzadnějšímu bodu přípojného vozidla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18,00m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 xml:space="preserve">V případě vícenápravového přípojného vozidla používaného v soupravě vozidla s délkou větší než 22,00 metrů je vzdálenost od bodu otáčení předních náprav do nejzazšího bodu přípojného vozidla</w:t>
            </w:r>
          </w:p>
          <w:p w:rsidR="001130A8" w:rsidRPr="00D95431" w:rsidRDefault="00CE34F6" w:rsidP="00791F05">
            <w:pPr>
              <w:numPr>
                <w:ilvl w:val="0"/>
                <w:numId w:val="13"/>
              </w:numPr>
              <w:tabs>
                <w:tab w:val="left" w:pos="493"/>
              </w:tabs>
              <w:spacing w:after="0" w:line="240" w:lineRule="auto"/>
              <w:ind w:left="0" w:right="0"/>
              <w:jc w:val="left"/>
            </w:pPr>
            <w:r>
              <w:t xml:space="preserve">od svislé osy návěsného čepu nebo bodu otáčení předních náprav uvedených v odstavcích 1 a 2 do jakéhokoli bodu směrem vpřed dotyčného bodu, s výjimkou oje</w:t>
            </w:r>
          </w:p>
          <w:p w:rsidR="001130A8" w:rsidRPr="00D95431" w:rsidRDefault="00CE34F6" w:rsidP="00791F05">
            <w:pPr>
              <w:numPr>
                <w:ilvl w:val="0"/>
                <w:numId w:val="13"/>
              </w:numPr>
              <w:tabs>
                <w:tab w:val="left" w:pos="493"/>
              </w:tabs>
              <w:spacing w:after="0" w:line="240" w:lineRule="auto"/>
              <w:ind w:left="0" w:right="0"/>
              <w:jc w:val="left"/>
            </w:pPr>
            <w:r>
              <w:t xml:space="preserve">jakékoli přípojné vozidlo jiné než uvedené v odstavci 1 nebo 2, s výjimkou oje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 xml:space="preserve">Délka soupravy vozidla nesmí překračovat tyto hodnoty: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jc w:val="left"/>
            </w:pPr>
            <w:r>
              <w:t xml:space="preserve">16,00 m 2,04 m</w:t>
            </w:r>
          </w:p>
          <w:p w:rsidR="001130A8" w:rsidRPr="00D95431" w:rsidRDefault="00CE34F6" w:rsidP="00791F05">
            <w:pPr>
              <w:spacing w:after="0" w:line="240" w:lineRule="auto"/>
              <w:ind w:right="0" w:firstLine="0"/>
            </w:pPr>
            <w:r>
              <w:t xml:space="preserve">12,50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 souprava skládající se z osobního vozidla nebo autobusu (kategorie M) a přípojného vozidla jiného, než je návěs, a také soupravy dodávky (kategorie N</w:t>
            </w:r>
            <w:r>
              <w:rPr>
                <w:vertAlign w:val="subscript"/>
              </w:rPr>
              <w:t xml:space="preserve">1</w:t>
            </w:r>
            <w:r>
              <w:t xml:space="preserve">) a jiného vozidla než je návěs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18,75m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 souprava osobního automobilu (kategorie M</w:t>
            </w:r>
            <w:r>
              <w:rPr>
                <w:vertAlign w:val="subscript"/>
              </w:rPr>
              <w:t xml:space="preserve">1</w:t>
            </w:r>
            <w:r>
              <w:t xml:space="preserve">) nebo dodávky (kategorie N</w:t>
            </w:r>
            <w:r>
              <w:rPr>
                <w:vertAlign w:val="subscript"/>
              </w:rPr>
              <w:t xml:space="preserve">1</w:t>
            </w:r>
            <w:r>
              <w:t xml:space="preserve">) nebo nákladního vozu kategorie N</w:t>
            </w:r>
            <w:r>
              <w:rPr>
                <w:vertAlign w:val="subscript"/>
              </w:rPr>
              <w:t xml:space="preserve">2</w:t>
            </w:r>
            <w:r>
              <w:t xml:space="preserve"> a návěsu a také jakékoli soupravy vozidla jiné, než které jsou uvedeny v bodech 1, 3, 4 nebo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16,50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3) souprava nákladního automobilu kategorie N</w:t>
            </w:r>
            <w:r>
              <w:rPr>
                <w:vertAlign w:val="subscript"/>
              </w:rPr>
              <w:t xml:space="preserve">3</w:t>
            </w:r>
            <w:r>
              <w:t xml:space="preserve"> a návěsu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4) souprava motorového vozidla jiného, než je uvedeno v bodu 1 a přípojného vozidlo s nápravou uprostřed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20,75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5) souprava nákladního automobilu (kategorie N</w:t>
            </w:r>
            <w:r>
              <w:rPr>
                <w:vertAlign w:val="subscript"/>
              </w:rPr>
              <w:t xml:space="preserve">2 </w:t>
            </w:r>
            <w:r>
              <w:t xml:space="preserve">a N</w:t>
            </w:r>
            <w:r>
              <w:rPr>
                <w:vertAlign w:val="subscript"/>
              </w:rPr>
              <w:t xml:space="preserve">3</w:t>
            </w:r>
            <w:r>
              <w:t xml:space="preserve">) jiného, než je uvedeno v bodech 2, 3 nebo 4, a jednoho nebo více přípojných vozidel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34,50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 xml:space="preserve">z čehož je součet vnitřních délek ložné plochy za kabinou v tažném vozidle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29,24 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pPr>
        <w:ind w:left="-15" w:right="0"/>
      </w:pPr>
    </w:p>
    <w:p w:rsidR="001130A8" w:rsidRPr="00D95431" w:rsidRDefault="00CE34F6">
      <w:pPr>
        <w:ind w:left="-15" w:right="0"/>
      </w:pPr>
      <w:r>
        <w:t xml:space="preserve">Pokud je autobus nebo dálkový autobus vybavený boxem na lyže nebo jiným odnímatelným zařízením, nesmí délka autobusu nebo dálkového autobusu a připojeného zařízení překročit rozměry stanovené v této části.</w:t>
      </w:r>
    </w:p>
    <w:p w:rsidR="001130A8" w:rsidRPr="00D95431" w:rsidRDefault="00CE34F6">
      <w:pPr>
        <w:ind w:left="-15" w:right="0"/>
      </w:pPr>
      <w:r>
        <w:t xml:space="preserve">Vozidla nebo soupravy vozidel vybavená aerodynamickým zařízením uvedeným v článku 8b směrnice o rozměrech a hmotnosti mohou překročit rozměry stanovené v tomto oddílu, s výjimkou vnitřních délek ložné plochy za předpokladu, že jsou splněny požadavky stanovené směrnicí.</w:t>
      </w:r>
      <w:r>
        <w:t xml:space="preserve"> </w:t>
      </w:r>
      <w:r>
        <w:t xml:space="preserve">Překročení rozměrů je přípustné pouze tehdy, je-li zapotřebí pro připojení takového zařízení k zadní části vozidla nebo k soupravě vozidel, a nesmí to mít za následek zvýšení velikosti ložné plochy.</w:t>
      </w:r>
    </w:p>
    <w:p w:rsidR="001130A8" w:rsidRPr="00D95431" w:rsidRDefault="00CE34F6">
      <w:pPr>
        <w:ind w:left="-15" w:right="0"/>
      </w:pPr>
      <w:r>
        <w:t xml:space="preserve">Vozidla nebo soupravy vozidel vybavená kabinami uvedenými v článku 9 a směrnice o rozměrech a hmotnosti mohou překročit rozměry stanovené v tomto oddíle, s výjimkou vnitřních délek ložné plochy za předpokladu, že jsou splněny požadavky stanovené směrnicí.</w:t>
      </w:r>
      <w:r>
        <w:t xml:space="preserve"> </w:t>
      </w:r>
      <w:r>
        <w:t xml:space="preserve">Překročení rozměrů nesmí mít za následek zvýšení velikosti oblasti ložné plochy.</w:t>
      </w:r>
    </w:p>
    <w:p w:rsidR="001130A8" w:rsidRPr="00D95431" w:rsidRDefault="00CE34F6">
      <w:pPr>
        <w:ind w:left="-15" w:right="0"/>
      </w:pPr>
      <w:r>
        <w:t xml:space="preserve">Rozměry uvedené v této části mohou být překročeny o 15 cm přípojným vozidlem nebo soupravou vozidel, která se používá k přepravě kontejneru o délce 45 stop nebo vyměnitelné části o délce 45 stop jako součásti intermodální dopravy uvedené v článku 2 směrnice o rozměrech a hmotnosti.</w:t>
      </w:r>
    </w:p>
    <w:p w:rsidR="001130A8" w:rsidRPr="00D95431" w:rsidRDefault="00CE34F6">
      <w:pPr>
        <w:ind w:left="-15" w:right="0"/>
      </w:pPr>
      <w:r>
        <w:t xml:space="preserve">Vozidla nebo přídavná zařízení používaná k nakládání mohou být připojena za ložnou plochu vozidel používaných k přepravě zboží navzdory danému vozidlu nebo soupravě vozidel, které překračují maximální přípustnou délku v případě, že:</w:t>
      </w:r>
    </w:p>
    <w:p w:rsidR="001130A8" w:rsidRPr="00D95431" w:rsidRDefault="00CE34F6" w:rsidP="00916DE5">
      <w:pPr>
        <w:numPr>
          <w:ilvl w:val="0"/>
          <w:numId w:val="6"/>
        </w:numPr>
        <w:tabs>
          <w:tab w:val="left" w:pos="720"/>
        </w:tabs>
        <w:ind w:right="0"/>
      </w:pPr>
      <w:r>
        <w:t xml:space="preserve">plocha používaná pro přepravu zboží se nezvýší;</w:t>
      </w:r>
    </w:p>
    <w:p w:rsidR="001130A8" w:rsidRPr="00D95431" w:rsidRDefault="00CE34F6" w:rsidP="00916DE5">
      <w:pPr>
        <w:numPr>
          <w:ilvl w:val="0"/>
          <w:numId w:val="6"/>
        </w:numPr>
        <w:tabs>
          <w:tab w:val="left" w:pos="720"/>
        </w:tabs>
        <w:ind w:right="0"/>
      </w:pPr>
      <w:r>
        <w:t xml:space="preserve">není překročen jakýkoli jiný obecně povolený rozměr než délka;</w:t>
      </w:r>
    </w:p>
    <w:p w:rsidR="001130A8" w:rsidRPr="00D95431" w:rsidRDefault="00CE34F6" w:rsidP="00916DE5">
      <w:pPr>
        <w:numPr>
          <w:ilvl w:val="0"/>
          <w:numId w:val="6"/>
        </w:numPr>
        <w:tabs>
          <w:tab w:val="left" w:pos="720"/>
        </w:tabs>
        <w:ind w:right="0"/>
      </w:pPr>
      <w:r>
        <w:t xml:space="preserve">není překročena šířka vozidla používaného pro přepravu zboží;</w:t>
      </w:r>
    </w:p>
    <w:p w:rsidR="001130A8" w:rsidRPr="00D95431" w:rsidRDefault="00CE34F6" w:rsidP="00916DE5">
      <w:pPr>
        <w:numPr>
          <w:ilvl w:val="0"/>
          <w:numId w:val="6"/>
        </w:numPr>
        <w:tabs>
          <w:tab w:val="left" w:pos="720"/>
        </w:tabs>
        <w:ind w:right="0"/>
      </w:pPr>
      <w:r>
        <w:t xml:space="preserve">vozidlo, k němuž je připojeno vozidlo nebo upevnění uvedené v tomto dokumentu, splňuje požadavky, které jsou pro něj stanoveny nebo stanoveny z hlediska zadní ochrany proti podjetí;</w:t>
      </w:r>
    </w:p>
    <w:p w:rsidR="001130A8" w:rsidRPr="00D95431" w:rsidRDefault="00CE34F6" w:rsidP="00916DE5">
      <w:pPr>
        <w:numPr>
          <w:ilvl w:val="0"/>
          <w:numId w:val="6"/>
        </w:numPr>
        <w:tabs>
          <w:tab w:val="left" w:pos="720"/>
        </w:tabs>
        <w:ind w:right="0"/>
      </w:pPr>
      <w:r>
        <w:t xml:space="preserve">jsou splněny požadavky na viditelnost a úhly viditelnosti světel a zadní poznávací značky buď vlastními světly vozidla a poznávací značkou vozidla nebo přídavnými světly a číselným štítkem namontovaným pro tento účel; a</w:t>
      </w:r>
    </w:p>
    <w:p w:rsidR="001130A8" w:rsidRPr="00D95431" w:rsidRDefault="00CE34F6" w:rsidP="00916DE5">
      <w:pPr>
        <w:numPr>
          <w:ilvl w:val="0"/>
          <w:numId w:val="6"/>
        </w:numPr>
        <w:tabs>
          <w:tab w:val="left" w:pos="720"/>
        </w:tabs>
        <w:spacing w:after="226"/>
        <w:ind w:right="0"/>
      </w:pPr>
      <w:r>
        <w:t xml:space="preserve">vozidlo nebo připojení umístěné za vozidlem nepředstavuje žádné nebezpečí.</w:t>
      </w:r>
    </w:p>
    <w:p w:rsidR="001130A8" w:rsidRPr="00D95431" w:rsidRDefault="00CE34F6" w:rsidP="00791F05">
      <w:pPr>
        <w:keepNext/>
        <w:spacing w:after="86" w:line="265" w:lineRule="auto"/>
        <w:ind w:left="127" w:right="120" w:hanging="10"/>
        <w:jc w:val="center"/>
      </w:pPr>
      <w:r>
        <w:t xml:space="preserve">§ 26</w:t>
      </w:r>
    </w:p>
    <w:p w:rsidR="001130A8" w:rsidRPr="00D95431" w:rsidRDefault="00CE34F6">
      <w:pPr>
        <w:pStyle w:val="Heading2"/>
        <w:ind w:right="2"/>
      </w:pPr>
      <w:r>
        <w:t xml:space="preserve">Manévrovatelnost souprav vozidel</w:t>
      </w:r>
    </w:p>
    <w:p w:rsidR="001130A8" w:rsidRPr="00D95431" w:rsidRDefault="00CE34F6">
      <w:pPr>
        <w:ind w:left="-15" w:right="0"/>
      </w:pPr>
      <w:r>
        <w:t xml:space="preserve">Souprava vozidla a návěsu nepřesahující délku 16,50 metrů, souprava vícenápravového přípojného vozidla nebo přípojného vozidla s nápravou uprostřed o délce nepřesahující 18,75 m a vozidla nebo soupravy uvedené v § 24, odst. 5–7 výše musí být schopny manévrovat na obou stranách pro úplnou kruhovou trajektorii o 360° uvnitř oblasti definované dvěma soustřednými kruhy; vnější kruh má poloměr 12,50 metrů a vnitřní kruh má poloměr 5,30 metru.</w:t>
      </w:r>
      <w:r>
        <w:t xml:space="preserve"> </w:t>
      </w:r>
      <w:r>
        <w:t xml:space="preserve">Souprava návěsu bude splňovat tento požadavek, pokud vzdálenost od návěsového čepu ke středové ose neřízených náprav podvozku není větší, než</w:t>
      </w:r>
    </w:p>
    <w:p w:rsidR="001130A8" w:rsidRPr="00D95431" w:rsidRDefault="00CE34F6">
      <w:pPr>
        <w:spacing w:after="275" w:line="259" w:lineRule="auto"/>
        <w:ind w:left="10" w:right="0" w:firstLine="0"/>
        <w:jc w:val="left"/>
      </w:pPr>
      <w:r>
        <w:rPr>
    </w:rPr>
        <w:drawing>
          <wp:inline xmlns:wp="http://schemas.openxmlformats.org/drawingml/2006/wordprocessingDrawing"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 xml:space="preserve">kde L je šířka přípojného vozidla.</w:t>
      </w:r>
    </w:p>
    <w:p w:rsidR="001130A8" w:rsidRPr="00D95431" w:rsidRDefault="00CE34F6">
      <w:pPr>
        <w:ind w:left="-15" w:right="0"/>
      </w:pPr>
      <w:r>
        <w:t xml:space="preserve">Souprava sestávající z vozidla a jednoho nebo dvou přípojných vozidel o délce větší než 18,75 metrů musí být schopna otáčet se v kruhu s vnějším poloměrem 12,50 metrů a vnitřním poloměrem 2,00 metrů.</w:t>
      </w:r>
      <w:r>
        <w:t xml:space="preserve"> </w:t>
      </w:r>
      <w:r>
        <w:t xml:space="preserve">Při použití návěsu nebo vícenápravového přípojného vozidla v takové soupravě nesmí vzdálenost od návěsového čepu nebo bodu otáčení přední skupiny náprav k zadní nápravě jednonápravového přípojného vozidla nebo od středové osy neřízené zadní skupiny náprav vícenápravového přípojného vozidla překročit 8,15 metrů.</w:t>
      </w:r>
      <w:r>
        <w:t xml:space="preserve"> </w:t>
      </w:r>
      <w:r>
        <w:t xml:space="preserve">Pokud jsou všechny zadní nápravy přípojného vozidla řídící nápravy, nebo pokud jsou některé nápravy řízené nápravy, nebo pokud lze zadní nápravy s nahoře namontovanou točnou posouvat vzad pro účely spojení s druhým návěsem, mohou výše uvedené rozměry přesahovat rozměry v rozsahu ustanovení o manévrovatelnosti stanovených v tomto odstavci.</w:t>
      </w:r>
    </w:p>
    <w:p w:rsidR="001130A8" w:rsidRPr="00D95431" w:rsidRDefault="00CE34F6">
      <w:pPr>
        <w:ind w:left="-15" w:right="0"/>
      </w:pPr>
      <w:r>
        <w:t xml:space="preserve">Namísto ustanovení odstavce 2 může být souprava sestávající z motorového vozidla a jednoho nebo dvou přípojných vozidel přesahující 18,75 metrů nebo souprava sestávající z motorového vozidla a návěsu přesahující 16,50 metrů schopna zatočit tak, že se jeho vnější okraj otáčí o 120° podél kruhu s vnějším poloměrem 12,50 metrů a souprava vozidla pokračuje přímo vpřed, vnitřní okraj soupravy vytváří oblouk s poloměrem nejméně 4,00 metry.</w:t>
      </w:r>
      <w:r>
        <w:t xml:space="preserve"> </w:t>
      </w:r>
      <w:r>
        <w:t xml:space="preserve">Jakýkoli zadní roh přívěsu se při začátku otáčení nesmí pohybovat o více než 0,80 metru směrem k vnějšímu oblouku.</w:t>
      </w:r>
      <w:r>
        <w:t xml:space="preserve"> </w:t>
      </w:r>
      <w:r>
        <w:t xml:space="preserve">Je-li boční pohyb výše uvedeného přípojného vozidla menší než 0,80 metru, vnitřní okraj soupravy může vytvořit oblouk, jehož poloměr je menší než 4,00 metry o rozdíl, o který je boční posunutí zadního rohu menší než 0,80 metrů.</w:t>
      </w:r>
      <w:r>
        <w:t xml:space="preserve"> </w:t>
      </w:r>
      <w:r>
        <w:t xml:space="preserve">Vnitřní okraj soupravy však musí vytvořit oblouk o poloměru nejméně 3,7 metru.</w:t>
      </w:r>
      <w:r>
        <w:t xml:space="preserve"> </w:t>
      </w:r>
      <w:r>
        <w:t xml:space="preserve">Technické informace o vozidle a soupravě nezbytné pro prokázání shody s požadavky na manévrovatelnost musí být během přepravy k dispozici.</w:t>
      </w:r>
      <w:r>
        <w:t xml:space="preserve"> </w:t>
      </w:r>
      <w:r>
        <w:t xml:space="preserve">V případě přepravy, kdy se otáčení děje podle tohoto odstavce, musí dopravce a řidič zajistit, aby trasa zvolená k přepravě byla uskutečnitelná bez rizika kolize s konstrukcemi po stranách vozovky.</w:t>
      </w:r>
    </w:p>
    <w:p w:rsidR="001130A8" w:rsidRPr="00D95431" w:rsidRDefault="00CE34F6">
      <w:pPr>
        <w:ind w:left="-15" w:right="0"/>
      </w:pPr>
      <w:r>
        <w:t xml:space="preserve">Rozměry 16,50 metrů a 18,75 metrů soupravy uvedené v odstavcích 1 až 3 nezohledňují překročení maximálních povolených rozměrů podle § 24, odst. 5 a 6.</w:t>
      </w:r>
    </w:p>
    <w:p w:rsidR="001130A8" w:rsidRPr="00D95431" w:rsidRDefault="00CE34F6">
      <w:pPr>
        <w:spacing w:after="225"/>
        <w:ind w:left="-15" w:right="0"/>
      </w:pPr>
      <w:r>
        <w:t xml:space="preserve">Pokud je jedna nebo více neřídících nebo neřízeních náprav podvozku opatřena zařízením pro zdvihání náprav, musí být zohledněny pozice zařízení pro zdvihání náprav, které zlepšují poloměr otáčení při pomalé rychlosti při použití požadavků uvedených v odstavcích 1-3.</w:t>
      </w:r>
    </w:p>
    <w:p w:rsidR="001130A8" w:rsidRPr="00D95431" w:rsidRDefault="00CE34F6" w:rsidP="00791F05">
      <w:pPr>
        <w:keepNext/>
        <w:spacing w:after="86" w:line="265" w:lineRule="auto"/>
        <w:ind w:left="127" w:right="120" w:hanging="10"/>
        <w:jc w:val="center"/>
      </w:pPr>
      <w:r>
        <w:t xml:space="preserve">§ 27</w:t>
      </w:r>
    </w:p>
    <w:p w:rsidR="001130A8" w:rsidRPr="00D95431" w:rsidRDefault="00CE34F6">
      <w:pPr>
        <w:pStyle w:val="Heading2"/>
        <w:ind w:right="3"/>
      </w:pPr>
      <w:r>
        <w:t xml:space="preserve">Platnost ustanovení o hmotnostech a rozměrech pro ostatní vozidla</w:t>
      </w:r>
    </w:p>
    <w:p w:rsidR="001130A8" w:rsidRPr="00D95431" w:rsidRDefault="00CE34F6">
      <w:pPr>
        <w:ind w:left="-15" w:right="0"/>
      </w:pPr>
      <w:r>
        <w:t xml:space="preserve">Hmotnosti a hlavní rozměry vozidel a souprav vozidel, kromě těch, které jsou uvedeny v § 20–23, § 23 písm. a), § 24 a § 25, s výjimkou odchylek stanovených v § 27 písm. a), § 28–30, podléhají ustanovením § 19 písm. a), § 20–23, § 23 písm. a), § 24, § 25 a 27 písm. a) týkající se vozidel s minimálně odlišnou konstrukcí.</w:t>
      </w:r>
      <w:r>
        <w:t xml:space="preserve"> </w:t>
      </w:r>
      <w:r>
        <w:t xml:space="preserve">Nicméně § 27 písm. a) stanoví hlavní rozměry motocyklu, mopedu, tříkolky, čtyřkolky a lehké čtyřkolky.</w:t>
      </w:r>
      <w:r>
        <w:t xml:space="preserve"> </w:t>
      </w:r>
      <w:r>
        <w:t xml:space="preserve">§ 24 odst. 3, body1 a 3–5 se nevztahují na soupravu tahače a přípojného vozidla.</w:t>
      </w:r>
    </w:p>
    <w:p w:rsidR="001130A8" w:rsidRPr="00D95431" w:rsidRDefault="00CE34F6">
      <w:pPr>
        <w:spacing w:after="219"/>
        <w:ind w:left="227" w:right="0" w:firstLine="0"/>
      </w:pPr>
      <w:r>
        <w:t xml:space="preserve">Maximální přípustná hmotnost vozidla vybaveného kovovými pásy činí 20 tun.</w:t>
      </w:r>
    </w:p>
    <w:p w:rsidR="001130A8" w:rsidRPr="00D95431" w:rsidRDefault="00CE34F6" w:rsidP="00791F05">
      <w:pPr>
        <w:keepNext/>
        <w:spacing w:after="86" w:line="265" w:lineRule="auto"/>
        <w:ind w:left="127" w:right="120" w:hanging="10"/>
        <w:jc w:val="center"/>
      </w:pPr>
      <w:r>
        <w:t xml:space="preserve">§ 32</w:t>
      </w:r>
    </w:p>
    <w:p w:rsidR="001130A8" w:rsidRPr="00D95431" w:rsidRDefault="00CE34F6">
      <w:pPr>
        <w:pStyle w:val="Heading2"/>
        <w:ind w:right="0"/>
      </w:pPr>
      <w:r>
        <w:t xml:space="preserve">Tažená vozidla, která budou připojena k vozidlu</w:t>
      </w:r>
    </w:p>
    <w:p w:rsidR="001130A8" w:rsidRPr="00D95431" w:rsidRDefault="00CE34F6">
      <w:pPr>
        <w:ind w:left="-15" w:right="0"/>
      </w:pPr>
      <w:r>
        <w:t xml:space="preserve">Připojovací vozidlo s nápravami uprostřed kategorie O</w:t>
      </w:r>
      <w:r>
        <w:rPr>
          <w:vertAlign w:val="subscript"/>
        </w:rPr>
        <w:t xml:space="preserve">1</w:t>
      </w:r>
      <w:r>
        <w:t xml:space="preserve"> nebo O</w:t>
      </w:r>
      <w:r>
        <w:rPr>
          <w:vertAlign w:val="subscript"/>
        </w:rPr>
        <w:t xml:space="preserve">2</w:t>
      </w:r>
      <w:r>
        <w:t xml:space="preserve">, návěs kategorie O</w:t>
      </w:r>
      <w:r>
        <w:rPr>
          <w:vertAlign w:val="subscript"/>
        </w:rPr>
        <w:t xml:space="preserve">2 </w:t>
      </w:r>
      <w:r>
        <w:t xml:space="preserve">nebo připojovací vozidlo kategorie O</w:t>
      </w:r>
      <w:r>
        <w:rPr>
          <w:vertAlign w:val="subscript"/>
        </w:rPr>
        <w:t xml:space="preserve">2</w:t>
      </w:r>
      <w:r>
        <w:t xml:space="preserve"> je možné připojit k osobnímu vozidlu a dodávce (kategorie M</w:t>
      </w:r>
      <w:r>
        <w:rPr>
          <w:vertAlign w:val="subscript"/>
        </w:rPr>
        <w:t xml:space="preserve">1</w:t>
      </w:r>
      <w:r>
        <w:t xml:space="preserve"> a N</w:t>
      </w:r>
      <w:r>
        <w:rPr>
          <w:vertAlign w:val="subscript"/>
        </w:rPr>
        <w:t xml:space="preserve">2</w:t>
      </w:r>
      <w:r>
        <w:t xml:space="preserve">) a také ke speciálnímu vozidlu.</w:t>
      </w:r>
      <w:r>
        <w:t xml:space="preserve"> </w:t>
      </w:r>
      <w:r>
        <w:t xml:space="preserve">Brzdový systém návěsu nebo vícenápravového připojovacího vozidla, který má být připojen k osobnímu vozidlu nebo dodávce musí být vhodný pro dané spojení a splňovat technické požadavky platné v době prvního uvedení do provozu nebo později.</w:t>
      </w:r>
      <w:r>
        <w:t xml:space="preserve"> </w:t>
      </w:r>
      <w:r>
        <w:t xml:space="preserve">Návěs nebo vícenápravové připojovací vozidlo, které má být připojeno k osobnímu automobilu nebo dodávce, a bylo uvedeno do provozu před 1. lednem 2011, musí splňovat technické požadavky na brzdové systémy platné 1. ledna 2011 nebo později.</w:t>
      </w:r>
    </w:p>
    <w:p w:rsidR="001130A8" w:rsidRPr="00D95431" w:rsidRDefault="00CE34F6">
      <w:pPr>
        <w:ind w:left="-15" w:right="0"/>
      </w:pPr>
      <w:r>
        <w:t xml:space="preserve">K autobusu nebo dálkovému autobusu (kategorie M2 a M3) lze připojit přípojné vozidlo s nápravami uprostřed nebo přípojné vozidlo s tandemovou nápravou.</w:t>
      </w:r>
    </w:p>
    <w:p w:rsidR="001130A8" w:rsidRPr="00D95431" w:rsidRDefault="00CE34F6">
      <w:pPr>
        <w:ind w:left="227" w:right="0" w:firstLine="0"/>
      </w:pPr>
      <w:r>
        <w:t xml:space="preserve">K nákladnímu automobilu (kategorie N2 a N3) lze připojit následující vozidla:</w:t>
      </w:r>
    </w:p>
    <w:p w:rsidR="001130A8" w:rsidRPr="00D95431" w:rsidRDefault="00CE34F6" w:rsidP="00916DE5">
      <w:pPr>
        <w:numPr>
          <w:ilvl w:val="0"/>
          <w:numId w:val="7"/>
        </w:numPr>
        <w:tabs>
          <w:tab w:val="left" w:pos="810"/>
        </w:tabs>
        <w:ind w:right="0"/>
      </w:pPr>
      <w:r>
        <w:t xml:space="preserve">návěs;</w:t>
      </w:r>
    </w:p>
    <w:p w:rsidR="001130A8" w:rsidRPr="00D95431" w:rsidRDefault="00CE34F6" w:rsidP="00916DE5">
      <w:pPr>
        <w:numPr>
          <w:ilvl w:val="0"/>
          <w:numId w:val="7"/>
        </w:numPr>
        <w:tabs>
          <w:tab w:val="left" w:pos="810"/>
        </w:tabs>
        <w:ind w:right="0"/>
      </w:pPr>
      <w:r>
        <w:t xml:space="preserve">přípojné vozidlo s nápravami uprostřed;</w:t>
      </w:r>
    </w:p>
    <w:p w:rsidR="001130A8" w:rsidRPr="00D95431" w:rsidRDefault="00CE34F6" w:rsidP="00916DE5">
      <w:pPr>
        <w:numPr>
          <w:ilvl w:val="0"/>
          <w:numId w:val="7"/>
        </w:numPr>
        <w:tabs>
          <w:tab w:val="left" w:pos="810"/>
        </w:tabs>
        <w:ind w:right="0"/>
      </w:pPr>
      <w:r>
        <w:t xml:space="preserve">vícenápravové přípojné vozidlo;</w:t>
      </w:r>
    </w:p>
    <w:p w:rsidR="001130A8" w:rsidRPr="00D95431" w:rsidRDefault="00CE34F6" w:rsidP="00916DE5">
      <w:pPr>
        <w:numPr>
          <w:ilvl w:val="0"/>
          <w:numId w:val="7"/>
        </w:numPr>
        <w:tabs>
          <w:tab w:val="left" w:pos="810"/>
        </w:tabs>
        <w:ind w:right="0"/>
      </w:pPr>
      <w:r>
        <w:t xml:space="preserve">náprava s ojí a točnicí s připojeným návěsem;</w:t>
      </w:r>
    </w:p>
    <w:p w:rsidR="001130A8" w:rsidRPr="00D95431" w:rsidRDefault="00CE34F6" w:rsidP="00916DE5">
      <w:pPr>
        <w:numPr>
          <w:ilvl w:val="0"/>
          <w:numId w:val="7"/>
        </w:numPr>
        <w:tabs>
          <w:tab w:val="left" w:pos="810"/>
        </w:tabs>
        <w:ind w:right="0"/>
      </w:pPr>
      <w:r>
        <w:t xml:space="preserve">návěs s připojeným návěsem;</w:t>
      </w:r>
    </w:p>
    <w:p w:rsidR="001130A8" w:rsidRPr="00D95431" w:rsidRDefault="00CE34F6" w:rsidP="00916DE5">
      <w:pPr>
        <w:numPr>
          <w:ilvl w:val="0"/>
          <w:numId w:val="7"/>
        </w:numPr>
        <w:tabs>
          <w:tab w:val="left" w:pos="810"/>
        </w:tabs>
        <w:ind w:right="0"/>
      </w:pPr>
      <w:r>
        <w:t xml:space="preserve">návěs s připojeným přípojným vozidlem s nápravami uprostřed;</w:t>
      </w:r>
    </w:p>
    <w:p w:rsidR="001130A8" w:rsidRPr="00D95431" w:rsidRDefault="00CE34F6" w:rsidP="00916DE5">
      <w:pPr>
        <w:numPr>
          <w:ilvl w:val="0"/>
          <w:numId w:val="7"/>
        </w:numPr>
        <w:tabs>
          <w:tab w:val="left" w:pos="810"/>
        </w:tabs>
        <w:ind w:right="0"/>
      </w:pPr>
      <w:r>
        <w:t xml:space="preserve">návěs s připojeným vícenápravovým přípojným vozidlem;</w:t>
      </w:r>
    </w:p>
    <w:p w:rsidR="001130A8" w:rsidRPr="00D95431" w:rsidRDefault="00CE34F6" w:rsidP="00916DE5">
      <w:pPr>
        <w:numPr>
          <w:ilvl w:val="0"/>
          <w:numId w:val="7"/>
        </w:numPr>
        <w:tabs>
          <w:tab w:val="left" w:pos="810"/>
        </w:tabs>
        <w:ind w:right="0"/>
      </w:pPr>
      <w:r>
        <w:t xml:space="preserve">návěs s připojenou nápravou s ojí a točnicí, který je připojen k návěsu;</w:t>
      </w:r>
    </w:p>
    <w:p w:rsidR="001130A8" w:rsidRPr="00D95431" w:rsidRDefault="00CE34F6" w:rsidP="00916DE5">
      <w:pPr>
        <w:numPr>
          <w:ilvl w:val="0"/>
          <w:numId w:val="7"/>
        </w:numPr>
        <w:tabs>
          <w:tab w:val="left" w:pos="810"/>
        </w:tabs>
        <w:ind w:right="0"/>
      </w:pPr>
      <w:r>
        <w:t xml:space="preserve">náprava s ojí a točnicí s připojeným návěsem, na kterém je připojen návěs;</w:t>
      </w:r>
    </w:p>
    <w:p w:rsidR="001130A8" w:rsidRPr="00D95431" w:rsidRDefault="00CE34F6" w:rsidP="00916DE5">
      <w:pPr>
        <w:numPr>
          <w:ilvl w:val="0"/>
          <w:numId w:val="7"/>
        </w:numPr>
        <w:tabs>
          <w:tab w:val="left" w:pos="810"/>
        </w:tabs>
        <w:ind w:right="0"/>
      </w:pPr>
      <w:r>
        <w:t xml:space="preserve">návěs s připojeným návěsem;</w:t>
      </w:r>
    </w:p>
    <w:p w:rsidR="001130A8" w:rsidRPr="00D95431" w:rsidRDefault="00CE34F6" w:rsidP="00916DE5">
      <w:pPr>
        <w:numPr>
          <w:ilvl w:val="0"/>
          <w:numId w:val="7"/>
        </w:numPr>
        <w:tabs>
          <w:tab w:val="left" w:pos="810"/>
        </w:tabs>
        <w:ind w:right="0"/>
      </w:pPr>
      <w:r>
        <w:t xml:space="preserve">návěs s připojeným návěsem, ke kterému je připojen návěs;</w:t>
      </w:r>
    </w:p>
    <w:p w:rsidR="001130A8" w:rsidRPr="00D95431" w:rsidRDefault="00CE34F6">
      <w:pPr>
        <w:ind w:left="-15" w:right="0"/>
      </w:pPr>
      <w:r>
        <w:t xml:space="preserve">Pokud délka soupravy nenaloženého vozidla uvedená v odstavci 3 přesahuje 22,00 metrů, musí mít všechna vozidla v soupravě protiblokovací brzdový systém.</w:t>
      </w:r>
    </w:p>
    <w:p w:rsidR="001130A8" w:rsidRPr="00D95431" w:rsidRDefault="00CE34F6" w:rsidP="00791F05">
      <w:pPr>
        <w:keepNext/>
        <w:spacing w:after="86" w:line="265" w:lineRule="auto"/>
        <w:ind w:left="127" w:right="121" w:hanging="10"/>
        <w:jc w:val="center"/>
      </w:pPr>
      <w:r>
        <w:t xml:space="preserve">§ 32 písm. a)</w:t>
      </w:r>
    </w:p>
    <w:p w:rsidR="001130A8" w:rsidRPr="00D95431" w:rsidRDefault="00CE34F6">
      <w:pPr>
        <w:pStyle w:val="Heading2"/>
        <w:ind w:right="3"/>
      </w:pPr>
      <w:r>
        <w:t xml:space="preserve">Připojená hmotnost taženého vozidla</w:t>
      </w:r>
    </w:p>
    <w:p w:rsidR="001130A8" w:rsidRPr="00D95431" w:rsidRDefault="00CE34F6">
      <w:pPr>
        <w:ind w:left="-15" w:right="0"/>
      </w:pPr>
      <w:r>
        <w:t xml:space="preserve">Připojená hmotnost taženého vozidla </w:t>
      </w:r>
      <w:r>
        <w:t xml:space="preserve">jiného, než jsou vozidla uvedená v § 34</w:t>
      </w:r>
      <w:r>
        <w:t xml:space="preserve">, nesmí překračovat následující hmotnosti:</w:t>
      </w:r>
    </w:p>
    <w:p w:rsidR="001130A8" w:rsidRPr="00D95431" w:rsidRDefault="00CE34F6" w:rsidP="00916DE5">
      <w:pPr>
        <w:numPr>
          <w:ilvl w:val="0"/>
          <w:numId w:val="8"/>
        </w:numPr>
        <w:tabs>
          <w:tab w:val="left" w:pos="720"/>
        </w:tabs>
        <w:ind w:right="0"/>
      </w:pPr>
      <w:r>
        <w:t xml:space="preserve">maximální technicky povolenou hmotnost, kterou je možné táhnout, na základě konstrukce a výkonu vozidla a pevnosti spojovacího zařízení;</w:t>
      </w:r>
    </w:p>
    <w:p w:rsidR="001130A8" w:rsidRPr="00D95431" w:rsidRDefault="00CE34F6" w:rsidP="00916DE5">
      <w:pPr>
        <w:numPr>
          <w:ilvl w:val="0"/>
          <w:numId w:val="8"/>
        </w:numPr>
        <w:tabs>
          <w:tab w:val="left" w:pos="720"/>
        </w:tabs>
        <w:ind w:right="0"/>
      </w:pPr>
      <w:r>
        <w:t xml:space="preserve">pokud není tažené vozidlo vybaveno provozní brzdou, polovina hmotnosti tažného vozidla nepřesahující 0,75 tuny nebo v případě taženého zařízení nejvýše polovina skutečné hmotností tažného vozidla kategorie N</w:t>
      </w:r>
      <w:r>
        <w:rPr>
          <w:vertAlign w:val="subscript"/>
        </w:rPr>
        <w:t xml:space="preserve">2</w:t>
      </w:r>
      <w:r>
        <w:t xml:space="preserve"> nebo N</w:t>
      </w:r>
      <w:r>
        <w:rPr>
          <w:vertAlign w:val="subscript"/>
        </w:rPr>
        <w:t xml:space="preserve">3</w:t>
      </w:r>
      <w:r>
        <w:t xml:space="preserve">;</w:t>
      </w:r>
    </w:p>
    <w:p w:rsidR="001130A8" w:rsidRPr="00D95431" w:rsidRDefault="00CE34F6" w:rsidP="00916DE5">
      <w:pPr>
        <w:numPr>
          <w:ilvl w:val="0"/>
          <w:numId w:val="8"/>
        </w:numPr>
        <w:tabs>
          <w:tab w:val="left" w:pos="720"/>
        </w:tabs>
        <w:ind w:right="0"/>
      </w:pPr>
      <w:r>
        <w:t xml:space="preserve">pokud je tažené vozidlo, které má být připojeno k vozidlu s registrační/provozní maximální povolenou hmotností nepřesahující 3,5 tuny, vybaveno setrvačníkovými brzdami, pak je to registrační/provozní maximální povolená celková hmotnost tažného vozidla; nebo pokud je tažné vozidlo z kategorie M</w:t>
      </w:r>
      <w:r>
        <w:rPr>
          <w:vertAlign w:val="subscript"/>
        </w:rPr>
        <w:t xml:space="preserve">1</w:t>
      </w:r>
      <w:r>
        <w:t xml:space="preserve">G nebo N</w:t>
      </w:r>
      <w:r>
        <w:rPr>
          <w:vertAlign w:val="subscript"/>
        </w:rPr>
        <w:t xml:space="preserve">1</w:t>
      </w:r>
      <w:r>
        <w:t xml:space="preserve">G, pak 1,5 násobek registrační/provozní maximální povolené hmotnosti tažného vozidla, nicméně nepřesahující 3,5 tuny;</w:t>
      </w:r>
    </w:p>
    <w:p w:rsidR="001130A8" w:rsidRPr="00D95431" w:rsidRDefault="00CE34F6" w:rsidP="00916DE5">
      <w:pPr>
        <w:numPr>
          <w:ilvl w:val="0"/>
          <w:numId w:val="8"/>
        </w:numPr>
        <w:tabs>
          <w:tab w:val="left" w:pos="720"/>
        </w:tabs>
        <w:ind w:right="0"/>
      </w:pPr>
      <w:r>
        <w:t xml:space="preserve">pokud je přípojné vozidlo, které má být připojeno k vozidlu s registrační/provozní maximální povolenou hmotností přesahující 3,5 tuny, vybaveno setrvačníkovými brzdami, 3,5 tuny;</w:t>
      </w:r>
    </w:p>
    <w:p w:rsidR="001130A8" w:rsidRPr="00D95431" w:rsidRDefault="00CE34F6" w:rsidP="00916DE5">
      <w:pPr>
        <w:numPr>
          <w:ilvl w:val="0"/>
          <w:numId w:val="8"/>
        </w:numPr>
        <w:tabs>
          <w:tab w:val="left" w:pos="720"/>
        </w:tabs>
        <w:ind w:right="0"/>
      </w:pPr>
      <w:r>
        <w:t xml:space="preserve">pokud tažené vozidlo, které má být připojeno k vozidlu, není návěsem nebo odpovídající tažené zařízení je vybaveno průběžným brzdovým systémem, 1,7 násobek registrační/provozní maximální povolené hmotnosti tažného vozidla;</w:t>
      </w:r>
    </w:p>
    <w:p w:rsidR="001130A8" w:rsidRPr="00D95431" w:rsidRDefault="00CE34F6" w:rsidP="00916DE5">
      <w:pPr>
        <w:numPr>
          <w:ilvl w:val="0"/>
          <w:numId w:val="8"/>
        </w:numPr>
        <w:tabs>
          <w:tab w:val="left" w:pos="720"/>
        </w:tabs>
        <w:ind w:right="0"/>
      </w:pPr>
      <w:r>
        <w:t xml:space="preserve">Pokud nenaložené přípojné vozidlo (vozidla) připojované(-á) k vozidlu s registrační/provozní maximální povolenou hmotností přesahující 3,5, aby vytvářelo soupravu vozidel s délkou překračující 22,00 metrů, 2,5 násobek registrační/provozní maximální povolené hmotnosti tažného vozidla.</w:t>
      </w:r>
    </w:p>
    <w:p w:rsidR="001130A8" w:rsidRPr="00D95431" w:rsidRDefault="00CE34F6">
      <w:pPr>
        <w:spacing w:after="225"/>
        <w:ind w:left="-15" w:right="0"/>
      </w:pPr>
      <w:r>
        <w:t xml:space="preserve">Hmotnost na podvozku návěsu nesmí být větší než 1,7 násobek přípustné hmotnosti tažného vozidla.</w:t>
      </w:r>
    </w:p>
    <w:p w:rsidR="001130A8" w:rsidRPr="00D95431" w:rsidRDefault="00CE34F6" w:rsidP="00791F05">
      <w:pPr>
        <w:keepNext/>
        <w:spacing w:after="86" w:line="265" w:lineRule="auto"/>
        <w:ind w:left="127" w:right="121" w:hanging="10"/>
        <w:jc w:val="center"/>
      </w:pPr>
      <w:r>
        <w:t xml:space="preserve">§ 32 písm. b)</w:t>
      </w:r>
    </w:p>
    <w:p w:rsidR="001130A8" w:rsidRPr="00D95431" w:rsidRDefault="00CE34F6">
      <w:pPr>
        <w:pStyle w:val="Heading2"/>
        <w:ind w:right="2"/>
      </w:pPr>
      <w:r>
        <w:t xml:space="preserve">Požadavky na stabilitu souprav vozidel</w:t>
      </w:r>
    </w:p>
    <w:p w:rsidR="001130A8" w:rsidRPr="00D95431" w:rsidRDefault="00CE34F6">
      <w:pPr>
        <w:ind w:left="-15" w:right="0"/>
      </w:pPr>
      <w:r>
        <w:t xml:space="preserve">Souprava vozidel naložená na maximální povolenou hmotnost uvedená v § 32 odst. 3 (7-11) výše musí z hlediska rozměrů odpovídat soupravě, která má maximální hodnotu zvětšení 1,90 pro vertikální rychlost úhlového posuvu a maximální hodnotu zvětšení 4,00 pro boční zrychlení naměřené ve středu hmotnosti nákladu umístěného 1,3 metru nad podlahou ložné plochy a při rychlosti jízdy 80 km/h při zkouškách řízení podle normy ISO 14791 nebo při ekvivalentních simulacích.</w:t>
      </w:r>
    </w:p>
    <w:p w:rsidR="001130A8" w:rsidRPr="00D95431" w:rsidRDefault="00CE34F6">
      <w:pPr>
        <w:spacing w:after="225"/>
        <w:ind w:left="-15" w:right="0"/>
      </w:pPr>
      <w:r>
        <w:t xml:space="preserve">Během přepravy musí být k dispozici nezbytné technické specifikace vozidla, aby bylo prokázáno splnění požadavků na stabilitu stanovených v odstavci 1.</w:t>
      </w:r>
    </w:p>
    <w:p w:rsidR="001130A8" w:rsidRPr="00D95431" w:rsidRDefault="00CE34F6" w:rsidP="00791F05">
      <w:pPr>
        <w:keepNext/>
        <w:spacing w:after="86" w:line="265" w:lineRule="auto"/>
        <w:ind w:left="127" w:right="120" w:hanging="10"/>
        <w:jc w:val="center"/>
      </w:pPr>
      <w:r>
        <w:t xml:space="preserve">§ 33</w:t>
      </w:r>
    </w:p>
    <w:p w:rsidR="001130A8" w:rsidRPr="00D95431" w:rsidRDefault="00CE34F6">
      <w:pPr>
        <w:pStyle w:val="Heading2"/>
        <w:ind w:right="4"/>
      </w:pPr>
      <w:r>
        <w:t xml:space="preserve">Spojení vozidel a přípojných vozidel</w:t>
      </w:r>
    </w:p>
    <w:p w:rsidR="001130A8" w:rsidRPr="00D95431" w:rsidRDefault="00CE34F6">
      <w:pPr>
        <w:ind w:left="227" w:right="0" w:firstLine="0"/>
      </w:pPr>
      <w:r>
        <w:t xml:space="preserve">Pokud je přípojné vozidlo připojeno k tažnému vozidlu, musí být zajištěno, že:</w:t>
      </w:r>
    </w:p>
    <w:p w:rsidR="001130A8" w:rsidRPr="00D95431" w:rsidRDefault="00CE34F6" w:rsidP="00916DE5">
      <w:pPr>
        <w:numPr>
          <w:ilvl w:val="0"/>
          <w:numId w:val="9"/>
        </w:numPr>
        <w:tabs>
          <w:tab w:val="left" w:pos="720"/>
        </w:tabs>
        <w:ind w:right="0"/>
      </w:pPr>
      <w:r>
        <w:t xml:space="preserve">konstrukce tažného vozidla a taženého vozidla nejsou během běžných jízdních činností v kontaktu;</w:t>
      </w:r>
    </w:p>
    <w:p w:rsidR="001130A8" w:rsidRPr="00D95431" w:rsidRDefault="00CE34F6" w:rsidP="00916DE5">
      <w:pPr>
        <w:numPr>
          <w:ilvl w:val="0"/>
          <w:numId w:val="9"/>
        </w:numPr>
        <w:tabs>
          <w:tab w:val="left" w:pos="720"/>
        </w:tabs>
        <w:ind w:right="0"/>
      </w:pPr>
      <w:r>
        <w:t xml:space="preserve">má řidič jasné pole viditelnosti po stranách motorového vozidla a přípojného vozidla (vozidel) a může sledovat ostatní silniční provoz přicházející zezadu;</w:t>
      </w:r>
    </w:p>
    <w:p w:rsidR="001130A8" w:rsidRPr="00D95431" w:rsidRDefault="00CE34F6" w:rsidP="00916DE5">
      <w:pPr>
        <w:numPr>
          <w:ilvl w:val="0"/>
          <w:numId w:val="9"/>
        </w:numPr>
        <w:tabs>
          <w:tab w:val="left" w:pos="720"/>
        </w:tabs>
        <w:ind w:right="0"/>
      </w:pPr>
      <w:r>
        <w:t xml:space="preserve">brzdy a světla přípojného vozidla (vozidel) fungují v souladu s předpisy;</w:t>
      </w:r>
    </w:p>
    <w:p w:rsidR="001130A8" w:rsidRPr="00D95431" w:rsidRDefault="00CE34F6" w:rsidP="00916DE5">
      <w:pPr>
        <w:numPr>
          <w:ilvl w:val="0"/>
          <w:numId w:val="9"/>
        </w:numPr>
        <w:tabs>
          <w:tab w:val="left" w:pos="720"/>
        </w:tabs>
        <w:ind w:right="0"/>
      </w:pPr>
      <w:r>
        <w:t xml:space="preserve">pneumatické brzdy motorového vozidla a přípojného vozidla (vozidel) byly upraveny tak, aby byly vzájemně kompatibilní v souladu s předpisy.</w:t>
      </w:r>
    </w:p>
    <w:p w:rsidR="001130A8" w:rsidRPr="00D95431" w:rsidRDefault="00CE34F6">
      <w:pPr>
        <w:ind w:left="-15" w:right="0"/>
      </w:pPr>
      <w:r>
        <w:t xml:space="preserve">Kromě ustanovení stanovených v odstavci 1 výše musí mít souprava vozidla a návěsu s délkou větší než 20,00 metrů a jiné soupravy vozidel s délkou větší než 28,00 metrů:</w:t>
      </w:r>
    </w:p>
    <w:p w:rsidR="001130A8" w:rsidRPr="00D95431" w:rsidRDefault="00CE34F6" w:rsidP="00916DE5">
      <w:pPr>
        <w:numPr>
          <w:ilvl w:val="0"/>
          <w:numId w:val="10"/>
        </w:numPr>
        <w:tabs>
          <w:tab w:val="left" w:pos="720"/>
        </w:tabs>
        <w:spacing w:after="24" w:line="229" w:lineRule="auto"/>
        <w:ind w:right="0"/>
      </w:pPr>
      <w:r>
        <w:t xml:space="preserve">zařízení pro nepřímý výhled, která umožňují řidiči vidět celou stranu vnitřní křivky soupravy a přilehlou oblast během otáčení podle § 26 odst. 2 nebo 3 při otáčení na obě strany;</w:t>
      </w:r>
    </w:p>
    <w:p w:rsidR="001130A8" w:rsidRPr="00D95431" w:rsidRDefault="00CE34F6" w:rsidP="00916DE5">
      <w:pPr>
        <w:numPr>
          <w:ilvl w:val="0"/>
          <w:numId w:val="10"/>
        </w:numPr>
        <w:tabs>
          <w:tab w:val="left" w:pos="720"/>
        </w:tabs>
        <w:ind w:right="0"/>
      </w:pPr>
      <w:r>
        <w:t xml:space="preserve">propracovaný systém nouzového brzdění a systém varování při opuštění jízdního pruhu v tažném vozidle;</w:t>
      </w:r>
    </w:p>
    <w:p w:rsidR="001130A8" w:rsidRPr="00D95431" w:rsidRDefault="00CE34F6" w:rsidP="00916DE5">
      <w:pPr>
        <w:numPr>
          <w:ilvl w:val="0"/>
          <w:numId w:val="10"/>
        </w:numPr>
        <w:tabs>
          <w:tab w:val="left" w:pos="720"/>
        </w:tabs>
        <w:ind w:right="0"/>
      </w:pPr>
      <w:r>
        <w:t xml:space="preserve">elektronické řízení stability a elektricky ovládané brzdy ve všech vozidlech v soupravě;</w:t>
      </w:r>
    </w:p>
    <w:p w:rsidR="001130A8" w:rsidRPr="00D95431" w:rsidRDefault="00CE34F6" w:rsidP="00916DE5">
      <w:pPr>
        <w:numPr>
          <w:ilvl w:val="0"/>
          <w:numId w:val="10"/>
        </w:numPr>
        <w:tabs>
          <w:tab w:val="left" w:pos="720"/>
        </w:tabs>
        <w:ind w:right="0"/>
      </w:pPr>
      <w:r>
        <w:t xml:space="preserve">informace u řidiče o hmotnosti na každé jednotlivé nápravě a podvozku; informace se požadují pouze pro přední nápravu tažného vozidla, je-li náprava vybavena vzduchovým odpružením.</w:t>
      </w:r>
    </w:p>
    <w:p w:rsidR="001130A8" w:rsidRPr="00D95431" w:rsidRDefault="00CE34F6">
      <w:pPr>
        <w:ind w:left="-15" w:right="0"/>
      </w:pPr>
      <w:r>
        <w:t xml:space="preserve">U motorových vozidel se čtyřmi nebo více nápravami, vozidel kategorie N3G a souprav nákladního vozu a dvou návěsů se však nevyžaduje, aby byly vybaveny sofistikovaným systémem nouzového brzdění a systémem výstrahy před opuštěním jízdního pruhu uvedeným výše v pododdíle 2 v odstavci 2 nebo elektronickou kontrolou stability uvedenou v odstavci 3.</w:t>
      </w:r>
    </w:p>
    <w:p w:rsidR="001130A8" w:rsidRPr="00D95431" w:rsidRDefault="00CE34F6">
      <w:pPr>
        <w:spacing w:after="224"/>
        <w:ind w:left="-15" w:right="0"/>
      </w:pPr>
      <w:r>
        <w:t xml:space="preserve">Během přepravy musí být k dispozici nezbytné technické specifikace vozidla, aby bylo prokázáno splnění požadavků stanovených v odstavci 2.</w:t>
      </w:r>
    </w:p>
    <w:p w:rsidR="001130A8" w:rsidRPr="00D95431" w:rsidRDefault="00CE34F6" w:rsidP="00791F05">
      <w:pPr>
        <w:keepNext/>
        <w:spacing w:after="86" w:line="265" w:lineRule="auto"/>
        <w:ind w:left="127" w:right="120" w:hanging="10"/>
        <w:jc w:val="center"/>
      </w:pPr>
      <w:r>
        <w:t xml:space="preserve">§ 36</w:t>
      </w:r>
    </w:p>
    <w:p w:rsidR="001130A8" w:rsidRPr="00D95431" w:rsidRDefault="00CE34F6">
      <w:pPr>
        <w:pStyle w:val="Heading2"/>
        <w:ind w:right="3"/>
      </w:pPr>
      <w:r>
        <w:t xml:space="preserve">Spojení tažených vozidel s motorizovanými pracovními stroji a terénními vozidly</w:t>
      </w:r>
    </w:p>
    <w:p w:rsidR="001130A8" w:rsidRPr="00D95431" w:rsidRDefault="00CE34F6">
      <w:pPr>
        <w:ind w:left="-15" w:right="0"/>
      </w:pPr>
      <w:r>
        <w:t xml:space="preserve">Tažené vozidlo, karavan nebo odpovídající tažené zařízení mohou být spojeny s motorizovaným pracovním strojem, pokud se tažené vozidlo používá k přepravě paliva a maziva pro pracovní stroj, a také pokud zařízení a příslušenství souvisí s prací.</w:t>
      </w:r>
      <w:r>
        <w:t xml:space="preserve"> </w:t>
      </w:r>
      <w:r>
        <w:t xml:space="preserve">Připojená hmotnost taženého vozidla nesmí překročit hmotnost nenaloženého motorizovaného pracovního stroje.</w:t>
      </w:r>
    </w:p>
    <w:p w:rsidR="001130A8" w:rsidRPr="00D95431" w:rsidRDefault="00CE34F6">
      <w:pPr>
        <w:ind w:left="-15" w:right="0"/>
      </w:pPr>
      <w:r>
        <w:t xml:space="preserve">Motorizovaný pracovní stroj používaný jako tažný traktor může být spojen s taženým vozidlem (vozidly) pro přepravu nenaložených nebo naložených přípojných vozidel nebo kontejnerů, pokud jsou použity v oblasti přístavu nebo terminálu.</w:t>
      </w:r>
    </w:p>
    <w:p w:rsidR="001130A8" w:rsidRPr="00D95431" w:rsidRDefault="00CE34F6">
      <w:pPr>
        <w:spacing w:after="224"/>
        <w:ind w:left="-15" w:right="0"/>
      </w:pPr>
      <w:r>
        <w:t xml:space="preserve">Připojovací vozidlo může být spojeno s terénním vozidlem, pokud jeho připojená hmotnost není větší než 1,5 násobek hmotnosti nenaloženého terénního vozidla.</w:t>
      </w:r>
    </w:p>
    <w:p w:rsidR="001130A8" w:rsidRPr="00D95431" w:rsidRDefault="00CE34F6" w:rsidP="00791F05">
      <w:pPr>
        <w:keepNext/>
        <w:spacing w:after="86" w:line="265" w:lineRule="auto"/>
        <w:ind w:left="127" w:right="120" w:hanging="10"/>
        <w:jc w:val="center"/>
      </w:pPr>
      <w:r>
        <w:t xml:space="preserve">§ 45</w:t>
      </w:r>
    </w:p>
    <w:p w:rsidR="001130A8" w:rsidRPr="00D95431" w:rsidRDefault="00CE34F6">
      <w:pPr>
        <w:pStyle w:val="Heading2"/>
        <w:ind w:right="1"/>
      </w:pPr>
      <w:r>
        <w:t xml:space="preserve">Přeprava zboží</w:t>
      </w:r>
    </w:p>
    <w:p w:rsidR="001130A8" w:rsidRPr="00D95431" w:rsidRDefault="00CE34F6">
      <w:pPr>
        <w:ind w:left="-15" w:right="0"/>
      </w:pPr>
      <w:r>
        <w:t xml:space="preserve">Vozidlo nesmí být naloženo tak, aby náklad vyčníval do boku za hranici karoserie nebo ložné plochy vozidla.</w:t>
      </w:r>
      <w:r>
        <w:t xml:space="preserve"> </w:t>
      </w:r>
      <w:r>
        <w:t xml:space="preserve">Pokud vozidlo nemá karosérii, může zatížení na ložné ploše překročit šířku vozidla měřenou při přední nápravě maximálně o 0,35 metru.</w:t>
      </w:r>
      <w:r>
        <w:t xml:space="preserve"> </w:t>
      </w:r>
      <w:r>
        <w:t xml:space="preserve">Toto omezení se ale nevztahuje na přepravu lodi.</w:t>
      </w:r>
    </w:p>
    <w:p w:rsidR="001130A8" w:rsidRPr="00D95431" w:rsidRDefault="00CE34F6">
      <w:pPr>
        <w:ind w:left="-15" w:right="0"/>
      </w:pPr>
      <w:r>
        <w:t xml:space="preserve">Při maximálních povolených omezeních délky u vozidel a jízdních souprav může náklad vyčnívat směrem dopředu přes čelo maximálně o jeden metr a dozadu o maximálně dva metry za nejzazší bod vozidla.</w:t>
      </w:r>
      <w:r>
        <w:t xml:space="preserve"> </w:t>
      </w:r>
      <w:r>
        <w:t xml:space="preserve">Pokud ale jízdní souprava nesplňuje požadavky na ovladatelnost podle § 26 odst. 1 nebo 2, smí náklad sahat maximálně jeden metr za nejzazší bod vozidla vzadu.</w:t>
      </w:r>
      <w:r>
        <w:t xml:space="preserve"> </w:t>
      </w:r>
      <w:r>
        <w:t xml:space="preserve">Náklad na vozidle ale smí překročit maximální povolenou délku směrem dozadu, pokud je k vozidlu připojeno přípojné vozidlo.</w:t>
      </w:r>
      <w:r>
        <w:t xml:space="preserve"> </w:t>
      </w:r>
      <w:r>
        <w:t xml:space="preserve">Náklad může navíc překročit maximální povolenou délku v případě daného tažného vozidla při krátkých přejezdech souvisejících s nakládkou a vykládkou.</w:t>
      </w:r>
      <w:r>
        <w:t xml:space="preserve"> </w:t>
      </w:r>
      <w:r>
        <w:t xml:space="preserve">Požadavek na překročení maximální povolené délky je takový, že při postupu u nakládky nesmí vznikat riziko, že náklad nacházející se na tažném vozidle narazí do přípojného vozidla nebo do nákladu na něm.</w:t>
      </w:r>
      <w:r>
        <w:t xml:space="preserve"> </w:t>
      </w:r>
      <w:r>
        <w:t xml:space="preserve">V ostatních ohledech nesmí proces nakládky představovat riziko pro bezpečnost provozu.</w:t>
      </w:r>
    </w:p>
    <w:p w:rsidR="001130A8" w:rsidRPr="00D95431" w:rsidRDefault="00CE34F6">
      <w:pPr>
        <w:ind w:left="-15" w:right="0"/>
      </w:pPr>
      <w:r>
        <w:t xml:space="preserve">Hmotnost zboží přepravovaného na střeše osobního automobilu (kategorie M</w:t>
      </w:r>
      <w:r>
        <w:rPr>
          <w:vertAlign w:val="subscript"/>
        </w:rPr>
        <w:t xml:space="preserve">1</w:t>
      </w:r>
      <w:r>
        <w:t xml:space="preserve">) nesmí v mezích povolených hmotností vozidla překročit 10 % hmotnosti nenaloženého vozidla.</w:t>
      </w:r>
    </w:p>
    <w:p w:rsidR="001130A8" w:rsidRPr="00D95431" w:rsidRDefault="00CE34F6">
      <w:pPr>
        <w:ind w:left="-15" w:right="0"/>
      </w:pPr>
      <w:r>
        <w:t xml:space="preserve">Pro přepravu maximálně 50 kg zboží lze použít dvoukolové motokolo a pro přepravu 100 kg zboží lze použít motokolo s alespoň třemi koly.</w:t>
      </w:r>
      <w:r>
        <w:t xml:space="preserve"> </w:t>
      </w:r>
      <w:r>
        <w:t xml:space="preserve">V případě motokola určeného pro přepravu zboží však nesmí celková hmotnost osob a zboží dohromady v souladu s celkovou hmotností povolenou výrobcem přesáhnout 250 kilogramů, pokud je ovladatelnost motokola určeného pro přepravu zboží a jeho přípojného vozidla výrobcem zajištěna pomocí přídavných kol nebo brzdových zařízení nebo jiných řešení.</w:t>
      </w:r>
    </w:p>
    <w:p w:rsidR="001130A8" w:rsidRPr="00D95431" w:rsidRDefault="00CE34F6">
      <w:pPr>
        <w:ind w:left="-15" w:right="0"/>
      </w:pPr>
      <w:r>
        <w:t xml:space="preserve">S výjimkou přeprav s přípojným vozidlem podle § 36 odst. 1 nesmí být motorizovaný pracovní stroj používán k jiným přepravám než k přepravám realizovaným v místě výkonu prací a vyplývajících z vlastního zamýšleného účelu použití tohoto pracovního stroje.</w:t>
      </w:r>
    </w:p>
    <w:p w:rsidR="001130A8" w:rsidRPr="00D95431" w:rsidRDefault="00CE34F6">
      <w:pPr>
        <w:ind w:left="-15" w:right="0"/>
      </w:pPr>
      <w:r>
        <w:t xml:space="preserve">V případě lehkého elektrického vozidla smí celková hmotnost osob a zboží odpovídat maximální přípustné hmotnosti oznámené výrobcem, která nepřesahuje 250 kilogramů.</w:t>
      </w:r>
    </w:p>
    <w:p w:rsidR="001130A8" w:rsidRPr="00D95431" w:rsidRDefault="00CE34F6">
      <w:pPr>
        <w:ind w:left="-15" w:right="0"/>
      </w:pPr>
      <w:r>
        <w:t xml:space="preserve">Celková hmotnost osob a zboží nesmí překročit maximální přípustnou hmotnost deklarovanou výrobcem.</w:t>
      </w:r>
      <w:r>
        <w:t xml:space="preserve"> </w:t>
      </w:r>
      <w:r>
        <w:t xml:space="preserve">Celková hmotnost osob a zboží ve vozidle určeném pro přepravu zboží však nesmí překročit:</w:t>
      </w:r>
    </w:p>
    <w:p w:rsidR="001130A8" w:rsidRPr="00D95431" w:rsidRDefault="00CE34F6">
      <w:pPr>
        <w:ind w:left="227" w:right="711" w:firstLine="0"/>
      </w:pPr>
      <w:r>
        <w:t xml:space="preserve">1) 375 kilogramů v případě tříkolového mopedu navrženého pro užitkové účely nebo lehké čtyřkolky pro užitkové účely; 2) 675 kilogramů v případě čtyřkolky na silnici nebo těžké terénní čtyřkolky;</w:t>
      </w:r>
    </w:p>
    <w:p w:rsidR="001130A8" w:rsidRPr="00D95431" w:rsidRDefault="00CE34F6">
      <w:pPr>
        <w:spacing w:after="225"/>
        <w:ind w:left="227" w:right="0" w:firstLine="0"/>
      </w:pPr>
      <w:r>
        <w:t xml:space="preserve">3) 1 075 kg v případě komerčních tříkolek nebo těžkých čtyřkolek pro užitkové účely.</w:t>
      </w:r>
    </w:p>
    <w:p w:rsidR="001130A8" w:rsidRPr="00D95431" w:rsidRDefault="00CE34F6" w:rsidP="00791F05">
      <w:pPr>
        <w:keepNext/>
        <w:spacing w:after="86" w:line="265" w:lineRule="auto"/>
        <w:ind w:left="127" w:right="120" w:hanging="10"/>
        <w:jc w:val="center"/>
      </w:pPr>
      <w:r>
        <w:t xml:space="preserve">§ 46</w:t>
      </w:r>
    </w:p>
    <w:p w:rsidR="001130A8" w:rsidRPr="00D95431" w:rsidRDefault="00CE34F6">
      <w:pPr>
        <w:pStyle w:val="Heading2"/>
        <w:ind w:right="3"/>
      </w:pPr>
      <w:r>
        <w:t xml:space="preserve">Pozice nákladu</w:t>
      </w:r>
    </w:p>
    <w:p w:rsidR="001130A8" w:rsidRPr="00D95431" w:rsidRDefault="00CE34F6">
      <w:pPr>
        <w:ind w:left="-15" w:right="0"/>
      </w:pPr>
      <w:r>
        <w:t xml:space="preserve">Náklad musí být konzistentní jednotka a musí být umístěn co nejníže.</w:t>
      </w:r>
      <w:r>
        <w:t xml:space="preserve"> </w:t>
      </w:r>
      <w:r>
        <w:t xml:space="preserve">Střed nákladového prostoru musí být co nejnižší a umístěn v blízkosti podélné středové osy vozidla.</w:t>
      </w:r>
      <w:r>
        <w:t xml:space="preserve"> </w:t>
      </w:r>
      <w:r>
        <w:t xml:space="preserve">V soupravě vozidla a více přípojných vozidel musí být náklad umístěn co nejblíže k přední straně, přičemž se musí zohlednit celá souprava.</w:t>
      </w:r>
      <w:r>
        <w:t xml:space="preserve"> </w:t>
      </w:r>
      <w:r>
        <w:t xml:space="preserve">Vozidlo nesmí být naloženo takovým způsobem, aby těžiště vozidla bylo výše, než je pro vozidlo technicky přípustné.</w:t>
      </w:r>
    </w:p>
    <w:p w:rsidR="001130A8" w:rsidRPr="00D95431" w:rsidRDefault="00CE34F6">
      <w:pPr>
        <w:ind w:left="-15" w:right="0"/>
      </w:pPr>
      <w:r>
        <w:t xml:space="preserve">V maximální možné míře, musí být zajištěna podpora nákladu pro přístup k ložné ploše zepředu.</w:t>
      </w:r>
      <w:r>
        <w:t xml:space="preserve"> </w:t>
      </w:r>
      <w:r>
        <w:t xml:space="preserve">Jakékoli ostré části nákladu musí směrovat dozadu.</w:t>
      </w:r>
    </w:p>
    <w:p w:rsidR="001130A8" w:rsidRPr="00D95431" w:rsidRDefault="00CE34F6">
      <w:pPr>
        <w:spacing w:after="224"/>
        <w:ind w:left="-15" w:right="0"/>
      </w:pPr>
      <w:r>
        <w:t xml:space="preserve">Připojovací vozidlo s nápravou uprostřed musí být naloženo tak, aby na spojovací zařízení tažného vozidla působila síla směrem dolů.</w:t>
      </w:r>
      <w:r>
        <w:t xml:space="preserve"> </w:t>
      </w:r>
      <w:r>
        <w:t xml:space="preserve">Síla působící směrem dolů nesmí překročit10 procent povolené hmotnosti na nápravy přípojného vozidla nebo síly rovnající se hmotnosti 1 000 kilogramů, podle toho, která síla je menší.</w:t>
      </w:r>
      <w:r>
        <w:t xml:space="preserve"> </w:t>
      </w:r>
      <w:r>
        <w:t xml:space="preserve">Síla působící směrem dolů nesmí překročit síly povolené pro připojená vozidla nebo spojovací zařízení.</w:t>
      </w:r>
    </w:p>
    <w:p w:rsidR="001130A8" w:rsidRPr="00D95431" w:rsidRDefault="00CE34F6" w:rsidP="00791F05">
      <w:pPr>
        <w:keepNext/>
        <w:spacing w:after="86" w:line="265" w:lineRule="auto"/>
        <w:ind w:left="127" w:right="121" w:hanging="10"/>
        <w:jc w:val="center"/>
      </w:pPr>
      <w:r>
        <w:t xml:space="preserve">§ 51 písm. b)</w:t>
      </w:r>
    </w:p>
    <w:p w:rsidR="001130A8" w:rsidRPr="00D95431" w:rsidRDefault="00CE34F6">
      <w:pPr>
        <w:pStyle w:val="Heading2"/>
        <w:ind w:right="1"/>
      </w:pPr>
      <w:r>
        <w:t xml:space="preserve">Označení pro dlouhé soupravy vozidel</w:t>
      </w:r>
    </w:p>
    <w:p w:rsidR="001130A8" w:rsidRPr="00D95431" w:rsidRDefault="00CE34F6">
      <w:pPr>
        <w:ind w:left="-15" w:right="0"/>
      </w:pPr>
      <w:r>
        <w:t xml:space="preserve">Souprava vozidel s délkou větší než 15,5 metrů složená z nákladního automobilu a přípojného vozidla (vozidel) musí mít tabulku s označením srovnatelnou s původní verzí předpisu UN/ECE č. 70 ve znění pozdější série změn.</w:t>
      </w:r>
      <w:r>
        <w:t xml:space="preserve"> </w:t>
      </w:r>
      <w:r>
        <w:t xml:space="preserve">Alternativně může být tabulka s označením připojena na soupravu vozidla.</w:t>
      </w:r>
      <w:r>
        <w:t xml:space="preserve"> </w:t>
      </w:r>
      <w:r>
        <w:t xml:space="preserve">Rozměry uvedené tabulky s označením musí být nejméně 0,30 metru x 0,80 metru a musí mít černé vyobrazení soupravy vozidla na žlutém retroreflexním pozadí s červeným fluorescenčním nebo retroreflexním okrajem o šířce 25 milimetrů, pod kterým může být uvedena délka soupravy.</w:t>
      </w:r>
    </w:p>
    <w:p w:rsidR="001130A8" w:rsidRPr="00D95431" w:rsidRDefault="00CE34F6">
      <w:pPr>
        <w:ind w:left="-15" w:right="0"/>
      </w:pPr>
      <w:r>
        <w:t xml:space="preserve">Vedle výše uvedených ustanovení uvedených v odstavci 1 musí mít souprava nákladního automobilu a návěsu s délkou větší než 18,75 m a ostatní soupravy vozidel o délce větší než 25,25 m retroreflexní obrysové značení na straně vozidel a doplňková koncová obrysová světla, uvedená v odstavci 6.13 předpisu UN/ECE č. 48, která jsou namontována na posledním přípojném vozidle.</w:t>
      </w:r>
    </w:p>
    <w:p w:rsidR="001130A8" w:rsidRPr="00D95431" w:rsidRDefault="00CE34F6">
      <w:pPr>
        <w:spacing w:after="230"/>
        <w:ind w:left="-15" w:right="0"/>
      </w:pPr>
      <w:r>
        <w:t xml:space="preserve">Souprava vozidel s délkou větší než 25,25 metru musí mít tabulku s označením o velikosti minimálně 0,45 metru</w:t>
      </w:r>
      <w:r>
        <w:rPr>
          <w:vertAlign w:val="superscript"/>
        </w:rPr>
        <w:t xml:space="preserve">2</w:t>
      </w:r>
      <w:r>
        <w:t xml:space="preserve">.</w:t>
      </w:r>
      <w:r>
        <w:t xml:space="preserve"> </w:t>
      </w:r>
      <w:r>
        <w:t xml:space="preserve">Barevné a retroreflexní charakteristiky musí být v souladu s požadavky předpisu UN/ECE č. 70 a musí obsahovat finský výraz „PITKÄ“ nebo odpovídající slovo ve švédštině nebo angličtině, napsané velkými písmeny o velikosti nejméně 200 mm.</w:t>
      </w:r>
      <w:r>
        <w:t xml:space="preserve"> </w:t>
      </w:r>
      <w:r>
        <w:t xml:space="preserve">Kromě toho tabulka musí obsahovat obrázek soupravy vozidel v černé barvě s označením délky této soupravy pod ním.</w:t>
      </w:r>
      <w:r>
        <w:t xml:space="preserve"> </w:t>
      </w:r>
      <w:r>
        <w:t xml:space="preserve">Tabulka uvedená v tomto odstavci může být nahrazena tabulkou podle odstavce 1.</w:t>
      </w:r>
    </w:p>
    <w:p w:rsidR="001130A8" w:rsidRPr="00D95431" w:rsidRDefault="00CE34F6" w:rsidP="00791F05">
      <w:pPr>
        <w:keepNext/>
        <w:spacing w:after="86" w:line="265" w:lineRule="auto"/>
        <w:ind w:left="127" w:right="120" w:hanging="10"/>
        <w:jc w:val="center"/>
      </w:pPr>
      <w:r>
        <w:t xml:space="preserve">§ 52</w:t>
      </w:r>
    </w:p>
    <w:p w:rsidR="001130A8" w:rsidRPr="00D95431" w:rsidRDefault="00CE34F6" w:rsidP="00791F05">
      <w:pPr>
        <w:keepNext/>
        <w:spacing w:after="123" w:line="252" w:lineRule="auto"/>
        <w:ind w:left="2461" w:right="0" w:hanging="2476"/>
        <w:jc w:val="left"/>
      </w:pPr>
      <w:r>
        <w:rPr>
          <w:i/>
        </w:rPr>
        <w:t xml:space="preserve">Schválení vozidel a souprav vozidel, která mají být uvedena do provozu s odchylkou od ustanovení o rozměrech a hmotnostech</w:t>
      </w:r>
    </w:p>
    <w:p w:rsidR="001130A8" w:rsidRPr="00D95431" w:rsidRDefault="00CE34F6">
      <w:pPr>
        <w:spacing w:after="225"/>
        <w:ind w:left="-15" w:right="0"/>
      </w:pPr>
      <w:r>
        <w:t xml:space="preserve">Finský úřad pro dopravu a komunikace může udělit výjimku z ustanovení § 20, § 21, § 23, § 23 písm. a), § 24-26, § 31, § 32, § 32 písm. a), § 32 písm. b) individuálnímu motorovému vozidlu nebo soupravě vozidel, je-li to nezbytné za účelem testování nových technologií, vývoje produktů nebo jiného zvláštního důvodu.</w:t>
      </w:r>
      <w:r>
        <w:t xml:space="preserve"> </w:t>
      </w:r>
      <w:r>
        <w:t xml:space="preserve">Kromě toho výjimka nesmí ohrozit bezpečnost silničního provozu a nesmí narušovat hospodářskou soutěž.</w:t>
      </w:r>
      <w:r>
        <w:t xml:space="preserve"> </w:t>
      </w:r>
      <w:r>
        <w:t xml:space="preserve">Osvobození může být uděleno na dobu určitou a může být podmíněno dalšími podmínkami.</w:t>
      </w:r>
    </w:p>
    <w:p w:rsidR="001130A8" w:rsidRPr="00D95431" w:rsidRDefault="00CE34F6" w:rsidP="00791F05">
      <w:pPr>
        <w:keepNext/>
        <w:spacing w:after="86" w:line="265" w:lineRule="auto"/>
        <w:ind w:left="127" w:right="120" w:hanging="10"/>
        <w:jc w:val="center"/>
      </w:pPr>
      <w:r>
        <w:t xml:space="preserve">§ 57</w:t>
      </w:r>
    </w:p>
    <w:p w:rsidR="001130A8" w:rsidRPr="00D95431" w:rsidRDefault="00CE34F6">
      <w:pPr>
        <w:pStyle w:val="Heading2"/>
        <w:ind w:right="2"/>
      </w:pPr>
      <w:r>
        <w:t xml:space="preserve">Přechodná ustanovení</w:t>
      </w:r>
    </w:p>
    <w:p w:rsidR="001130A8" w:rsidRPr="00D95431" w:rsidRDefault="00CE34F6">
      <w:pPr>
        <w:ind w:left="-15" w:right="0"/>
      </w:pPr>
      <w:r>
        <w:t xml:space="preserve">Zákaz volnoběhu uvedený v § 5 výnosu platí pro pohotovostní vozidla a motorová vozidla v dopravě podléhající povolení od 1. října 1993.</w:t>
      </w:r>
    </w:p>
    <w:p w:rsidR="001130A8" w:rsidRPr="00D95431" w:rsidRDefault="00CE34F6">
      <w:pPr>
        <w:ind w:left="-15" w:right="0"/>
      </w:pPr>
      <w:r>
        <w:t xml:space="preserve">Vozidlo se čtyřmi nápravami uvedené do provozu před 1. lednem 1994 podle § 21 odst. 1 bodu 6 výnosu podléhá ustanovením o hmotnosti vozidla platným k 31. prosinci 1993.</w:t>
      </w:r>
      <w:r>
        <w:t xml:space="preserve"> </w:t>
      </w:r>
      <w:r>
        <w:t xml:space="preserve">Vozidlo uvedené do provozu před výše uvedeným datem musí splňovat také ustanovení o celkové hmotnosti umístěné mezi vnějšími nápravami motorového vozidla platná k 31. prosinci 1993.</w:t>
      </w:r>
    </w:p>
    <w:p w:rsidR="001130A8" w:rsidRPr="00D95431" w:rsidRDefault="00CE34F6">
      <w:pPr>
        <w:ind w:left="-15" w:right="0"/>
      </w:pPr>
      <w:r>
        <w:t xml:space="preserve">Vozidlo schválené pro provoz nebo, pokud není nutné jeho samostatné schválení, které je používáno v dopravě před vstupem tohoto výnosu v platnost, se může v dopravě nadále používat v souladu s podmínkami stanovenými v předpisech a nařízeních platných v době vstupu v platnost tohoto výnosu nebo uvedených v tomto výnosu.</w:t>
      </w:r>
    </w:p>
    <w:p w:rsidR="001130A8" w:rsidRPr="00D95431" w:rsidRDefault="00CE34F6">
      <w:pPr>
        <w:spacing w:after="0" w:line="265" w:lineRule="auto"/>
        <w:ind w:left="127" w:right="119" w:hanging="10"/>
        <w:jc w:val="center"/>
      </w:pPr>
      <w:r>
        <w:t xml:space="preserve">————</w:t>
      </w:r>
    </w:p>
    <w:p w:rsidR="001130A8" w:rsidRPr="00D95431" w:rsidRDefault="00CE34F6">
      <w:pPr>
        <w:ind w:left="227" w:right="0" w:firstLine="0"/>
      </w:pPr>
      <w:r>
        <w:t xml:space="preserve">Tento výnos vstupuje v platnost dne 21. ledna 2019.</w:t>
      </w:r>
    </w:p>
    <w:p w:rsidR="001130A8" w:rsidRPr="00D95431" w:rsidRDefault="00CE34F6">
      <w:pPr>
        <w:ind w:left="-15" w:right="0"/>
      </w:pPr>
      <w:r>
        <w:t xml:space="preserve">Pokud bylo přípojné vozidlo uvedeno do provozu před 1. lednem 2019, bude § 22 výnosu platit od 1. ledna 2024.</w:t>
      </w:r>
    </w:p>
    <w:p w:rsidR="001130A8" w:rsidRPr="00D95431" w:rsidRDefault="00CE34F6">
      <w:pPr>
        <w:ind w:left="-15" w:right="0"/>
      </w:pPr>
      <w:r>
        <w:t xml:space="preserve">Pokud bylo přípojné vozidlo uvedeno do provozu před 1. lednem 2019, platí od 1. ledna 2024 požadavek na systém elektronického řízení stability stanovený v § 33 odst. 2 bodu 3 výnosu platit od 1. ledna 2024.</w:t>
      </w:r>
    </w:p>
    <w:p w:rsidR="001130A8" w:rsidRPr="00D95431" w:rsidRDefault="00CE34F6">
      <w:pPr>
        <w:ind w:left="-15" w:right="0"/>
      </w:pPr>
      <w:r>
        <w:t xml:space="preserve">Pokud bylo přípojné vozidlo uvedeno do provozu před 1. lednem 2019, pak bez ohledu na ustanovení § 23 odst. 1 týkající se soupravy vozidla a návěsu, ustanovení vztahující se na hmotnost soupravy vozidla a návěsu platná v době vstupu tohoto výnosu v platnost, mohou být na soupravu vozidla a návěsu uplatňována do 31. prosince 2023.</w:t>
      </w:r>
    </w:p>
    <w:p w:rsidR="001130A8" w:rsidRPr="00D95431" w:rsidRDefault="00CE34F6">
      <w:pPr>
        <w:ind w:left="-15" w:right="0"/>
      </w:pPr>
      <w:r>
        <w:t xml:space="preserve">Pokud bylo tažné vozidlo nebo tažené vozidlo uvedeno do provozu před 1. dubnem 2019, pak souprava vozidla tvořená vozidlem a přípojným vozidlem nebo více přípojnými vozidly musí od 1. ledna 2024 splňovat požadavek na součet hmotností nesených nejzadnějším podvozkem tažného vozidla a předním podvozkem přípojného vozidla stanovený v § 23 odst. 3.</w:t>
      </w:r>
    </w:p>
    <w:p w:rsidR="001130A8" w:rsidRPr="00D95431" w:rsidRDefault="00CE34F6">
      <w:pPr>
        <w:spacing w:after="397"/>
        <w:ind w:left="-15" w:right="0" w:firstLine="0"/>
      </w:pPr>
      <w:r>
        <w:t xml:space="preserve">V Helsinkách, 10. ledna 2019</w:t>
      </w:r>
    </w:p>
    <w:p w:rsidR="001130A8" w:rsidRPr="00D95431" w:rsidRDefault="00CE34F6">
      <w:pPr>
        <w:spacing w:after="760" w:line="265" w:lineRule="auto"/>
        <w:ind w:left="127" w:right="120" w:hanging="10"/>
        <w:jc w:val="center"/>
      </w:pPr>
      <w:r>
        <w:t xml:space="preserve">ministryně dopravy a komunikací </w:t>
      </w:r>
      <w:r>
        <w:t xml:space="preserve">Anne Berner</w:t>
      </w:r>
    </w:p>
    <w:p w:rsidR="001130A8" w:rsidRPr="00D95431" w:rsidRDefault="00CE34F6" w:rsidP="00916DE5">
      <w:pPr>
        <w:spacing w:after="0" w:line="264" w:lineRule="auto"/>
        <w:ind w:left="14" w:right="-14" w:hanging="14"/>
        <w:jc w:val="right"/>
      </w:pPr>
      <w:r>
        <w:t xml:space="preserve">odborný poradce Aino Still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rPr>
        <mc:AlternateContent xmlns:mc="http://schemas.openxmlformats.org/markup-compatibility/2006">
          <mc:Choice Requires="wpg">
            <w:drawing>
              <wp:inline xmlns:wp="http://schemas.openxmlformats.org/drawingml/2006/wordprocessingDrawing" distT="0" distB="0" distL="0" distR="0">
                <wp:extent cx="4968240" cy="5334"/>
                <wp:effectExtent l="0" t="0" r="0" b="0"/>
                <wp:docPr id="16948" name="Group 169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68240" cy="5334"/>
                          <a:chOff x="0" y="0"/>
                          <a:chExt cx="4968240" cy="5334"/>
                        </a:xfrm>
                      </wpg:grpSpPr>
                      <wps:wsp xmlns:wps="http://schemas.microsoft.com/office/word/2010/wordprocessingShape">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VYDALO:</w:t>
      </w:r>
      <w:r>
        <w:rPr>
          <w:color w:val="221F1F"/>
          <w:sz w:val="13"/>
        </w:rPr>
        <w:t xml:space="preserve"> </w:t>
      </w:r>
      <w:r>
        <w:t xml:space="preserve">MINISTERSTVO SPRAVEDLNOSTI</w:t>
        <w:tab/>
      </w:r>
      <w:r>
        <w:rPr>
          <w:color w:val="221F1F"/>
          <w:sz w:val="13"/>
        </w:rPr>
        <w:t xml:space="preserve">ISSN 1455-8904</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3AF" w:rsidRDefault="003253AF">
      <w:pPr>
        <w:spacing w:after="0" w:line="240" w:lineRule="auto"/>
      </w:pPr>
      <w:r>
        <w:separator/>
      </w:r>
    </w:p>
  </w:endnote>
  <w:endnote xmlns:w15="http://schemas.microsoft.com/office/word/2012/wordml"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16</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w:t>
    </w:r>
    <w: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3AF" w:rsidRDefault="003253AF">
      <w:pPr>
        <w:spacing w:after="0" w:line="240" w:lineRule="auto"/>
      </w:pPr>
      <w:r>
        <w:separator/>
      </w:r>
    </w:p>
  </w:footnote>
  <w:footnote xmlns:w15="http://schemas.microsoft.com/office/word/2012/wordml" w:type="continuationSeparator" w:id="0">
    <w:p w:rsidR="003253AF" w:rsidRDefault="003253A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r>
      <w:t xml:space="preserve">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6D5710-3404-4D49-9E46-8038CC8DBFD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2"/>
        <w:szCs w:val="22"/>
        <w:lang w:val="cs-CZ" w:eastAsia="en-GB" w:bidi="en-GB"/>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xmlns:w15="http://schemas.microsoft.com/office/word/2012/wordml"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xmlns:w15="http://schemas.microsoft.com/office/word/2012/wordml"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2"/>
    </w:rPr>
  </w:style>
  <w:style xmlns:w15="http://schemas.microsoft.com/office/word/2012/wordml" w:type="character" w:customStyle="1" w:styleId="Heading2Char">
    <w:name w:val="Heading 2 Char"/>
    <w:link w:val="Heading2"/>
    <w:rPr>
      <w:rFonts w:ascii="Times New Roman" w:eastAsia="Times New Roman" w:hAnsi="Times New Roman" w:cs="Times New Roman"/>
      <w:i/>
      <w:color w:val="000000"/>
      <w:sz w:val="22"/>
    </w:rPr>
  </w:style>
  <w:style xmlns:w15="http://schemas.microsoft.com/office/word/2012/wordml" w:type="table" w:customStyle="1" w:styleId="TableGrid">
    <w:name w:val="TableGrid"/>
    <w:pPr>
      <w:spacing w:after="0" w:line="240" w:lineRule="auto"/>
    </w:pPr>
    <w:tblPr>
      <w:tblCellMar>
        <w:top w:w="0" w:type="dxa"/>
        <w:left w:w="0" w:type="dxa"/>
        <w:bottom w:w="0" w:type="dxa"/>
        <w:right w:w="0" w:type="dxa"/>
      </w:tblCellMar>
    </w:tblPr>
  </w:style>
  <w:style xmlns:w15="http://schemas.microsoft.com/office/word/2012/wordml"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val="cs-CZ" w:eastAsia="en-GB"/>
    </w:rPr>
  </w:style>
  <w:style xmlns:w15="http://schemas.microsoft.com/office/word/2012/wordml"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6363</Words>
  <Characters>36272</Characters>
  <Application>Microsoft Office Word</Application>
  <DocSecurity>0</DocSecurity>
  <Lines>302</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ZAGHINI, Francesco</cp:lastModifiedBy>
  <cp:revision>14</cp:revision>
  <dcterms:created xsi:type="dcterms:W3CDTF">2019-04-15T13:27:00Z</dcterms:created>
  <dcterms:modified xsi:type="dcterms:W3CDTF">2019-12-11T10:29:00Z</dcterms:modified>
</cp:coreProperties>
</file>