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228E" w14:textId="4C5C5123" w:rsidR="004D4E99" w:rsidRPr="000B4DE0" w:rsidRDefault="004D4E99" w:rsidP="000B4DE0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0111 D MT- ------ 20200318 --- --- PROJET</w:t>
      </w:r>
    </w:p>
    <w:p w14:paraId="73350666" w14:textId="25523EF7" w:rsidR="00AB116C" w:rsidRPr="004D4E99" w:rsidRDefault="00AB116C" w:rsidP="004D4E99">
      <w:pPr>
        <w:pStyle w:val="VorblattDokumentstatus"/>
        <w:keepNext/>
        <w:keepLines/>
      </w:pPr>
      <w:r>
        <w:t>Abbozz ta’ liġi tal-Ministeru Federali għall-Ikel u l-Agrikoltura</w:t>
      </w:r>
    </w:p>
    <w:p w14:paraId="54437F0C" w14:textId="77777777" w:rsidR="00DB61EB" w:rsidRPr="004D4E99" w:rsidRDefault="00DB61EB" w:rsidP="004D4E99">
      <w:pPr>
        <w:pStyle w:val="VorblattBezeichnung"/>
        <w:keepNext/>
        <w:keepLines/>
      </w:pPr>
    </w:p>
    <w:p w14:paraId="3C6DE346" w14:textId="77777777" w:rsidR="00AB116C" w:rsidRPr="004D4E99" w:rsidRDefault="00AB116C" w:rsidP="004D4E99">
      <w:pPr>
        <w:pStyle w:val="VorblattBezeichnung"/>
        <w:keepNext/>
        <w:keepLines/>
      </w:pPr>
      <w:r>
        <w:t xml:space="preserve">L-Ewwel Regolament li jemenda r-Regolament ta’ Implimentazzjoni ta’ Informazzjoni dwar l-Ikel </w:t>
      </w:r>
    </w:p>
    <w:p w14:paraId="5EB4CE31" w14:textId="77777777" w:rsidR="00AB116C" w:rsidRPr="004D4E99" w:rsidRDefault="00AB116C" w:rsidP="004D4E99">
      <w:pPr>
        <w:pStyle w:val="VorblattTitelProblemundZiel"/>
        <w:keepNext/>
        <w:keepLines/>
      </w:pPr>
      <w:r>
        <w:t>A. Problema u objettiv</w:t>
      </w:r>
    </w:p>
    <w:p w14:paraId="59571EDE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>Fil-Ġermanja, 47 fil-mija tan-nisa, 62 fil-mija tal-irġiel u 15 fil-mija tat-tfal u l-adolexxenti għandhom piż żejjed. Waħda mir-raġunijiet għal dan hija l-konsum ta’ ikel li mil-lat ta’ nutrizzjoni huwa ħażin wisq.</w:t>
      </w:r>
    </w:p>
    <w:p w14:paraId="7E480828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F’dan l-isfond, il-Gvern Federali stabbilixxa l-għan li jiżviluppa ulterjorament it-tikkettar dwar nutrizzjoni fil-Ġermanja kollha, sabiex jipprovdi informazzjoni sempliċi u li tinftiehem dwar il-proprjetajiet nutrittivi ta’ ikel. </w:t>
      </w:r>
    </w:p>
    <w:p w14:paraId="2C6DDABF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Studji komprensivi (Rapport preliminari mill-Istitut Max Rubner: Valutazzjoni ta’ mudelli magħżula ta’ tikketti dwar nutrizzjoni fuq quddiem tal-pakkett (front-of-pack); evalwazzjoni ta’ mudelli estiżi ta’ tikkettar dwar nutrizzjoni: Ir-riżultati tal-istħarriġ rappreżentattiv ta’ INFO GmbH u diskussjonijiet tal-grupp fokus juru li t-tikketta Nutri-Score hija xjentifikament valida u l-iktar perċettibbli u li tinftiehem mill-konsumaturi. </w:t>
      </w:r>
    </w:p>
    <w:p w14:paraId="0D6DA0BD" w14:textId="77777777" w:rsidR="00AB116C" w:rsidRPr="004D4E99" w:rsidRDefault="00AB116C" w:rsidP="004D4E99">
      <w:pPr>
        <w:pStyle w:val="Text"/>
      </w:pPr>
      <w:r>
        <w:t>Nutri-Score hija marka kollettiva tal-Unjoni Ewropea rreġistrata fl-Uffiċċju tal-Propjetà Intellettwali tal-Unjoni Ewropea (EUIPO) f’isem Agence nationale de la santé publique Franċiża (fil-qosor: Santé publique France – Aġenzija Nazzjonali għas-Saħħa Pubblika bħala Organizzazzjoni tal-Ministeru għas-Saħħa Franċiż) bħala proprjetarju tat-trade mark. Għall-użu tal-marka Nutri-Score minn partijiet terzi, iridu jitqiesu r-rekwiżiti primarjament rilevanti tal-Liġi dwar it-Trademarks, inklużi l-kundizzjonijiet stipulati mill-proprjetarju tat-trade mark.</w:t>
      </w:r>
    </w:p>
    <w:p w14:paraId="41BC33D9" w14:textId="77777777" w:rsidR="004E3C6A" w:rsidRPr="004D4E99" w:rsidRDefault="004E3C6A" w:rsidP="004D4E99">
      <w:pPr>
        <w:pStyle w:val="Text"/>
      </w:pPr>
      <w:r>
        <w:t xml:space="preserve">Skala ta’ ħames livelli minn A sa E turi valur totali ta’ Nutri-Score għall-valur nutrittiv ta’ prodott. Biex tagħmel dan, in-numru ta’ kaloriji u diversi valuri nutrittivi jitqabblu ma’ xulxin. </w:t>
      </w:r>
    </w:p>
    <w:p w14:paraId="6C1DE6B8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>Fil-Ġermanja għandhom jinħolqu r-rekwiżiti legali għall-ittikkettar tal-ikel għall-</w:t>
      </w:r>
      <w:r>
        <w:t xml:space="preserve">użu tat-tikketta Nutri-Score fil-Ġermanja permezz tal-klawżola ta’ riżerva. </w:t>
      </w:r>
    </w:p>
    <w:p w14:paraId="52290758" w14:textId="77777777" w:rsidR="00AB116C" w:rsidRPr="004D4E99" w:rsidRDefault="00AB116C" w:rsidP="004D4E99">
      <w:pPr>
        <w:pStyle w:val="VorblattTitelLsung"/>
        <w:keepNext/>
        <w:keepLines/>
      </w:pPr>
      <w:r>
        <w:t>B. Soluzzjoni</w:t>
      </w:r>
    </w:p>
    <w:p w14:paraId="0B0BA765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Bażi legali għall-użu volontarju tat-tikketta Nutri-Score fil-Ġermanja. </w:t>
      </w:r>
    </w:p>
    <w:p w14:paraId="59217ACC" w14:textId="77777777" w:rsidR="00AB116C" w:rsidRPr="004D4E99" w:rsidRDefault="00AB116C" w:rsidP="004D4E99">
      <w:pPr>
        <w:pStyle w:val="VorblattTitelAlternativen"/>
        <w:keepNext/>
        <w:keepLines/>
      </w:pPr>
      <w:r>
        <w:t>C. Alternattivi</w:t>
      </w:r>
    </w:p>
    <w:p w14:paraId="550B39B1" w14:textId="1C85B5AF" w:rsidR="00F047E3" w:rsidRPr="004D4E99" w:rsidRDefault="00F047E3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Fl-istudji msemmija taħt A., ġie eżaminat numru ta’ mudelli ta’ tikkettar dwar nutrizzjoni estiż (fosthom Keyhole®, il-Mudell tal-Industrija tal-Ikel, il-Mudell tal-Istitut Max Rubner). L-istudji juru li t-tikketta Nutri-Score hija xjentifikament valida u l-iktar perċettibbli u li tinftiehem mill-konsumaturi. </w:t>
      </w:r>
    </w:p>
    <w:p w14:paraId="26338DEE" w14:textId="77777777" w:rsidR="00AB116C" w:rsidRPr="004D4E99" w:rsidRDefault="00AB116C" w:rsidP="004D4E99">
      <w:pPr>
        <w:pStyle w:val="VorblattTitelHaushaltsausgabenohneErfllungsaufwand"/>
        <w:keepNext/>
        <w:keepLines/>
      </w:pPr>
      <w:r>
        <w:t>D. Nefqa tal-baġit mingħajr spejjeż ta’ konformità</w:t>
      </w:r>
    </w:p>
    <w:p w14:paraId="22D8B835" w14:textId="77777777" w:rsidR="00AB116C" w:rsidRPr="004D4E99" w:rsidRDefault="00AB116C" w:rsidP="004D4E99">
      <w:pPr>
        <w:pStyle w:val="VorblattTitelErfllungsaufwand"/>
        <w:keepNext/>
        <w:keepLines/>
      </w:pPr>
      <w:r>
        <w:t>E. Spejjeż ta’ konformità</w:t>
      </w:r>
    </w:p>
    <w:p w14:paraId="6F1F8D70" w14:textId="77777777" w:rsidR="00AB116C" w:rsidRPr="004D4E99" w:rsidRDefault="00AB116C" w:rsidP="004D4E99">
      <w:pPr>
        <w:pStyle w:val="VorblattTitelErfllungsaufwandBrgerinnenundBrger"/>
        <w:keepNext/>
        <w:keepLines/>
      </w:pPr>
      <w:r>
        <w:t>E.1 Spejjeż ta’ konformità għaċ-ċittadini</w:t>
      </w:r>
    </w:p>
    <w:p w14:paraId="2881E6C4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Ma tirriżulta l-ebda spiża ta’ konformità għaċ-ċittadini. </w:t>
      </w:r>
    </w:p>
    <w:p w14:paraId="1A7EC865" w14:textId="77777777" w:rsidR="00AB116C" w:rsidRPr="004D4E99" w:rsidRDefault="00AB116C" w:rsidP="004D4E99">
      <w:pPr>
        <w:pStyle w:val="VorblattTitelErfllungsaufwandWirtschaft"/>
        <w:keepNext/>
        <w:keepLines/>
      </w:pPr>
      <w:r>
        <w:lastRenderedPageBreak/>
        <w:t>E.2 Spejjeż ta’ konformità għan-negozji</w:t>
      </w:r>
    </w:p>
    <w:p w14:paraId="357A658B" w14:textId="74D68949" w:rsidR="00AB116C" w:rsidRPr="004D4E99" w:rsidRDefault="002F0011" w:rsidP="004D4E99">
      <w:pPr>
        <w:pStyle w:val="Text"/>
      </w:pPr>
      <w:r>
        <w:t xml:space="preserve">In-negozji mhumiex se jġarrbu spejjeż ta’ konformità addizzjonali. </w:t>
      </w:r>
    </w:p>
    <w:p w14:paraId="33965A77" w14:textId="77777777" w:rsidR="00AB116C" w:rsidRPr="004D4E99" w:rsidRDefault="00AB116C" w:rsidP="004D4E99">
      <w:pPr>
        <w:pStyle w:val="VorblattTitelErfllungsaufwandVerwaltung"/>
        <w:keepNext/>
        <w:keepLines/>
      </w:pPr>
      <w:r>
        <w:t>E.3 Spejjeż ta’ konformità għall-amministrazzjoni</w:t>
      </w:r>
    </w:p>
    <w:p w14:paraId="2A196052" w14:textId="015D0325" w:rsidR="00AB116C" w:rsidRPr="004D4E99" w:rsidRDefault="002F0011" w:rsidP="004D4E99">
      <w:pPr>
        <w:pStyle w:val="Text"/>
      </w:pPr>
      <w:r>
        <w:rPr>
          <w:rStyle w:val="Marker"/>
          <w:color w:val="auto"/>
        </w:rPr>
        <w:t xml:space="preserve">Għall-amministrazzjoni ma tirriżulta l-ebda spiża ta’ konformità addizzjonali. </w:t>
      </w:r>
    </w:p>
    <w:p w14:paraId="2A910281" w14:textId="77777777" w:rsidR="00AB116C" w:rsidRPr="004D4E99" w:rsidRDefault="00AB116C" w:rsidP="004D4E99">
      <w:pPr>
        <w:pStyle w:val="VorblattTitelWeitereKosten"/>
        <w:keepNext/>
        <w:keepLines/>
      </w:pPr>
      <w:r>
        <w:t>F. Spejjeż oħra</w:t>
      </w:r>
    </w:p>
    <w:p w14:paraId="1819EB1A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Effetti notevoli fuq il-prezzijiet unitarji ma jistgħux jiġu esklużi għal kollox. Mhuwiex mistenni impatt fuq il-livell tal-prezzijiet ġenerali, b’mod partikolari fuq il-livell tal-prezzijiet għall-konsumaturi. </w:t>
      </w:r>
    </w:p>
    <w:p w14:paraId="355D0EED" w14:textId="44C49E7F" w:rsidR="002F0011" w:rsidRPr="004D4E99" w:rsidRDefault="002F0011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Permezz tal-użu tas-simbolu Nutri Score, in-negozji jistgħu jġarrbu spejjeż addizzjonali, li madankollu jistgħu jiġu ġeneralment stmati bħala negliġibbli. </w:t>
      </w:r>
    </w:p>
    <w:p w14:paraId="5EB6A175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</w:p>
    <w:p w14:paraId="4B8906C4" w14:textId="77777777" w:rsidR="00AB116C" w:rsidRPr="004D4E99" w:rsidRDefault="00AB116C" w:rsidP="004D4E99">
      <w:pPr>
        <w:pStyle w:val="Dokumentstatus"/>
        <w:keepNext/>
        <w:keepLines/>
        <w:pageBreakBefore/>
      </w:pPr>
      <w:r>
        <w:lastRenderedPageBreak/>
        <w:t>Abbozz Ministerjali tal-Ministeru Federali għall-Ikel u l-Agrikoltura</w:t>
      </w:r>
    </w:p>
    <w:p w14:paraId="62D56DB5" w14:textId="77777777" w:rsidR="00AB116C" w:rsidRPr="004D4E99" w:rsidRDefault="00AB116C" w:rsidP="004D4E99">
      <w:pPr>
        <w:pStyle w:val="Bezeichnungnderungsdokument"/>
        <w:keepNext/>
        <w:keepLines/>
      </w:pPr>
      <w:r>
        <w:t>L-Ewwel Regolament li jemenda r-Regolament ta’ Implimentazzjoni ta’ Informazzjoni dwar l-Ikel</w:t>
      </w:r>
      <w:r>
        <w:rPr>
          <w:rStyle w:val="FootnoteReference"/>
        </w:rPr>
        <w:footnoteReference w:customMarkFollows="1" w:id="1"/>
        <w:t>*)</w:t>
      </w:r>
    </w:p>
    <w:p w14:paraId="30DEB729" w14:textId="77777777" w:rsidR="00AB116C" w:rsidRPr="004D4E99" w:rsidRDefault="00AB116C" w:rsidP="004D4E99">
      <w:pPr>
        <w:pStyle w:val="Ausfertigungsdatumnderungsdokument"/>
      </w:pPr>
      <w:r>
        <w:t>Mill-...</w:t>
      </w:r>
    </w:p>
    <w:p w14:paraId="6B2563C7" w14:textId="33BC6EDA" w:rsidR="00AB116C" w:rsidRPr="004D4E99" w:rsidRDefault="00AB116C" w:rsidP="004D4E99">
      <w:pPr>
        <w:pStyle w:val="EingangsformelStandardnderungsdokument"/>
      </w:pPr>
      <w:r>
        <w:t>Abbażi tal-punt 1 ta’ § 35 tal-Kodiċi tal-Ikel u tal-Għalf fil-verżjoni pubblikata tat</w:t>
      </w:r>
      <w:r>
        <w:noBreakHyphen/>
        <w:t>3 ta’ Ġunju 2013 (Gazzetta tal-Liġi Federali  I p. 1426), emendata bil-punt 6 tal-Artikolu 67 tar-Regolament tad-31 ta’ Awwissu 2015 (Gazzetta tal-Liġi Federali I p. 1474), il-Ministeru Federali għall-Ikel u l-Agrikoltura, bi ftehim mal-Ministeru Federali għall-Affarijiet Ekonomiċi u l-Enerġija, jordna:</w:t>
      </w:r>
    </w:p>
    <w:p w14:paraId="4FB86449" w14:textId="6FEC2D31" w:rsidR="004D4E99" w:rsidRPr="004D4E99" w:rsidRDefault="004D4E99" w:rsidP="004D4E99">
      <w:pPr>
        <w:pStyle w:val="Artikelberschrift"/>
        <w:keepLines/>
        <w:spacing w:before="480"/>
      </w:pPr>
      <w:r>
        <w:t>Artikolu 1</w:t>
      </w:r>
    </w:p>
    <w:p w14:paraId="69CDBB97" w14:textId="77777777" w:rsidR="00AB116C" w:rsidRPr="004D4E99" w:rsidRDefault="00AB116C" w:rsidP="004D4E99">
      <w:pPr>
        <w:pStyle w:val="Artikelberschrift"/>
        <w:keepLines/>
      </w:pPr>
      <w:bookmarkStart w:id="0" w:name="_Toc20911408"/>
      <w:r>
        <w:t>Emenda tar-Regolament ta’ Implimentazzjoni ta’ Informazzjoni dwar l-Ikel</w:t>
      </w:r>
      <w:bookmarkEnd w:id="0"/>
    </w:p>
    <w:p w14:paraId="14A290BC" w14:textId="77777777" w:rsidR="00AB116C" w:rsidRPr="004D4E99" w:rsidRDefault="00AB116C" w:rsidP="004D4E99">
      <w:pPr>
        <w:pStyle w:val="JuristischerAbsatznichtnummeriert"/>
        <w:rPr>
          <w:rStyle w:val="Marker"/>
          <w:b/>
          <w:color w:val="auto"/>
          <w:sz w:val="28"/>
        </w:rPr>
      </w:pPr>
      <w:r>
        <w:rPr>
          <w:rStyle w:val="Marker"/>
          <w:color w:val="auto"/>
        </w:rPr>
        <w:t>Ir-Regolament ta’ Implimentazzjoni ta’ Informazzjoni dwar l-Ikel tal</w:t>
      </w:r>
      <w:r>
        <w:rPr>
          <w:rStyle w:val="Marker"/>
          <w:color w:val="auto"/>
        </w:rPr>
        <w:noBreakHyphen/>
        <w:t xml:space="preserve">5 ta’ Lulju 2017 (Gazzetta tal-Liġi Federali I p. 2272) huwa emendat kif ġej:  </w:t>
      </w:r>
    </w:p>
    <w:p w14:paraId="3B973FF5" w14:textId="77777777" w:rsidR="00AB116C" w:rsidRPr="004D4E99" w:rsidRDefault="00AB116C" w:rsidP="004D4E99">
      <w:pPr>
        <w:pStyle w:val="NummerierungStufe1"/>
        <w:rPr>
          <w:rStyle w:val="Marker"/>
          <w:color w:val="auto"/>
        </w:rPr>
      </w:pPr>
      <w:r>
        <w:rPr>
          <w:rStyle w:val="Marker"/>
          <w:color w:val="auto"/>
        </w:rPr>
        <w:t>Wara § 4 jiżdied § 4a li ġej:</w:t>
      </w:r>
    </w:p>
    <w:p w14:paraId="347D74AB" w14:textId="77777777" w:rsidR="00AB116C" w:rsidRPr="004D4E99" w:rsidRDefault="00AB116C" w:rsidP="004D4E99">
      <w:pPr>
        <w:pStyle w:val="RevisionParagraphBezeichnermanuell"/>
        <w:keepLines/>
        <w:ind w:left="432" w:hanging="75"/>
        <w:rPr>
          <w:color w:val="auto"/>
        </w:rPr>
      </w:pPr>
      <w:r>
        <w:t>“§ 4a</w:t>
      </w:r>
    </w:p>
    <w:p w14:paraId="4BF195B8" w14:textId="77777777" w:rsidR="00AB116C" w:rsidRPr="004D4E99" w:rsidRDefault="00AB116C" w:rsidP="004D4E99">
      <w:pPr>
        <w:pStyle w:val="RevisionParagraphberschrift"/>
        <w:keepLines/>
        <w:ind w:left="432"/>
        <w:rPr>
          <w:color w:val="auto"/>
        </w:rPr>
      </w:pPr>
      <w:r>
        <w:rPr>
          <w:rStyle w:val="Marker"/>
          <w:color w:val="auto"/>
        </w:rPr>
        <w:t>Tikkettar dwar nutrizzjoni estiż</w:t>
      </w:r>
    </w:p>
    <w:p w14:paraId="0E098645" w14:textId="77777777" w:rsidR="00AB116C" w:rsidRPr="004D4E99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>Il-persuna responsabbli skont is-sentenza 2 tal-Artikolu 8(1) jew (4) tar-Regolament (UE) Nru 1169/2011 tista’ tqiegħed fis-suq ikel bit-tikketta Nutri-Score murija fl-anness, li hija rreġistrata bħala marka kollettiva fl-Uffiċċju tal-Propjetà Intellettwali tal-Unjoni Ewropea.</w:t>
      </w:r>
    </w:p>
    <w:p w14:paraId="1E70B10D" w14:textId="77777777" w:rsidR="00AB116C" w:rsidRPr="004D4E99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L-użu tat-tikketta Nutri-Score huwa volontarju. </w:t>
      </w:r>
    </w:p>
    <w:p w14:paraId="64450B19" w14:textId="77777777" w:rsidR="00AB116C" w:rsidRPr="004D4E99" w:rsidRDefault="009E1F4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Skont is-sentenza 2 tal-Artikolu 8(1) jew (4) tar-Regolament (UE) Nru 1169/2011 l-użu tat-tikketta Nutri-Score partikolarment jeħtieġ li l-persuna responsabbli </w:t>
      </w:r>
    </w:p>
    <w:p w14:paraId="47C7B3F2" w14:textId="77777777" w:rsidR="00AB116C" w:rsidRPr="004D4E99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tkun kisbet il-kunsens meħtieġ mill-proprjetarju tat-trade mark u</w:t>
      </w:r>
    </w:p>
    <w:p w14:paraId="534F1A0A" w14:textId="77777777" w:rsidR="00AB116C" w:rsidRPr="004D4E99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jikkonforma mal-kundizzjonijiet tal-proprjetarju tat-trade mark għall-użu tal-marka.</w:t>
      </w:r>
    </w:p>
    <w:p w14:paraId="1CA6C448" w14:textId="7093041E" w:rsidR="004E3C6A" w:rsidRPr="004D4E99" w:rsidRDefault="004E3C6A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>Il-Ministeru Federali għall-Ikel u l-Agrikoltura jista’ jippubblika dan li ġej fil-Gazzetta Federali għall-ksib tal-kunsens skont il-paragrafu 3(1):</w:t>
      </w:r>
    </w:p>
    <w:p w14:paraId="44C4BF0B" w14:textId="77777777" w:rsidR="004E3C6A" w:rsidRPr="004D4E99" w:rsidRDefault="004E3C6A" w:rsidP="004D4E99">
      <w:pPr>
        <w:pStyle w:val="RevisionNummerierungStufe2"/>
        <w:numPr>
          <w:ilvl w:val="0"/>
          <w:numId w:val="0"/>
        </w:numPr>
        <w:ind w:left="425"/>
        <w:rPr>
          <w:color w:val="auto"/>
        </w:rPr>
      </w:pPr>
      <w:r>
        <w:rPr>
          <w:color w:val="auto"/>
        </w:rPr>
        <w:t xml:space="preserve">1. </w:t>
      </w:r>
      <w:r>
        <w:rPr>
          <w:color w:val="auto"/>
        </w:rPr>
        <w:tab/>
        <w:t>Formoli tal-kampjun bil-lingwa Ġermaniża,</w:t>
      </w:r>
    </w:p>
    <w:p w14:paraId="4AE1EE60" w14:textId="77777777" w:rsidR="004E3C6A" w:rsidRDefault="004E3C6A" w:rsidP="004D4E99">
      <w:pPr>
        <w:pStyle w:val="RevisionNummerierungStufe2"/>
        <w:numPr>
          <w:ilvl w:val="0"/>
          <w:numId w:val="0"/>
        </w:numPr>
        <w:ind w:left="425"/>
        <w:rPr>
          <w:color w:val="auto"/>
        </w:rPr>
      </w:pPr>
      <w:r>
        <w:rPr>
          <w:color w:val="auto"/>
        </w:rPr>
        <w:t>2. Id-</w:t>
      </w:r>
      <w:r>
        <w:rPr>
          <w:i/>
          <w:iCs/>
          <w:color w:val="auto"/>
        </w:rPr>
        <w:t>data</w:t>
      </w:r>
      <w:r>
        <w:rPr>
          <w:color w:val="auto"/>
        </w:rPr>
        <w:t xml:space="preserve"> tal-input bil-Ġermaniż u l-indirizz tal-posta elettronika huma ssettjati b’tali mod li l-posta elettronika li tidħol tiġi awtomatikament mibgħuta lill-proprjetarju tat-trade mark.”</w:t>
      </w:r>
    </w:p>
    <w:p w14:paraId="4CE137F5" w14:textId="77777777" w:rsidR="004D4E99" w:rsidRPr="004D4E99" w:rsidRDefault="004D4E99" w:rsidP="004D4E99">
      <w:pPr>
        <w:pStyle w:val="RevisionNummerierungStufe2"/>
        <w:numPr>
          <w:ilvl w:val="0"/>
          <w:numId w:val="0"/>
        </w:numPr>
        <w:ind w:left="425"/>
        <w:rPr>
          <w:color w:val="auto"/>
        </w:rPr>
      </w:pPr>
    </w:p>
    <w:p w14:paraId="7784283B" w14:textId="77777777" w:rsidR="00C74E1B" w:rsidRPr="004D4E99" w:rsidRDefault="000604EE" w:rsidP="004D4E99">
      <w:pPr>
        <w:pStyle w:val="NummerierungStufe1"/>
        <w:keepNext/>
        <w:keepLines/>
        <w:rPr>
          <w:rStyle w:val="Marker"/>
          <w:color w:val="auto"/>
        </w:rPr>
      </w:pPr>
      <w:r>
        <w:rPr>
          <w:rStyle w:val="Marker"/>
          <w:color w:val="auto"/>
        </w:rPr>
        <w:lastRenderedPageBreak/>
        <w:t>Huwa miżjud dan l-anness li ġej:</w:t>
      </w:r>
    </w:p>
    <w:p w14:paraId="24085CB7" w14:textId="77777777" w:rsidR="00C74E1B" w:rsidRPr="004D4E99" w:rsidRDefault="00C74E1B" w:rsidP="004D4E99">
      <w:pPr>
        <w:keepNext/>
        <w:keepLines/>
      </w:pPr>
    </w:p>
    <w:p w14:paraId="6FD9A6EE" w14:textId="77777777" w:rsidR="00AB116C" w:rsidRPr="004D4E99" w:rsidRDefault="00AB116C" w:rsidP="004D4E99">
      <w:pPr>
        <w:pStyle w:val="RevisionAnlageBezeichner"/>
        <w:keepNext/>
        <w:keepLines/>
        <w:rPr>
          <w:color w:val="auto"/>
        </w:rPr>
      </w:pPr>
      <w:r>
        <w:rPr>
          <w:color w:val="auto"/>
        </w:rPr>
        <w:t>“Anness</w:t>
      </w:r>
    </w:p>
    <w:p w14:paraId="0BE5D91F" w14:textId="77777777" w:rsidR="00AB116C" w:rsidRPr="004D4E99" w:rsidRDefault="00AB116C" w:rsidP="004D4E99">
      <w:pPr>
        <w:pStyle w:val="RevisionAnlageVerweis"/>
        <w:keepNext/>
        <w:keepLines/>
        <w:rPr>
          <w:color w:val="auto"/>
        </w:rPr>
      </w:pPr>
      <w:r>
        <w:rPr>
          <w:color w:val="auto"/>
        </w:rPr>
        <w:t>(fuq § 4a(1))</w:t>
      </w:r>
    </w:p>
    <w:p w14:paraId="0BC73A07" w14:textId="77777777" w:rsidR="00AB116C" w:rsidRPr="004D4E99" w:rsidRDefault="00AB116C" w:rsidP="004D4E99">
      <w:pPr>
        <w:pStyle w:val="RevisionAnlageberschrift"/>
        <w:keepNext/>
        <w:keepLines/>
        <w:rPr>
          <w:color w:val="auto"/>
        </w:rPr>
      </w:pPr>
      <w:r>
        <w:rPr>
          <w:color w:val="auto"/>
        </w:rPr>
        <w:t>Illustrazzjoni tat-tikketta Nutri-Score</w:t>
      </w:r>
    </w:p>
    <w:p w14:paraId="7509E81F" w14:textId="77777777" w:rsidR="00AB116C" w:rsidRDefault="00AB116C" w:rsidP="004D4E99">
      <w:pPr>
        <w:pStyle w:val="RevisionAnlageberschrift"/>
        <w:rPr>
          <w:rStyle w:val="RevisionText"/>
          <w:color w:val="auto"/>
        </w:rPr>
      </w:pPr>
      <w:r>
        <w:rPr>
          <w:noProof/>
          <w:color w:val="auto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visionText"/>
          <w:color w:val="auto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4D4E99" w:rsidRPr="00960052" w14:paraId="60D3C697" w14:textId="77777777" w:rsidTr="004D4E99">
        <w:tc>
          <w:tcPr>
            <w:tcW w:w="4502" w:type="dxa"/>
          </w:tcPr>
          <w:p w14:paraId="519728B4" w14:textId="1ED52059" w:rsidR="004D4E99" w:rsidRPr="00960052" w:rsidRDefault="004D4E99" w:rsidP="004D4E99">
            <w:pPr>
              <w:spacing w:before="0" w:after="0"/>
            </w:pPr>
            <w:r w:rsidRPr="00960052">
              <w:t>NUTRI-SCORE</w:t>
            </w:r>
          </w:p>
        </w:tc>
        <w:tc>
          <w:tcPr>
            <w:tcW w:w="4503" w:type="dxa"/>
          </w:tcPr>
          <w:p w14:paraId="2F0152D7" w14:textId="3F3DB840" w:rsidR="004D4E99" w:rsidRDefault="004D4E99" w:rsidP="004D4E99">
            <w:pPr>
              <w:spacing w:before="0" w:after="0"/>
            </w:pPr>
            <w:r>
              <w:t>NUTRI-SCORE</w:t>
            </w:r>
          </w:p>
        </w:tc>
      </w:tr>
    </w:tbl>
    <w:p w14:paraId="4124E883" w14:textId="77777777" w:rsidR="004D4E99" w:rsidRPr="004D4E99" w:rsidRDefault="004D4E99" w:rsidP="004D4E99"/>
    <w:p w14:paraId="181AD557" w14:textId="0348CC8A" w:rsidR="00AB116C" w:rsidRPr="004D4E99" w:rsidRDefault="004D4E99" w:rsidP="004D4E99">
      <w:pPr>
        <w:pStyle w:val="Artikelberschrift"/>
        <w:keepLines/>
        <w:spacing w:before="480"/>
      </w:pPr>
      <w:r>
        <w:t>Artikolu 2</w:t>
      </w:r>
    </w:p>
    <w:p w14:paraId="5877299E" w14:textId="77777777" w:rsidR="00AB116C" w:rsidRPr="004D4E99" w:rsidRDefault="00AB116C" w:rsidP="004D4E99">
      <w:pPr>
        <w:pStyle w:val="Artikelberschrift"/>
        <w:keepLines/>
      </w:pPr>
      <w:bookmarkStart w:id="1" w:name="_Toc20911410"/>
      <w:r>
        <w:rPr>
          <w:rStyle w:val="Marker"/>
          <w:color w:val="auto"/>
        </w:rPr>
        <w:t>Dħul fis-seħħ</w:t>
      </w:r>
      <w:bookmarkEnd w:id="1"/>
    </w:p>
    <w:p w14:paraId="6E848962" w14:textId="77777777" w:rsidR="00AB116C" w:rsidRPr="004D4E99" w:rsidRDefault="00AB116C" w:rsidP="004D4E99">
      <w:pPr>
        <w:pStyle w:val="JuristischerAbsatznichtnummeriert"/>
      </w:pPr>
      <w:r>
        <w:rPr>
          <w:rStyle w:val="Marker"/>
          <w:color w:val="auto"/>
        </w:rPr>
        <w:t xml:space="preserve">Dan ir-Regolament jidħol fis-seħħ fil-jum ta’ wara l-pubblikazzjoni tiegħu. </w:t>
      </w:r>
    </w:p>
    <w:p w14:paraId="6D975F86" w14:textId="77777777" w:rsidR="00AB116C" w:rsidRPr="004D4E99" w:rsidRDefault="00AB116C" w:rsidP="004D4E99">
      <w:pPr>
        <w:pStyle w:val="Hinweistext"/>
        <w:rPr>
          <w:color w:val="auto"/>
        </w:rPr>
      </w:pPr>
    </w:p>
    <w:p w14:paraId="6338794F" w14:textId="77777777" w:rsidR="00AB116C" w:rsidRPr="004D4E99" w:rsidRDefault="00AB116C" w:rsidP="004D4E99">
      <w:pPr>
        <w:pStyle w:val="Schlussformel"/>
        <w:rPr>
          <w:rStyle w:val="Marker"/>
          <w:color w:val="auto"/>
        </w:rPr>
      </w:pPr>
      <w:r>
        <w:rPr>
          <w:rStyle w:val="Marker"/>
          <w:color w:val="auto"/>
        </w:rPr>
        <w:t>Approvat mill-Bundesrat.</w:t>
      </w:r>
    </w:p>
    <w:p w14:paraId="00CDC3CE" w14:textId="77777777" w:rsidR="00AB116C" w:rsidRPr="004D4E99" w:rsidRDefault="00AB116C" w:rsidP="004D4E99">
      <w:pPr>
        <w:pStyle w:val="BegrndungTitel"/>
        <w:keepLines/>
        <w:pageBreakBefore/>
      </w:pPr>
      <w:r>
        <w:lastRenderedPageBreak/>
        <w:t>Motivazzjoni</w:t>
      </w:r>
    </w:p>
    <w:p w14:paraId="70DD5A2C" w14:textId="77777777" w:rsidR="00AB116C" w:rsidRPr="004D4E99" w:rsidRDefault="00AB116C" w:rsidP="004D4E99">
      <w:pPr>
        <w:pStyle w:val="BegrndungAllgemeinerTeil"/>
        <w:keepLines/>
      </w:pPr>
      <w:r>
        <w:t>A. Taqsima ġenerali</w:t>
      </w:r>
    </w:p>
    <w:p w14:paraId="76D94DDB" w14:textId="77777777" w:rsidR="00AB116C" w:rsidRPr="004D4E99" w:rsidRDefault="00AB116C" w:rsidP="004D4E99">
      <w:pPr>
        <w:pStyle w:val="berschriftrmischBegrndung"/>
        <w:keepLines/>
      </w:pPr>
      <w:r>
        <w:t>L-iskop u l-ħtieġa tar-regoli</w:t>
      </w:r>
    </w:p>
    <w:p w14:paraId="098CCA51" w14:textId="5B7F5C28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>Fil-Ġermanja, 47 fil-mija tan-nisa, 62 fil-mija tal-irġiel u 15 fil-mija tat-tfal u l-adolexxenti għandhom piż żejjed. Waħda mir-raġunijiet għal dan hija l-konsum ta’ ikel li mil-lat ta’ nutrizzjoni huwa ħażin wisq.</w:t>
      </w:r>
    </w:p>
    <w:p w14:paraId="793A2D5C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>F’dan l-isfond, il-Gvern Federali stabbilixxa l-għan li jiżviluppa ulterjorament it-tikkettar dwar nutrizzjoni fil-Ġermanja kollha, sabiex jipprovdi informazzjoni sempliċi u li tinftiehem dwar il-proprjetajiet nutrittivi ta’ ikel. Wara studji estensivi - li fihom ġew eżaminati kemm il-kwistjonijiet ta’ nutrizzjoni kif ukoll il-fehim u l-perċezzjoni tal-konsumatur għandu jkun permissibbli l-użu volontarju tat-tikketta Nutri-Score fil-Ġermanja.</w:t>
      </w:r>
    </w:p>
    <w:p w14:paraId="47EB1B81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Ir-Regolament (KE) Nru 1924/2006 dwar indikazzjonijiet dwar in-nutrizzjoni u s-saħħa mogħtija fuq l-ikel (HCVO) jinkludi projbizzjoni ġenerali b’riżerva ta’ permess għal informazzjoni nutrizzjonali u relatata mas-saħħa dwar l-ikel. Skont l-opinjoni legali mifruxa, Nutri-Score hija meqjusa bħala informazzjoni nutrizzjonali skont il-punt 4 tal-Artikolu 2(2) HCVO. Bħala tali, Nutri-Score teħtieġ approvazzjoni speċjali, li mhix disponibbli fuq livell Ewropew. Skont l-Artikolu 23(1) HCVO, Stat Membru tal-Unjoni Ewropea, li jixtieq jadotta leġiżlazzjoni ġdida fl-ambitu tal-HCVO, irid jinnotifika lill-Kummissjoni u lill-Istati Membri l-oħra. Barra minn hekk, l-għan ta’ dan ir-Regolament huwa li permezz ta’ kjarifika jiġi eliminat l-ostaklu ta’ “effett ta’ mblukkar”, li jista’ jkun hemm bżonn li jiġi introdott bir-Regolament (UE) Nru 1169/2011, għal ċerti forom ta’ tikkettar dwar nutrizzjoni volontarju. </w:t>
      </w:r>
    </w:p>
    <w:p w14:paraId="218B1216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>Nutri-Score hija marka kollettiva tal-Unjoni Ewropea rreġistrata fl-Uffiċċju tal-Propjetà Intellettwali tal-Unjoni Ewropea (EUIPO) f’isem Agence nationale de la santé publique Franċiża. Għall-użu tal-marka Nutri-Score minn partijiet terzi</w:t>
      </w:r>
      <w:r>
        <w:t xml:space="preserve"> privati, huma primarjament deċiżivi r-rekwiżiti rilevanti tal-Liġi dwar it-Trademark, inklużi l-kundizzjonijiet stabbiliti mill-proprjetarju tat-trade mark għall-użu tal-marka mill-hekk imsejħa persuni awtorizzati. Minħabba din l-integrazzjoni tan-Nutri-Score fid-Dritt Intanġibbli privat, għandhom jitqiesu wkoll id-dispożizzjonijiet tal-Liġi Kriminali , tal-Liġi dwar il-Kompetizzjoni Inġusta, tal-Liġi dwar it-Trademark li għandhom jiġu kkontrollati b’mod ġenerali għall-protezzjoni tat-trademark fl-assigurazzjoni tal-użu xieraq tal-marka Nutri-Score minn partijiet terzi. </w:t>
      </w:r>
    </w:p>
    <w:p w14:paraId="6F4190E2" w14:textId="77777777" w:rsidR="00AB116C" w:rsidRPr="004D4E99" w:rsidRDefault="00AB116C" w:rsidP="004D4E99">
      <w:pPr>
        <w:pStyle w:val="Text"/>
      </w:pPr>
      <w:r>
        <w:t xml:space="preserve">Skala ta’ ħames livelli minn A sa E turi valur totali ta’ Nutri-Score għall-valur nutrittiv ta’ prodott. Biex tagħmel dan, in-numru ta’ kaloriji u diversi valuri nutrittivi jitqabblu ma’ xulxin. </w:t>
      </w:r>
    </w:p>
    <w:p w14:paraId="41602576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t xml:space="preserve">Permezz tal-klawżola ta’ riżerva jinħolqu l-bażijiet legali għall-ittikkettar tal-ikel għall-użu tat-tikketta Nutri-Score fil-Ġermanja. </w:t>
      </w:r>
    </w:p>
    <w:p w14:paraId="208A0758" w14:textId="77777777" w:rsidR="00AB116C" w:rsidRPr="004D4E99" w:rsidRDefault="00AB116C" w:rsidP="004D4E99">
      <w:pPr>
        <w:pStyle w:val="berschriftrmischBegrndung"/>
        <w:keepLines/>
        <w:ind w:left="706" w:hanging="706"/>
      </w:pPr>
      <w:r>
        <w:t>Kontenut sinjifikattiv tal-Abbozz</w:t>
      </w:r>
    </w:p>
    <w:p w14:paraId="6A488EE3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Dan ir-Regolament jippermetti l-użu volontarju tat-tikketta Nutri-Score fl-ittikkettar tal-ikel. </w:t>
      </w:r>
    </w:p>
    <w:p w14:paraId="7C9E8516" w14:textId="77777777" w:rsidR="00AB116C" w:rsidRPr="004D4E99" w:rsidRDefault="00AB116C" w:rsidP="004D4E99">
      <w:pPr>
        <w:pStyle w:val="berschriftrmischBegrndung"/>
        <w:keepLines/>
        <w:ind w:left="706" w:hanging="706"/>
      </w:pPr>
      <w:r>
        <w:t>Alternattivi</w:t>
      </w:r>
    </w:p>
    <w:p w14:paraId="58DEC597" w14:textId="3907BAA9" w:rsidR="00F047E3" w:rsidRPr="004D4E99" w:rsidRDefault="00F047E3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Fl-istudji msemmija taħt A., ġie eżaminat numru ta’ mudelli ta’ tikkettar dwar nutrizzjoni estiż (fosthomKeyhole®, il-Mudell tal-Industrija tal-Ikel, il-Mudell tal-Istitut Max Rubner). L-istudji juru li t-tikketta Nutri-Score hija xjentifikament valida u l-iktar perċettibbli u li tinftiehem mill-konsumaturi. </w:t>
      </w:r>
    </w:p>
    <w:p w14:paraId="73EA1BC6" w14:textId="77777777" w:rsidR="00AB116C" w:rsidRPr="004D4E99" w:rsidRDefault="00AB116C" w:rsidP="004D4E99">
      <w:pPr>
        <w:pStyle w:val="berschriftrmischBegrndung"/>
        <w:keepLines/>
        <w:ind w:left="706" w:hanging="706"/>
      </w:pPr>
      <w:r>
        <w:t>Kompetenza leġiżlattiva</w:t>
      </w:r>
    </w:p>
    <w:p w14:paraId="77385E48" w14:textId="77777777" w:rsidR="00AB116C" w:rsidRPr="00960052" w:rsidRDefault="00AB116C" w:rsidP="004D4E99">
      <w:pPr>
        <w:pStyle w:val="Text"/>
        <w:rPr>
          <w:rStyle w:val="Marker"/>
          <w:color w:val="auto"/>
          <w:spacing w:val="-2"/>
        </w:rPr>
      </w:pPr>
      <w:r w:rsidRPr="00960052">
        <w:rPr>
          <w:rStyle w:val="Marker"/>
          <w:color w:val="auto"/>
          <w:spacing w:val="-2"/>
        </w:rPr>
        <w:t xml:space="preserve">Il-kompetenza leġiżlattiva tal-Ministeru Federali għall-Ikel u l-Agrikoltura tirriżulta mill-punt 1 ta’ § 35 tal-Kodiċi tal-Ikel u l-Għalf, fuq il-bażi tal-punt 20 tal-Artikolu 74(1) tal-Liġi Bażika. </w:t>
      </w:r>
    </w:p>
    <w:p w14:paraId="4885EAF7" w14:textId="77777777" w:rsidR="00AB116C" w:rsidRPr="004D4E99" w:rsidRDefault="00AB116C" w:rsidP="004D4E99">
      <w:pPr>
        <w:pStyle w:val="berschriftrmischBegrndung"/>
        <w:keepLines/>
        <w:ind w:left="706" w:hanging="706"/>
      </w:pPr>
      <w:r>
        <w:lastRenderedPageBreak/>
        <w:t>Konformità mad-dritt tal-Unjoni Ewropea u mat-Trattati Internazzjonali</w:t>
      </w:r>
    </w:p>
    <w:p w14:paraId="5493D47B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Dan l-abbozz huwa kompatibbli mad-dritt tal-Unjoni Ewropea. Ir-Regolamenti jissodisfaw id-dispożizzjonijiet tar-Regolament (UE) Nru 1169/2011 għal tikkettar dwar nutrizzjoni estiż u tar-Regolament (KE) Nru 1924/2006 għal regolament fil-livell tal-Istati Membri. </w:t>
      </w:r>
    </w:p>
    <w:p w14:paraId="464B48DA" w14:textId="77777777" w:rsidR="00AB116C" w:rsidRPr="004D4E99" w:rsidRDefault="00AB116C" w:rsidP="004D4E99">
      <w:pPr>
        <w:pStyle w:val="berschriftrmischBegrndung"/>
        <w:keepLines/>
      </w:pPr>
      <w:r>
        <w:t>Konsegwenzi legali</w:t>
      </w:r>
    </w:p>
    <w:p w14:paraId="5136A8B0" w14:textId="77777777" w:rsidR="00AB116C" w:rsidRPr="004D4E99" w:rsidRDefault="00AB116C" w:rsidP="004D4E99">
      <w:pPr>
        <w:pStyle w:val="berschriftarabischBegrndung"/>
        <w:keepLines/>
      </w:pPr>
      <w:r>
        <w:t>Simplifikazzjoni legali u amministrattiva</w:t>
      </w:r>
    </w:p>
    <w:p w14:paraId="38F24B71" w14:textId="2F2206B6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Id-dispożizzjonijiet ta’ dan ir-Regolament huma maħsuba biex jippermettu l-ittikkettar tal-ikel fuq bażi volontarja bit-tikketta Nutri-Score. </w:t>
      </w:r>
    </w:p>
    <w:p w14:paraId="47684DE2" w14:textId="77777777" w:rsidR="0090263F" w:rsidRPr="004D4E99" w:rsidRDefault="0090263F" w:rsidP="004D4E99">
      <w:pPr>
        <w:pStyle w:val="Text"/>
      </w:pPr>
    </w:p>
    <w:p w14:paraId="42451048" w14:textId="77777777" w:rsidR="00AB116C" w:rsidRPr="004D4E99" w:rsidRDefault="00AB116C" w:rsidP="004D4E99">
      <w:pPr>
        <w:pStyle w:val="berschriftarabischBegrndung"/>
        <w:keepLines/>
      </w:pPr>
      <w:r>
        <w:t>Aspetti ta’ sostenibbiltà</w:t>
      </w:r>
    </w:p>
    <w:p w14:paraId="6E8E7903" w14:textId="2A18BA1C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Ir-regolamenti jappoġġjaw b’mod partikolari l-għanijiet ta’ sostenibbiltà 2 tal-gvern Ġermaniż fir-rigward ta’ nutrizzjoni aħjar u 3 “Jiġu żgurati ħajjiet f’saħħithom u jiġi promoss il-benesseri għal kulħadd f’kull età” billi jiffaċilitaw it-teħid ta’ deċiżjonijiet konxji permezz ta’ informazzjoni li tkun faċli biex tinftiehem u viżwalment perċettibbli dwar il-proprjetajiet nutrittivi tal-ikel. Ikel iktar nutrittiv jista’ jiġi identifikat iktar malajr permezz ta’ paragun sempliċi. Għalhekk, it-tikkettar jikkontribwixxi għal nutrizzjoni b’saħħitha u għalhekk huwa konformi mal-prinċipju ta’ żvilupp sostenibbli numru f’4.c., li għandu l-għan li jipproteġi s-saħħa tal-konsumatur. </w:t>
      </w:r>
    </w:p>
    <w:p w14:paraId="11A88643" w14:textId="77777777" w:rsidR="0090263F" w:rsidRPr="004D4E99" w:rsidRDefault="0090263F" w:rsidP="004D4E99">
      <w:pPr>
        <w:pStyle w:val="Text"/>
      </w:pPr>
    </w:p>
    <w:p w14:paraId="6AC566A4" w14:textId="0AAF4A83" w:rsidR="00AB116C" w:rsidRPr="004D4E99" w:rsidRDefault="00AB116C" w:rsidP="004D4E99">
      <w:pPr>
        <w:pStyle w:val="berschriftarabischBegrndung"/>
        <w:keepLines/>
      </w:pPr>
      <w:r>
        <w:t>Nefqa tal-baġit mingħajr spejjeż ta’ konformità</w:t>
      </w:r>
    </w:p>
    <w:p w14:paraId="01CA2DC7" w14:textId="77777777" w:rsidR="0090263F" w:rsidRPr="004D4E99" w:rsidRDefault="0090263F" w:rsidP="004D4E99">
      <w:pPr>
        <w:pStyle w:val="Text"/>
      </w:pPr>
    </w:p>
    <w:p w14:paraId="31FF99D7" w14:textId="77777777" w:rsidR="00AB116C" w:rsidRPr="004D4E99" w:rsidRDefault="00AB116C" w:rsidP="004D4E99">
      <w:pPr>
        <w:pStyle w:val="berschriftarabischBegrndung"/>
        <w:keepLines/>
      </w:pPr>
      <w:r>
        <w:t>Spejjeż ta’ konformità</w:t>
      </w:r>
    </w:p>
    <w:p w14:paraId="35BD951D" w14:textId="77777777" w:rsidR="00AB116C" w:rsidRPr="004D4E99" w:rsidRDefault="00AB116C" w:rsidP="004D4E99">
      <w:pPr>
        <w:pStyle w:val="Text"/>
        <w:keepNext/>
        <w:keepLines/>
        <w:rPr>
          <w:b/>
        </w:rPr>
      </w:pPr>
      <w:r>
        <w:rPr>
          <w:b/>
        </w:rPr>
        <w:t>a) Spejjeż ta’ konformità għaċ-ċittadini</w:t>
      </w:r>
    </w:p>
    <w:p w14:paraId="450E425E" w14:textId="643304CD" w:rsidR="00AB116C" w:rsidRPr="004D4E99" w:rsidRDefault="00AB116C" w:rsidP="004D4E99">
      <w:pPr>
        <w:pStyle w:val="Text"/>
      </w:pPr>
      <w:r>
        <w:rPr>
          <w:rStyle w:val="Marker"/>
          <w:color w:val="auto"/>
        </w:rPr>
        <w:t>Għaċ-ċittadini ma tirriżulta l-ebda spiża ta’ konformità.</w:t>
      </w:r>
    </w:p>
    <w:p w14:paraId="4F14D8E7" w14:textId="77777777" w:rsidR="00AB116C" w:rsidRPr="004D4E99" w:rsidRDefault="00AB116C" w:rsidP="004D4E99">
      <w:pPr>
        <w:pStyle w:val="Text"/>
        <w:keepNext/>
        <w:keepLines/>
        <w:rPr>
          <w:b/>
        </w:rPr>
      </w:pPr>
      <w:r>
        <w:rPr>
          <w:b/>
        </w:rPr>
        <w:t>b) Spejjeż ta’ konformità għan-negozji</w:t>
      </w:r>
    </w:p>
    <w:p w14:paraId="6DD1FE11" w14:textId="6939DEE8" w:rsidR="002F0011" w:rsidRPr="004D4E99" w:rsidRDefault="002F0011" w:rsidP="004D4E99">
      <w:pPr>
        <w:pStyle w:val="Text"/>
      </w:pPr>
      <w:r>
        <w:t>Peress li r-Regolament jippermetti li n-negozji biss jużaw it-tikketta Nutri-Score, li r-rekwiżiti tagħha huma rregolati bil-Liġi dwar it-Trademark, ma jirriżultaw ebda spejjeż ta’ konformità diretti għan-negozji.</w:t>
      </w:r>
    </w:p>
    <w:p w14:paraId="296F30FD" w14:textId="77777777" w:rsidR="00AB116C" w:rsidRPr="004D4E99" w:rsidRDefault="00AB116C" w:rsidP="004D4E99">
      <w:pPr>
        <w:pStyle w:val="Text"/>
        <w:rPr>
          <w:b/>
        </w:rPr>
      </w:pPr>
      <w:r>
        <w:rPr>
          <w:b/>
        </w:rPr>
        <w:t>c) Spejjeż ta’ konformità għall-amministrazzjoni</w:t>
      </w:r>
    </w:p>
    <w:p w14:paraId="29B73373" w14:textId="32175B75" w:rsidR="002F0011" w:rsidRPr="004D4E99" w:rsidRDefault="002F0011" w:rsidP="004D4E99">
      <w:pPr>
        <w:pStyle w:val="Text"/>
      </w:pPr>
      <w:r>
        <w:t xml:space="preserve">Ma tirriżulta ebda spiża addizzjonali għall-federazzjoni, il-Länder jew il-muniċipalitajiet bil-permess tal-użu tat-tikketta. </w:t>
      </w:r>
    </w:p>
    <w:p w14:paraId="7B07470F" w14:textId="77777777" w:rsidR="00AB116C" w:rsidRPr="004D4E99" w:rsidRDefault="00AB116C" w:rsidP="004D4E99">
      <w:pPr>
        <w:pStyle w:val="Text"/>
      </w:pPr>
    </w:p>
    <w:p w14:paraId="613DFD9D" w14:textId="77777777" w:rsidR="00AB116C" w:rsidRPr="004D4E99" w:rsidRDefault="00AB116C" w:rsidP="004D4E99">
      <w:pPr>
        <w:pStyle w:val="berschriftarabischBegrndung"/>
        <w:keepLines/>
      </w:pPr>
      <w:r>
        <w:t>Spejjeż oħra</w:t>
      </w:r>
    </w:p>
    <w:p w14:paraId="223750EB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Effetti notevoli fuq il-prezzijiet unitarji ma jistgħux jiġu esklużi għal kollox; mhuwiex mistenni impatt fuq il-livell tal-prezzijiet ġenerali, b’mod partikolari fuq il-livell tal-prezzijiet għall-konsumaturi. </w:t>
      </w:r>
    </w:p>
    <w:p w14:paraId="3F281BE4" w14:textId="11971AB7" w:rsidR="0091346C" w:rsidRPr="004D4E99" w:rsidRDefault="009134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Permezz tal-parteċipazzjoni fis-sistema tat-tikkettar volontarja, in-negozji jistgħu jġarrbu spejjeż negliġibbli għar-reġistrazzjoni u l-identifikazzjoni tal-informazzjoni meħtieġa għall-kalkolu tat-tikketta. Il-proċedura ta’ applikazzjoni diġitali hija limitata għal ftit mistoqsijiet rigward l-identifikazzjoni tal-utent tat-tikketta u l-prodotti u hija ġeneralment bla ħlas, jiġifieri ma hemm l-ebda ħlas għar-reġistrazzjoni jew għall-użu tat-tikketta. Il-kalkolu ta’ liema tikkettar huwa speċifikament ikkunsidrat huwa bbażat fuq informazzjoni li diġà tinsab fl-ittikkettar dwar nutrizzjoni eżistenti u fir-riċetta. Għalhekk mhuwiex neċessarju li tinġabar informazzjoni ġdida. Għall-kalkolu huma disponibbli kalkulaturi onlajn. </w:t>
      </w:r>
    </w:p>
    <w:p w14:paraId="00C2CF7A" w14:textId="43AC0F46" w:rsidR="00DE7B3A" w:rsidRPr="00960052" w:rsidRDefault="00125614" w:rsidP="004D4E99">
      <w:pPr>
        <w:pStyle w:val="Text"/>
        <w:rPr>
          <w:rStyle w:val="Marker"/>
          <w:color w:val="auto"/>
          <w:spacing w:val="-2"/>
        </w:rPr>
      </w:pPr>
      <w:r w:rsidRPr="00960052">
        <w:rPr>
          <w:rStyle w:val="Marker"/>
          <w:color w:val="auto"/>
          <w:spacing w:val="-2"/>
        </w:rPr>
        <w:t xml:space="preserve">Għan-negozji, jistgħu jirriżultaw spejjeż addizzjonali ta’ darba mill-fatt li l-istampar tal-imballaġġ irid jiġi ssupplimentat bis-simbolu Nutri-Score. Parti mill-industrija tal-ikel iddikjarat </w:t>
      </w:r>
      <w:r w:rsidRPr="00960052">
        <w:rPr>
          <w:rStyle w:val="Marker"/>
          <w:color w:val="auto"/>
          <w:spacing w:val="-2"/>
        </w:rPr>
        <w:lastRenderedPageBreak/>
        <w:t xml:space="preserve">li ma jkun hemm l-ebda spiża għal dan. Parti oħra mill-industrija argumentat li jirriżultaw spejjeż addizzjonali mingħajr ma, madankollu, jissemmew ammonti komprensibbli jew bażijiet ta’ kalkolu. L-esperjenza mill-ittikkettjar tal-ikel turi li l-ispejjeż magħmula għal konverżjoni ta’ darba tal-mudelli tal-istampar ġeneralment huma pjuttost żgħar. </w:t>
      </w:r>
    </w:p>
    <w:p w14:paraId="4C9E2009" w14:textId="77777777" w:rsidR="0091346C" w:rsidRPr="004D4E99" w:rsidRDefault="0091346C" w:rsidP="004D4E99">
      <w:pPr>
        <w:pStyle w:val="Text"/>
        <w:rPr>
          <w:rStyle w:val="Marker"/>
          <w:color w:val="auto"/>
        </w:rPr>
      </w:pPr>
    </w:p>
    <w:p w14:paraId="693FD342" w14:textId="77777777" w:rsidR="00AB116C" w:rsidRPr="004D4E99" w:rsidRDefault="00AB116C" w:rsidP="004D4E99">
      <w:pPr>
        <w:pStyle w:val="berschriftarabischBegrndung"/>
        <w:keepLines/>
      </w:pPr>
      <w:r>
        <w:t>Konsegwenzi legali oħra</w:t>
      </w:r>
    </w:p>
    <w:p w14:paraId="5098760C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Il-konsegwenzi demografiċi u r-riskji tar-Regolament ġew ikkontrollati bl-użu tal-kontroll demografiku ppubblikat mill-Ministeru Federali tal-Intern. L-abbozz ma għandu l-ebda impatt dirett fuq id-demografija. </w:t>
      </w:r>
    </w:p>
    <w:p w14:paraId="03F599DB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Dan ir-Regolament ma għandu l-ebda impatt fuq l-ugwaljanza bejn in-nisa u l-irġiel. </w:t>
      </w:r>
    </w:p>
    <w:p w14:paraId="001C24D4" w14:textId="77777777" w:rsidR="00AB116C" w:rsidRPr="004D4E99" w:rsidRDefault="00AB116C" w:rsidP="004D4E99">
      <w:pPr>
        <w:pStyle w:val="BegrndungBesondererTeil"/>
        <w:keepLines/>
      </w:pPr>
      <w:r>
        <w:t>B. Parti speċjali</w:t>
      </w:r>
    </w:p>
    <w:p w14:paraId="52BD8A51" w14:textId="77777777" w:rsidR="00AB116C" w:rsidRPr="004D4E99" w:rsidRDefault="00AB116C" w:rsidP="004D4E99">
      <w:pPr>
        <w:pStyle w:val="Text"/>
        <w:keepNext/>
        <w:keepLines/>
        <w:rPr>
          <w:rStyle w:val="Marker"/>
          <w:b/>
          <w:color w:val="auto"/>
        </w:rPr>
      </w:pPr>
      <w:r>
        <w:rPr>
          <w:rStyle w:val="Marker"/>
          <w:b/>
          <w:color w:val="auto"/>
        </w:rPr>
        <w:t xml:space="preserve">Fuq § 4a </w:t>
      </w:r>
    </w:p>
    <w:p w14:paraId="4C703332" w14:textId="57443956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Il-bażi legali għall-ittikkettar volontarju tal-ikel bit-tikketta Nutri-Score hija maħluqa skont § 4a l-ġdid u jsir riferiment għar-rekwiżiti tal-Liġi dwar it-Trademark għall-użu tal-marka kollettiva Nutri-Score. </w:t>
      </w:r>
    </w:p>
    <w:p w14:paraId="0768F15D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Il-paragrafu 3 jikkjarifika li fl-użu tat-tikketta, għandhom jiġu osservati d-drittijiet tal-propjetà industrijali eżistenti, id-drittijiet tal-awtur jew drittijiet oħra tal-proprjetà tal-Unjoni Ewropea jew wieħed mill-Istati Membri tagħha. </w:t>
      </w:r>
    </w:p>
    <w:p w14:paraId="60003B59" w14:textId="77777777" w:rsidR="00AB116C" w:rsidRPr="00960052" w:rsidRDefault="00AB116C" w:rsidP="004D4E99">
      <w:pPr>
        <w:pStyle w:val="Text"/>
        <w:rPr>
          <w:rStyle w:val="Marker"/>
          <w:color w:val="auto"/>
          <w:spacing w:val="-2"/>
        </w:rPr>
      </w:pPr>
      <w:r w:rsidRPr="00960052">
        <w:rPr>
          <w:rStyle w:val="Marker"/>
          <w:color w:val="auto"/>
          <w:spacing w:val="-2"/>
        </w:rPr>
        <w:t xml:space="preserve">Il-proprjetarju tat-trade mark huwa Santé publique France. Skont il-kundizzjonijiet tal-użu tagħhom, huwa meħtieġ li ssir reġistrazzjoni. Barra minn hekk, il-kundizzjonijiet tal-użu individwali speċifikati mill-proprjetarju tat-trade mark għandhom jiġu osservati mill-utent tat-tikketta. </w:t>
      </w:r>
    </w:p>
    <w:p w14:paraId="5AC32D02" w14:textId="63AB5856" w:rsidR="002728DE" w:rsidRPr="004D4E99" w:rsidRDefault="00AB116C" w:rsidP="004D4E99">
      <w:pPr>
        <w:pStyle w:val="Text"/>
      </w:pPr>
      <w:r>
        <w:rPr>
          <w:rStyle w:val="Marker"/>
          <w:color w:val="auto"/>
        </w:rPr>
        <w:t>Ir-rekwiżiti tal-proprjetarju tat-trade mark għall-użu tat-trade mark huma attwalment ippubblikati bil-Franċiż u/jew bl-Ingliż. Għall-faċilitazzjoni tal-ittikkettar u bħala għajnuna anki għal kumpaniji żgħar u ta’ daqs medju, għandu jkun possibbli li jiġi ffaċilitat il-kuntatt b’mod elettroniku mal-proprjetarju tat-trade mark Franċiż u pereżempju jiġu ppubblikati traduzzjonijiet bil-Ġer</w:t>
      </w:r>
      <w:bookmarkStart w:id="2" w:name="_GoBack"/>
      <w:bookmarkEnd w:id="2"/>
      <w:r>
        <w:rPr>
          <w:rStyle w:val="Marker"/>
          <w:color w:val="auto"/>
        </w:rPr>
        <w:t xml:space="preserve">maniż ta’ mudelli jew </w:t>
      </w:r>
      <w:r>
        <w:rPr>
          <w:rStyle w:val="Marker"/>
          <w:i/>
          <w:iCs/>
          <w:color w:val="auto"/>
        </w:rPr>
        <w:t xml:space="preserve">data </w:t>
      </w:r>
      <w:r>
        <w:rPr>
          <w:rStyle w:val="Marker"/>
          <w:color w:val="auto"/>
        </w:rPr>
        <w:t xml:space="preserve">ta’ input fil-Gazzetta Federali. </w:t>
      </w:r>
    </w:p>
    <w:sectPr w:rsidR="002728DE" w:rsidRPr="004D4E99" w:rsidSect="00EC2DB4">
      <w:headerReference w:type="default" r:id="rId9"/>
      <w:headerReference w:type="first" r:id="rId10"/>
      <w:pgSz w:w="11907" w:h="16839"/>
      <w:pgMar w:top="1134" w:right="141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C5FBE" w14:textId="77777777" w:rsidR="005516BA" w:rsidRDefault="005516BA" w:rsidP="00AB116C">
      <w:pPr>
        <w:spacing w:before="0" w:after="0"/>
      </w:pPr>
      <w:r>
        <w:separator/>
      </w:r>
    </w:p>
  </w:endnote>
  <w:endnote w:type="continuationSeparator" w:id="0">
    <w:p w14:paraId="03CB2880" w14:textId="77777777" w:rsidR="005516BA" w:rsidRDefault="005516BA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4315" w14:textId="77777777" w:rsidR="005516BA" w:rsidRDefault="005516BA" w:rsidP="00AB116C">
      <w:pPr>
        <w:spacing w:before="0" w:after="0"/>
      </w:pPr>
      <w:r>
        <w:separator/>
      </w:r>
    </w:p>
  </w:footnote>
  <w:footnote w:type="continuationSeparator" w:id="0">
    <w:p w14:paraId="60736775" w14:textId="77777777" w:rsidR="005516BA" w:rsidRDefault="005516BA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4D4E99">
      <w:r>
        <w:rPr>
          <w:rStyle w:val="FootnoteReference"/>
        </w:rPr>
        <w:t>*)</w:t>
      </w:r>
      <w:r>
        <w:rPr>
          <w:sz w:val="18"/>
          <w:szCs w:val="20"/>
        </w:rPr>
        <w:tab/>
        <w:t xml:space="preserve">Innotifikat skont id-Direttiva (UE) 2015/1535 tal-Parlament Ewropew u tal-Kunsill tad-9 ta’ Settembru 2015 li tistabbilixxi proċedura għall-għoti ta’ informazzjoni fil-qasam tar-regolamenti tekniċi u tar-regoli dwar is-servizzi tas-Soċjetà tal-Informatika (ĠU L 241 tas-17/09/2015, p. 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14C6E43C" w:rsidR="00125614" w:rsidRPr="0060589F" w:rsidRDefault="00125614" w:rsidP="00EC2DB4">
    <w:pPr>
      <w:pStyle w:val="Header"/>
    </w:pPr>
    <w:r>
      <w:tab/>
    </w: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B4DE0">
      <w:t>6</w:t>
    </w:r>
    <w:r>
      <w:fldChar w:fldCharType="end"/>
    </w:r>
    <w:r>
      <w:t xml:space="preserve"> -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663A" w14:textId="5C688BB0" w:rsidR="00125614" w:rsidRPr="0060589F" w:rsidRDefault="00125614" w:rsidP="00EC2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75700"/>
    <w:rsid w:val="00075D4F"/>
    <w:rsid w:val="000B4DE0"/>
    <w:rsid w:val="000C061F"/>
    <w:rsid w:val="000E69F9"/>
    <w:rsid w:val="00125614"/>
    <w:rsid w:val="00135744"/>
    <w:rsid w:val="0014044E"/>
    <w:rsid w:val="00145758"/>
    <w:rsid w:val="00204E45"/>
    <w:rsid w:val="00224676"/>
    <w:rsid w:val="002728DE"/>
    <w:rsid w:val="0027698D"/>
    <w:rsid w:val="002C480F"/>
    <w:rsid w:val="002E328D"/>
    <w:rsid w:val="002F0011"/>
    <w:rsid w:val="002F7D9D"/>
    <w:rsid w:val="00304112"/>
    <w:rsid w:val="00323493"/>
    <w:rsid w:val="00331564"/>
    <w:rsid w:val="00387CDE"/>
    <w:rsid w:val="004468FA"/>
    <w:rsid w:val="0048631C"/>
    <w:rsid w:val="00497C8E"/>
    <w:rsid w:val="004B48FD"/>
    <w:rsid w:val="004D4E99"/>
    <w:rsid w:val="004E3C6A"/>
    <w:rsid w:val="00550951"/>
    <w:rsid w:val="005516BA"/>
    <w:rsid w:val="0062554A"/>
    <w:rsid w:val="00637F7A"/>
    <w:rsid w:val="006F22F2"/>
    <w:rsid w:val="00701CB5"/>
    <w:rsid w:val="00723676"/>
    <w:rsid w:val="00753EBE"/>
    <w:rsid w:val="007673ED"/>
    <w:rsid w:val="007C7D2E"/>
    <w:rsid w:val="007F3147"/>
    <w:rsid w:val="0085346C"/>
    <w:rsid w:val="00854AA7"/>
    <w:rsid w:val="0090263F"/>
    <w:rsid w:val="0091346C"/>
    <w:rsid w:val="00917011"/>
    <w:rsid w:val="00960052"/>
    <w:rsid w:val="009B2A0F"/>
    <w:rsid w:val="009E1F4C"/>
    <w:rsid w:val="00A273A2"/>
    <w:rsid w:val="00A317DA"/>
    <w:rsid w:val="00A32587"/>
    <w:rsid w:val="00A34138"/>
    <w:rsid w:val="00A60ABB"/>
    <w:rsid w:val="00AA011B"/>
    <w:rsid w:val="00AA6602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DB61EB"/>
    <w:rsid w:val="00DC4889"/>
    <w:rsid w:val="00DE7B3A"/>
    <w:rsid w:val="00E76883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9358"/>
  <w15:docId w15:val="{CB24E44D-1C28-40E1-A872-6F7C91D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Uta</dc:creator>
  <cp:lastModifiedBy>Diana STOICA</cp:lastModifiedBy>
  <cp:revision>3</cp:revision>
  <cp:lastPrinted>2020-03-04T10:36:00Z</cp:lastPrinted>
  <dcterms:created xsi:type="dcterms:W3CDTF">2020-03-10T09:45:00Z</dcterms:created>
  <dcterms:modified xsi:type="dcterms:W3CDTF">2020-03-18T12:40:00Z</dcterms:modified>
</cp:coreProperties>
</file>