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228E" w14:textId="4C5C5123" w:rsidR="004D4E99" w:rsidRPr="000B4DE0" w:rsidRDefault="004D4E99" w:rsidP="000B4DE0">
      <w:pPr>
        <w:rPr>
          <w:rFonts w:ascii="Courier New" w:hAnsi="Courier New" w:cs="Courier New"/>
          <w:sz w:val="20"/>
        </w:rPr>
      </w:pPr>
      <w:r>
        <w:rPr>
          <w:rFonts w:ascii="Courier New" w:hAnsi="Courier New"/>
          <w:sz w:val="20"/>
        </w:rPr>
        <w:t>1. ------IND- 2020 0111 D-- PL- ------ 20200318 --- --- PROJET</w:t>
      </w:r>
    </w:p>
    <w:p w14:paraId="73350666" w14:textId="25523EF7" w:rsidR="00AB116C" w:rsidRPr="004D4E99" w:rsidRDefault="00AB116C" w:rsidP="004D4E99">
      <w:pPr>
        <w:pStyle w:val="VorblattDokumentstatus"/>
        <w:keepNext/>
        <w:keepLines/>
      </w:pPr>
      <w:r>
        <w:t>Opracowany przez referenta projekt Federalnego Ministerstwa Żywności i Rolnictwa</w:t>
      </w:r>
    </w:p>
    <w:p w14:paraId="54437F0C" w14:textId="77777777" w:rsidR="00DB61EB" w:rsidRPr="004D4E99" w:rsidRDefault="00DB61EB" w:rsidP="004D4E99">
      <w:pPr>
        <w:pStyle w:val="VorblattBezeichnung"/>
        <w:keepNext/>
        <w:keepLines/>
      </w:pPr>
    </w:p>
    <w:p w14:paraId="3C6DE346" w14:textId="77777777" w:rsidR="00AB116C" w:rsidRPr="004D4E99" w:rsidRDefault="00AB116C" w:rsidP="004D4E99">
      <w:pPr>
        <w:pStyle w:val="VorblattBezeichnung"/>
        <w:keepNext/>
        <w:keepLines/>
      </w:pPr>
      <w:r>
        <w:t xml:space="preserve">Pierwsze rozporządzenie zmieniające rozporządzenie wykonawcze w sprawie przekazywania informacji na temat żywności </w:t>
      </w:r>
    </w:p>
    <w:p w14:paraId="5EB4CE31" w14:textId="77777777" w:rsidR="00AB116C" w:rsidRPr="004D4E99" w:rsidRDefault="00AB116C" w:rsidP="004D4E99">
      <w:pPr>
        <w:pStyle w:val="VorblattTitelProblemundZiel"/>
        <w:keepNext/>
        <w:keepLines/>
      </w:pPr>
      <w:r>
        <w:t>A. Problem i cel</w:t>
      </w:r>
    </w:p>
    <w:p w14:paraId="59571EDE" w14:textId="77777777" w:rsidR="00AB116C" w:rsidRPr="004D4E99" w:rsidRDefault="00AB116C" w:rsidP="004D4E99">
      <w:pPr>
        <w:pStyle w:val="Text"/>
        <w:rPr>
          <w:rStyle w:val="Marker"/>
          <w:color w:val="auto"/>
        </w:rPr>
      </w:pPr>
      <w:r>
        <w:rPr>
          <w:rStyle w:val="Marker"/>
          <w:color w:val="auto"/>
        </w:rPr>
        <w:t>47 procent kobiet, 62 procent mężczyzn oraz 15 procent dzieci i młodzieży w Niemczech ma nadwagę. Powodem tego jest spożywanie zbyt dużej ilości żywności o niekorzystnych właściwościach odżywczych.</w:t>
      </w:r>
    </w:p>
    <w:p w14:paraId="7E480828" w14:textId="77777777" w:rsidR="00AB116C" w:rsidRPr="004D4E99" w:rsidRDefault="00AB116C" w:rsidP="004D4E99">
      <w:pPr>
        <w:pStyle w:val="Text"/>
        <w:rPr>
          <w:rStyle w:val="Marker"/>
          <w:color w:val="auto"/>
        </w:rPr>
      </w:pPr>
      <w:r>
        <w:rPr>
          <w:rStyle w:val="Marker"/>
          <w:color w:val="auto"/>
        </w:rPr>
        <w:t xml:space="preserve">W tym kontekście rząd federalny postawił sobie za cel udoskonalenie określania wartości odżywczej dla Niemiec, aby w prosty sposób przekazywać zrozumiałe informacje na temat właściwości odżywczych środka spożywczego. </w:t>
      </w:r>
    </w:p>
    <w:p w14:paraId="2C6DDABF" w14:textId="77777777" w:rsidR="00AB116C" w:rsidRPr="004D4E99" w:rsidRDefault="00AB116C" w:rsidP="004D4E99">
      <w:pPr>
        <w:pStyle w:val="Text"/>
        <w:rPr>
          <w:rStyle w:val="Marker"/>
          <w:color w:val="auto"/>
        </w:rPr>
      </w:pPr>
      <w:r>
        <w:rPr>
          <w:rStyle w:val="Marker"/>
          <w:color w:val="auto"/>
        </w:rPr>
        <w:t xml:space="preserve">Kompleksowe analizy (tymczasowe sprawozdanie Instytutu Maxa Rubnera: Ocena wybranych modeli określania wartości odżywczej z przodu opakowania; Ewaluacja zaawansowanych modeli określania wartości odżywczej: sprawozdania agencji INFO GmbH z wyników badania reprezentatywnego i dyskusji grup dyskusyjnych) pokazują, że oznaczenie Nutri-Score jest naukowo uzasadnione oraz najlepiej postrzegane przez konsumentów i zrozumiałe dla nich. </w:t>
      </w:r>
    </w:p>
    <w:p w14:paraId="0D6DA0BD" w14:textId="77777777" w:rsidR="00AB116C" w:rsidRPr="004D4E99" w:rsidRDefault="00AB116C" w:rsidP="004D4E99">
      <w:pPr>
        <w:pStyle w:val="Text"/>
      </w:pPr>
      <w:r>
        <w:t>Nutri-Score to zbiorowy wspólnotowy znak towarowy zarejestrowany w Urzędzie Unii Europejskiej ds. Własności Intelektualnej (EUIPO) na rzecz francuskiej Narodowej Agencji Zdrowia Publicznego (Agènce nationale de la santé publique – organizacji francuskiego Ministerstwa Zdrowia) jako właściciela. W odniesieniu do używania znaku Nutri-Score przez osoby trzecie muszą zatem zostać uwzględnione w pierwszym rzędzie właściwe wymogi określone prawem znaków towarowych, łącznie z warunkami opracowanymi przez właściciela znaku.</w:t>
      </w:r>
    </w:p>
    <w:p w14:paraId="41BC33D9" w14:textId="77777777" w:rsidR="004E3C6A" w:rsidRPr="004D4E99" w:rsidRDefault="004E3C6A" w:rsidP="004D4E99">
      <w:pPr>
        <w:pStyle w:val="Text"/>
      </w:pPr>
      <w:r>
        <w:t xml:space="preserve">W przypadku Nutri-Score pięciostopniowa skala od A do E wskazuje całkowitą wartość odżywczą produktu. W tym celu dokonywany jest wzajemny bilans liczby kalorii i różnych wartości odżywczych. </w:t>
      </w:r>
    </w:p>
    <w:p w14:paraId="6C1DE6B8" w14:textId="77777777" w:rsidR="00AB116C" w:rsidRPr="004D4E99" w:rsidRDefault="00AB116C" w:rsidP="004D4E99">
      <w:pPr>
        <w:pStyle w:val="Text"/>
        <w:rPr>
          <w:rStyle w:val="Marker"/>
          <w:color w:val="auto"/>
        </w:rPr>
      </w:pPr>
      <w:r>
        <w:rPr>
          <w:rStyle w:val="Marker"/>
          <w:color w:val="auto"/>
        </w:rPr>
        <w:t>Poprzez klauzulę otwartą stworzone mają zostać warunki prawne w</w:t>
      </w:r>
      <w:r>
        <w:t xml:space="preserve"> zakresie etykietowania żywności dla stosowania oznaczenia Nutri-Score w Niemczech. </w:t>
      </w:r>
    </w:p>
    <w:p w14:paraId="52290758" w14:textId="77777777" w:rsidR="00AB116C" w:rsidRPr="004D4E99" w:rsidRDefault="00AB116C" w:rsidP="004D4E99">
      <w:pPr>
        <w:pStyle w:val="VorblattTitelLsung"/>
        <w:keepNext/>
        <w:keepLines/>
      </w:pPr>
      <w:r>
        <w:t>B. Rozwiązanie</w:t>
      </w:r>
    </w:p>
    <w:p w14:paraId="0B0BA765" w14:textId="77777777" w:rsidR="00AB116C" w:rsidRPr="004D4E99" w:rsidRDefault="00AB116C" w:rsidP="004D4E99">
      <w:pPr>
        <w:pStyle w:val="Text"/>
      </w:pPr>
      <w:r>
        <w:rPr>
          <w:rStyle w:val="Marker"/>
          <w:color w:val="auto"/>
        </w:rPr>
        <w:t xml:space="preserve">Podstawa prawna dla dobrowolnego stosowania oznaczenia Nutri-Score w Niemczech. </w:t>
      </w:r>
    </w:p>
    <w:p w14:paraId="59217ACC" w14:textId="77777777" w:rsidR="00AB116C" w:rsidRPr="004D4E99" w:rsidRDefault="00AB116C" w:rsidP="004D4E99">
      <w:pPr>
        <w:pStyle w:val="VorblattTitelAlternativen"/>
        <w:keepNext/>
        <w:keepLines/>
      </w:pPr>
      <w:r>
        <w:t>C. Alternatywy</w:t>
      </w:r>
    </w:p>
    <w:p w14:paraId="550B39B1" w14:textId="1C85B5AF" w:rsidR="00F047E3" w:rsidRPr="004D4E99" w:rsidRDefault="00F047E3" w:rsidP="004D4E99">
      <w:pPr>
        <w:pStyle w:val="Text"/>
        <w:rPr>
          <w:rStyle w:val="Marker"/>
          <w:color w:val="auto"/>
        </w:rPr>
      </w:pPr>
      <w:r>
        <w:rPr>
          <w:rStyle w:val="Marker"/>
          <w:color w:val="auto"/>
        </w:rPr>
        <w:t xml:space="preserve">W analizach zamieszczonych w części A. zbadano szereg zaawansowanych modeli określania wartości odżywczej (m.in. Keyhole®, model gospodarki żywnościowej, model Instytutu Maxa Rubnera). Analizy pokazują, że oznaczenie Nutri-Score jest naukowo uzasadnione oraz najlepiej postrzegane przez konsumentów i zrozumiałe dla nich. </w:t>
      </w:r>
    </w:p>
    <w:p w14:paraId="26338DEE" w14:textId="77777777" w:rsidR="00AB116C" w:rsidRPr="004D4E99" w:rsidRDefault="00AB116C" w:rsidP="004D4E99">
      <w:pPr>
        <w:pStyle w:val="VorblattTitelHaushaltsausgabenohneErfllungsaufwand"/>
        <w:keepNext/>
        <w:keepLines/>
      </w:pPr>
      <w:r>
        <w:lastRenderedPageBreak/>
        <w:t>D. Wydatki budżetowe bez kosztów realizacji</w:t>
      </w:r>
    </w:p>
    <w:p w14:paraId="22D8B835" w14:textId="77777777" w:rsidR="00AB116C" w:rsidRPr="004D4E99" w:rsidRDefault="00AB116C" w:rsidP="004D4E99">
      <w:pPr>
        <w:pStyle w:val="VorblattTitelErfllungsaufwand"/>
        <w:keepNext/>
        <w:keepLines/>
      </w:pPr>
      <w:r>
        <w:t>E. Koszty realizacji</w:t>
      </w:r>
    </w:p>
    <w:p w14:paraId="6F1F8D70" w14:textId="77777777" w:rsidR="00AB116C" w:rsidRPr="004D4E99" w:rsidRDefault="00AB116C" w:rsidP="004D4E99">
      <w:pPr>
        <w:pStyle w:val="VorblattTitelErfllungsaufwandBrgerinnenundBrger"/>
        <w:keepNext/>
        <w:keepLines/>
      </w:pPr>
      <w:r>
        <w:t>E.1 Koszty realizacji obciążające obywateli</w:t>
      </w:r>
    </w:p>
    <w:p w14:paraId="2881E6C4" w14:textId="77777777" w:rsidR="00AB116C" w:rsidRPr="004D4E99" w:rsidRDefault="00AB116C" w:rsidP="004D4E99">
      <w:pPr>
        <w:pStyle w:val="Text"/>
      </w:pPr>
      <w:r>
        <w:rPr>
          <w:rStyle w:val="Marker"/>
          <w:color w:val="auto"/>
        </w:rPr>
        <w:t xml:space="preserve">Dla obywateli nie powstają koszty realizacji. </w:t>
      </w:r>
    </w:p>
    <w:p w14:paraId="1A7EC865" w14:textId="77777777" w:rsidR="00AB116C" w:rsidRPr="004D4E99" w:rsidRDefault="00AB116C" w:rsidP="004D4E99">
      <w:pPr>
        <w:pStyle w:val="VorblattTitelErfllungsaufwandWirtschaft"/>
        <w:keepNext/>
        <w:keepLines/>
      </w:pPr>
      <w:r>
        <w:t>E.2 Koszty realizacji obciążające gospodarkę</w:t>
      </w:r>
    </w:p>
    <w:p w14:paraId="357A658B" w14:textId="74D68949" w:rsidR="00AB116C" w:rsidRPr="004D4E99" w:rsidRDefault="002F0011" w:rsidP="004D4E99">
      <w:pPr>
        <w:pStyle w:val="Text"/>
      </w:pPr>
      <w:r>
        <w:t xml:space="preserve">Dla gospodarki nie powstają dodatkowe koszty realizacji. </w:t>
      </w:r>
    </w:p>
    <w:p w14:paraId="33965A77" w14:textId="77777777" w:rsidR="00AB116C" w:rsidRPr="004D4E99" w:rsidRDefault="00AB116C" w:rsidP="004D4E99">
      <w:pPr>
        <w:pStyle w:val="VorblattTitelErfllungsaufwandVerwaltung"/>
        <w:keepNext/>
        <w:keepLines/>
      </w:pPr>
      <w:r>
        <w:t>E.3 Koszty realizacji obciążające administrację</w:t>
      </w:r>
    </w:p>
    <w:p w14:paraId="2A196052" w14:textId="015D0325" w:rsidR="00AB116C" w:rsidRPr="004D4E99" w:rsidRDefault="002F0011" w:rsidP="004D4E99">
      <w:pPr>
        <w:pStyle w:val="Text"/>
      </w:pPr>
      <w:r>
        <w:rPr>
          <w:rStyle w:val="Marker"/>
          <w:color w:val="auto"/>
        </w:rPr>
        <w:t xml:space="preserve">Dla administracji nie powstają dodatkowe koszty realizacji. </w:t>
      </w:r>
    </w:p>
    <w:p w14:paraId="2A910281" w14:textId="77777777" w:rsidR="00AB116C" w:rsidRPr="004D4E99" w:rsidRDefault="00AB116C" w:rsidP="004D4E99">
      <w:pPr>
        <w:pStyle w:val="VorblattTitelWeitereKosten"/>
        <w:keepNext/>
        <w:keepLines/>
      </w:pPr>
      <w:r>
        <w:t>F. Inne koszty</w:t>
      </w:r>
    </w:p>
    <w:p w14:paraId="1819EB1A" w14:textId="77777777" w:rsidR="00AB116C" w:rsidRPr="004D4E99" w:rsidRDefault="00AB116C" w:rsidP="004D4E99">
      <w:pPr>
        <w:pStyle w:val="Text"/>
        <w:rPr>
          <w:rStyle w:val="Marker"/>
          <w:color w:val="auto"/>
        </w:rPr>
      </w:pPr>
      <w:r>
        <w:rPr>
          <w:rStyle w:val="Marker"/>
          <w:color w:val="auto"/>
        </w:rPr>
        <w:t xml:space="preserve">Nie można całkowicie wykluczyć nieznacznego oddziaływania na ceny jednostkowe. Nie przewiduje się jednak oddziaływania na ogólny poziom cen, w szczególności na poziom cen detalicznych. </w:t>
      </w:r>
    </w:p>
    <w:p w14:paraId="355D0EED" w14:textId="44C49E7F" w:rsidR="002F0011" w:rsidRPr="004D4E99" w:rsidRDefault="002F0011" w:rsidP="004D4E99">
      <w:pPr>
        <w:pStyle w:val="Text"/>
        <w:rPr>
          <w:rStyle w:val="Marker"/>
          <w:color w:val="auto"/>
        </w:rPr>
      </w:pPr>
      <w:r>
        <w:rPr>
          <w:rStyle w:val="Marker"/>
          <w:color w:val="auto"/>
        </w:rPr>
        <w:t xml:space="preserve">W związku ze stosowaniem oznaczenia Nutri-Score mogą powstać dla przedsiębiorstw inne koszty, które łącznie ocenia się jednak jako nieznaczne. </w:t>
      </w:r>
    </w:p>
    <w:p w14:paraId="5EB6A175" w14:textId="77777777" w:rsidR="00AB116C" w:rsidRPr="004D4E99" w:rsidRDefault="00AB116C" w:rsidP="004D4E99">
      <w:pPr>
        <w:pStyle w:val="Text"/>
        <w:rPr>
          <w:rStyle w:val="Marker"/>
          <w:color w:val="auto"/>
        </w:rPr>
      </w:pPr>
    </w:p>
    <w:p w14:paraId="4B8906C4" w14:textId="77777777" w:rsidR="00AB116C" w:rsidRPr="004D4E99" w:rsidRDefault="00AB116C" w:rsidP="004D4E99">
      <w:pPr>
        <w:pStyle w:val="Dokumentstatus"/>
        <w:keepNext/>
        <w:keepLines/>
        <w:pageBreakBefore/>
      </w:pPr>
      <w:r>
        <w:lastRenderedPageBreak/>
        <w:t>Opracowany przez referenta projekt Federalnego Ministerstwa Żywności i Rolnictwa</w:t>
      </w:r>
    </w:p>
    <w:p w14:paraId="62D56DB5" w14:textId="77777777" w:rsidR="00AB116C" w:rsidRPr="004D4E99" w:rsidRDefault="00AB116C" w:rsidP="004D4E99">
      <w:pPr>
        <w:pStyle w:val="Bezeichnungnderungsdokument"/>
        <w:keepNext/>
        <w:keepLines/>
      </w:pPr>
      <w:r>
        <w:t>Pierwsze rozporządzenie zmieniające rozporządzenie wykonawcze w sprawie przekazywania informacji na temat żywności</w:t>
      </w:r>
      <w:r>
        <w:rPr>
          <w:rStyle w:val="FootnoteReference"/>
        </w:rPr>
        <w:footnoteReference w:customMarkFollows="1" w:id="1"/>
        <w:t>*)</w:t>
      </w:r>
    </w:p>
    <w:p w14:paraId="30DEB729" w14:textId="77777777" w:rsidR="00AB116C" w:rsidRPr="004D4E99" w:rsidRDefault="00AB116C" w:rsidP="004D4E99">
      <w:pPr>
        <w:pStyle w:val="Ausfertigungsdatumnderungsdokument"/>
      </w:pPr>
      <w:r>
        <w:t>Z dnia ...</w:t>
      </w:r>
    </w:p>
    <w:p w14:paraId="6B2563C7" w14:textId="33BC6EDA" w:rsidR="00AB116C" w:rsidRPr="004D4E99" w:rsidRDefault="00AB116C" w:rsidP="004D4E99">
      <w:pPr>
        <w:pStyle w:val="EingangsformelStandardnderungsdokument"/>
      </w:pPr>
      <w:r>
        <w:t>Na podstawie § 35 pkt 1 kodeksu środków spożywczych i pasz w brzmieniu ogłoszonym dnia 3 czerwca 2013 r. (Federalny Dz.U. I s. 1426), zmienionego artykułem 67 pkt 6 rozporządzenia z dnia 31 sierpnia 2015 r. (Federalny Dz.U. I s. 1474), Federalne Ministerstwo Żywności i Rolnictwa w porozumieniu z Federalnym Ministerstwem Gospodarki i Energetyki wydaje następujące rozporządzenie:</w:t>
      </w:r>
    </w:p>
    <w:p w14:paraId="4FB86449" w14:textId="6FEC2D31" w:rsidR="004D4E99" w:rsidRPr="004D4E99" w:rsidRDefault="004D4E99" w:rsidP="004D4E99">
      <w:pPr>
        <w:pStyle w:val="Artikelberschrift"/>
        <w:keepLines/>
        <w:spacing w:before="480"/>
      </w:pPr>
      <w:r>
        <w:t>Artykuł 1</w:t>
      </w:r>
    </w:p>
    <w:p w14:paraId="69CDBB97" w14:textId="77777777" w:rsidR="00AB116C" w:rsidRPr="004D4E99" w:rsidRDefault="00AB116C" w:rsidP="004D4E99">
      <w:pPr>
        <w:pStyle w:val="Artikelberschrift"/>
        <w:keepLines/>
      </w:pPr>
      <w:bookmarkStart w:id="0" w:name="_Toc20911408"/>
      <w:r>
        <w:t>Zmiana rozporządzenia wykonawczego w sprawie przekazywania informacji na temat żywności</w:t>
      </w:r>
      <w:bookmarkEnd w:id="0"/>
    </w:p>
    <w:p w14:paraId="14A290BC" w14:textId="77777777" w:rsidR="00AB116C" w:rsidRPr="0064537B" w:rsidRDefault="00AB116C" w:rsidP="004D4E99">
      <w:pPr>
        <w:pStyle w:val="JuristischerAbsatznichtnummeriert"/>
        <w:rPr>
          <w:rStyle w:val="Marker"/>
          <w:b/>
          <w:color w:val="auto"/>
          <w:spacing w:val="-2"/>
          <w:sz w:val="28"/>
        </w:rPr>
      </w:pPr>
      <w:r w:rsidRPr="0064537B">
        <w:rPr>
          <w:rStyle w:val="Marker"/>
          <w:color w:val="auto"/>
          <w:spacing w:val="-2"/>
        </w:rPr>
        <w:t xml:space="preserve">W rozporządzeniu wykonawczym z dnia 5 lipca 2017 r. w sprawie przekazywania informacji na temat żywności (Federalny Dz.U. I. s. 2272) wprowadza się następujące zmiany: </w:t>
      </w:r>
    </w:p>
    <w:p w14:paraId="3B973FF5" w14:textId="77777777" w:rsidR="00AB116C" w:rsidRPr="004D4E99" w:rsidRDefault="00AB116C" w:rsidP="004D4E99">
      <w:pPr>
        <w:pStyle w:val="NummerierungStufe1"/>
        <w:rPr>
          <w:rStyle w:val="Marker"/>
          <w:color w:val="auto"/>
        </w:rPr>
      </w:pPr>
      <w:r>
        <w:rPr>
          <w:rStyle w:val="Marker"/>
          <w:color w:val="auto"/>
        </w:rPr>
        <w:t>Po § 4 dodaje się § 4a w brzmieniu:</w:t>
      </w:r>
    </w:p>
    <w:p w14:paraId="347D74AB" w14:textId="77777777" w:rsidR="00AB116C" w:rsidRPr="004D4E99" w:rsidRDefault="00AB116C" w:rsidP="004D4E99">
      <w:pPr>
        <w:pStyle w:val="RevisionParagraphBezeichnermanuell"/>
        <w:keepLines/>
        <w:ind w:left="432" w:hanging="75"/>
        <w:rPr>
          <w:color w:val="auto"/>
        </w:rPr>
      </w:pPr>
      <w:r>
        <w:rPr>
          <w:color w:val="auto"/>
        </w:rPr>
        <w:t xml:space="preserve">„§ </w:t>
      </w:r>
      <w:r>
        <w:t>4a</w:t>
      </w:r>
    </w:p>
    <w:p w14:paraId="4BF195B8" w14:textId="77777777" w:rsidR="00AB116C" w:rsidRPr="004D4E99" w:rsidRDefault="00AB116C" w:rsidP="004D4E99">
      <w:pPr>
        <w:pStyle w:val="RevisionParagraphberschrift"/>
        <w:keepLines/>
        <w:ind w:left="432"/>
        <w:rPr>
          <w:color w:val="auto"/>
        </w:rPr>
      </w:pPr>
      <w:r>
        <w:rPr>
          <w:rStyle w:val="Marker"/>
          <w:color w:val="auto"/>
        </w:rPr>
        <w:t>Zaawansowane określanie wartości odżywczej</w:t>
      </w:r>
    </w:p>
    <w:p w14:paraId="0E098645" w14:textId="77777777" w:rsidR="00AB116C" w:rsidRPr="004D4E99" w:rsidRDefault="00AB116C" w:rsidP="004D4E99">
      <w:pPr>
        <w:pStyle w:val="RevisionJuristischerAbsatz"/>
        <w:tabs>
          <w:tab w:val="clear" w:pos="850"/>
          <w:tab w:val="num" w:pos="1275"/>
        </w:tabs>
        <w:ind w:left="425"/>
        <w:rPr>
          <w:color w:val="auto"/>
        </w:rPr>
      </w:pPr>
      <w:r>
        <w:rPr>
          <w:color w:val="auto"/>
        </w:rPr>
        <w:t>Podmiot odpowiedzialny w rozumieniu art. 8 ust. 1 lub ust. 4 zdanie drugie rozporządzenia (UE) nr 1169/2011 może wprowadzać do obrotu żywność z przedstawionym w załączniku oznaczeniem Nutri-Score zarejestrowanym w Urzędzie Unii Europejskiej ds. Własności Intelektualnej jako zbiorowy wspólnotowy znak towarowy.</w:t>
      </w:r>
    </w:p>
    <w:p w14:paraId="1E70B10D" w14:textId="77777777" w:rsidR="00AB116C" w:rsidRPr="004D4E99" w:rsidRDefault="00AB116C" w:rsidP="004D4E99">
      <w:pPr>
        <w:pStyle w:val="RevisionJuristischerAbsatz"/>
        <w:tabs>
          <w:tab w:val="clear" w:pos="850"/>
          <w:tab w:val="num" w:pos="1275"/>
        </w:tabs>
        <w:ind w:left="425"/>
        <w:rPr>
          <w:color w:val="auto"/>
        </w:rPr>
      </w:pPr>
      <w:r>
        <w:rPr>
          <w:color w:val="auto"/>
        </w:rPr>
        <w:t xml:space="preserve">Używanie oznaczenia Nutri-Score jest dobrowolne. </w:t>
      </w:r>
    </w:p>
    <w:p w14:paraId="64450B19" w14:textId="77777777" w:rsidR="00AB116C" w:rsidRPr="004D4E99" w:rsidRDefault="009E1F4C" w:rsidP="004D4E99">
      <w:pPr>
        <w:pStyle w:val="RevisionJuristischerAbsatz"/>
        <w:tabs>
          <w:tab w:val="clear" w:pos="850"/>
          <w:tab w:val="num" w:pos="1275"/>
        </w:tabs>
        <w:ind w:left="425"/>
        <w:rPr>
          <w:color w:val="auto"/>
        </w:rPr>
      </w:pPr>
      <w:r>
        <w:rPr>
          <w:color w:val="auto"/>
        </w:rPr>
        <w:t xml:space="preserve">Do używania oznaczenia Nutri-Score wymaga się, aby podmiot odpowiedzialny w rozumieniu art. 8 ust. 1 lub ust. 4 zdanie drugie rozporządzenia (UE) nr 1169/2011 w szczególności </w:t>
      </w:r>
    </w:p>
    <w:p w14:paraId="47C7B3F2" w14:textId="77777777" w:rsidR="00AB116C" w:rsidRPr="004D4E99" w:rsidRDefault="00AB116C" w:rsidP="004D4E99">
      <w:pPr>
        <w:pStyle w:val="RevisionNummerierungStufe1"/>
        <w:tabs>
          <w:tab w:val="clear" w:pos="425"/>
          <w:tab w:val="num" w:pos="850"/>
        </w:tabs>
        <w:ind w:left="850"/>
        <w:rPr>
          <w:color w:val="auto"/>
        </w:rPr>
      </w:pPr>
      <w:r>
        <w:rPr>
          <w:color w:val="auto"/>
        </w:rPr>
        <w:t>uzyskał wymagane zezwolenia od właściciela znaku towarowego oraz</w:t>
      </w:r>
    </w:p>
    <w:p w14:paraId="534F1A0A" w14:textId="77777777" w:rsidR="00AB116C" w:rsidRPr="004D4E99" w:rsidRDefault="00AB116C" w:rsidP="004D4E99">
      <w:pPr>
        <w:pStyle w:val="RevisionNummerierungStufe1"/>
        <w:tabs>
          <w:tab w:val="clear" w:pos="425"/>
          <w:tab w:val="num" w:pos="850"/>
        </w:tabs>
        <w:ind w:left="850"/>
        <w:rPr>
          <w:color w:val="auto"/>
        </w:rPr>
      </w:pPr>
      <w:r>
        <w:rPr>
          <w:color w:val="auto"/>
        </w:rPr>
        <w:t>przestrzegał warunków właściciela znaku towarowego dotyczących używania tego znaku.</w:t>
      </w:r>
    </w:p>
    <w:p w14:paraId="1CA6C448" w14:textId="7093041E" w:rsidR="004E3C6A" w:rsidRPr="0064537B" w:rsidRDefault="004E3C6A" w:rsidP="004D4E99">
      <w:pPr>
        <w:pStyle w:val="RevisionJuristischerAbsatz"/>
        <w:tabs>
          <w:tab w:val="clear" w:pos="850"/>
          <w:tab w:val="num" w:pos="1275"/>
        </w:tabs>
        <w:ind w:left="425"/>
        <w:rPr>
          <w:color w:val="auto"/>
          <w:spacing w:val="-4"/>
        </w:rPr>
      </w:pPr>
      <w:r w:rsidRPr="0064537B">
        <w:rPr>
          <w:color w:val="auto"/>
          <w:spacing w:val="-4"/>
        </w:rPr>
        <w:t>W odniesieniu do kwestii uzyskiwania zezwoleń w rozumieniu ust. 3 pkt 1 Federalne Ministerstwo Żywności i Rolnictwa może opublikować w Monitorze Federalnym:</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wzory formularzy w języku niemieckim,</w:t>
      </w:r>
    </w:p>
    <w:p w14:paraId="4AE1EE60" w14:textId="77777777" w:rsidR="004E3C6A" w:rsidRDefault="004E3C6A" w:rsidP="004D4E99">
      <w:pPr>
        <w:pStyle w:val="RevisionNummerierungStufe2"/>
        <w:numPr>
          <w:ilvl w:val="0"/>
          <w:numId w:val="0"/>
        </w:numPr>
        <w:ind w:left="425"/>
        <w:rPr>
          <w:color w:val="auto"/>
        </w:rPr>
      </w:pPr>
      <w:r>
        <w:rPr>
          <w:color w:val="auto"/>
        </w:rPr>
        <w:t>2. dane wejściowe w języku niemieckim i adres e-mail z ustawieniami umożliwiającymi automatyczne przekazywanie do właściciela znaku towarowego przychodzących tam wiadomości.”.</w:t>
      </w:r>
    </w:p>
    <w:p w14:paraId="4CE137F5" w14:textId="77777777" w:rsidR="004D4E99" w:rsidRPr="004D4E99" w:rsidRDefault="004D4E99" w:rsidP="004D4E99">
      <w:pPr>
        <w:pStyle w:val="RevisionNummerierungStufe2"/>
        <w:numPr>
          <w:ilvl w:val="0"/>
          <w:numId w:val="0"/>
        </w:numPr>
        <w:ind w:left="425"/>
        <w:rPr>
          <w:color w:val="auto"/>
        </w:rPr>
      </w:pPr>
    </w:p>
    <w:p w14:paraId="7784283B" w14:textId="77777777" w:rsidR="00C74E1B" w:rsidRPr="004D4E99" w:rsidRDefault="000604EE" w:rsidP="004D4E99">
      <w:pPr>
        <w:pStyle w:val="NummerierungStufe1"/>
        <w:keepNext/>
        <w:keepLines/>
        <w:rPr>
          <w:rStyle w:val="Marker"/>
          <w:color w:val="auto"/>
        </w:rPr>
      </w:pPr>
      <w:r>
        <w:rPr>
          <w:rStyle w:val="Marker"/>
          <w:color w:val="auto"/>
        </w:rPr>
        <w:t>Dodaje się następujący załącznik:</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„Załącznik</w:t>
      </w:r>
    </w:p>
    <w:p w14:paraId="0BE5D91F" w14:textId="77777777" w:rsidR="00AB116C" w:rsidRPr="004D4E99" w:rsidRDefault="00AB116C" w:rsidP="004D4E99">
      <w:pPr>
        <w:pStyle w:val="RevisionAnlageVerweis"/>
        <w:keepNext/>
        <w:keepLines/>
        <w:rPr>
          <w:color w:val="auto"/>
        </w:rPr>
      </w:pPr>
      <w:r>
        <w:rPr>
          <w:color w:val="auto"/>
        </w:rPr>
        <w:t>(do § 4a ust. 1)</w:t>
      </w:r>
    </w:p>
    <w:p w14:paraId="0BC73A07" w14:textId="77777777" w:rsidR="00AB116C" w:rsidRPr="004D4E99" w:rsidRDefault="00AB116C" w:rsidP="004D4E99">
      <w:pPr>
        <w:pStyle w:val="RevisionAnlageberschrift"/>
        <w:keepNext/>
        <w:keepLines/>
        <w:rPr>
          <w:color w:val="auto"/>
        </w:rPr>
      </w:pPr>
      <w:r>
        <w:rPr>
          <w:color w:val="auto"/>
        </w:rPr>
        <w:t>Przedstawienie oznaczenia Nutri-Score</w:t>
      </w:r>
    </w:p>
    <w:p w14:paraId="7509E81F" w14:textId="77777777" w:rsidR="00AB116C" w:rsidRDefault="00AB116C" w:rsidP="004D4E99">
      <w:pPr>
        <w:pStyle w:val="RevisionAnlageberschrift"/>
        <w:rPr>
          <w:rStyle w:val="RevisionText"/>
          <w:color w:val="auto"/>
        </w:rPr>
      </w:pPr>
      <w:r>
        <w:rPr>
          <w:noProof/>
          <w:color w:val="auto"/>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14:paraId="60D3C697" w14:textId="77777777" w:rsidTr="004D4E99">
        <w:trPr>
          <w:hidden/>
        </w:trPr>
        <w:tc>
          <w:tcPr>
            <w:tcW w:w="4502" w:type="dxa"/>
          </w:tcPr>
          <w:p w14:paraId="519728B4" w14:textId="1ED52059" w:rsidR="004D4E99" w:rsidRPr="004D4E99" w:rsidRDefault="004D4E99" w:rsidP="004D4E99">
            <w:pPr>
              <w:spacing w:before="0" w:after="0"/>
              <w:rPr>
                <w:vanish/>
              </w:rPr>
            </w:pPr>
            <w:r>
              <w:rPr>
                <w:vanish/>
              </w:rPr>
              <w:t>NUTRI-SCORE</w:t>
            </w:r>
          </w:p>
        </w:tc>
        <w:tc>
          <w:tcPr>
            <w:tcW w:w="4503" w:type="dxa"/>
          </w:tcPr>
          <w:p w14:paraId="2F0152D7" w14:textId="3F3DB840" w:rsidR="004D4E99" w:rsidRDefault="004D4E99" w:rsidP="004D4E99">
            <w:pPr>
              <w:spacing w:before="0" w:after="0"/>
            </w:pPr>
            <w:r>
              <w:t>NUTRI-SCORE</w:t>
            </w:r>
          </w:p>
        </w:tc>
      </w:tr>
    </w:tbl>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Artykuł 2</w:t>
      </w:r>
    </w:p>
    <w:p w14:paraId="5877299E" w14:textId="77777777" w:rsidR="00AB116C" w:rsidRPr="004D4E99" w:rsidRDefault="00AB116C" w:rsidP="004D4E99">
      <w:pPr>
        <w:pStyle w:val="Artikelberschrift"/>
        <w:keepLines/>
      </w:pPr>
      <w:bookmarkStart w:id="1" w:name="_Toc20911410"/>
      <w:r>
        <w:rPr>
          <w:rStyle w:val="Marker"/>
          <w:color w:val="auto"/>
        </w:rPr>
        <w:t>Wejście w życie</w:t>
      </w:r>
      <w:bookmarkEnd w:id="1"/>
    </w:p>
    <w:p w14:paraId="6E848962" w14:textId="77777777" w:rsidR="00AB116C" w:rsidRPr="004D4E99" w:rsidRDefault="00AB116C" w:rsidP="004D4E99">
      <w:pPr>
        <w:pStyle w:val="JuristischerAbsatznichtnummeriert"/>
      </w:pPr>
      <w:r>
        <w:rPr>
          <w:rStyle w:val="Marker"/>
          <w:color w:val="auto"/>
        </w:rPr>
        <w:t xml:space="preserve">Niniejsze rozporządzenie wchodzi w życie w dniu następującym po jego ogłoszeniu.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Bundesrat wyraził zgodę na te przepisy.</w:t>
      </w:r>
    </w:p>
    <w:p w14:paraId="00CDC3CE" w14:textId="77777777" w:rsidR="00AB116C" w:rsidRPr="004D4E99" w:rsidRDefault="00AB116C" w:rsidP="004D4E99">
      <w:pPr>
        <w:pStyle w:val="BegrndungTitel"/>
        <w:keepLines/>
        <w:pageBreakBefore/>
      </w:pPr>
      <w:r>
        <w:lastRenderedPageBreak/>
        <w:t>Uzasadnienie</w:t>
      </w:r>
    </w:p>
    <w:p w14:paraId="70DD5A2C" w14:textId="77777777" w:rsidR="00AB116C" w:rsidRPr="004D4E99" w:rsidRDefault="00AB116C" w:rsidP="004D4E99">
      <w:pPr>
        <w:pStyle w:val="BegrndungAllgemeinerTeil"/>
        <w:keepLines/>
      </w:pPr>
      <w:r>
        <w:t>A. Część ogólna</w:t>
      </w:r>
    </w:p>
    <w:p w14:paraId="76D94DDB" w14:textId="77777777" w:rsidR="00AB116C" w:rsidRPr="004D4E99" w:rsidRDefault="00AB116C" w:rsidP="004D4E99">
      <w:pPr>
        <w:pStyle w:val="berschriftrmischBegrndung"/>
        <w:keepLines/>
      </w:pPr>
      <w:r>
        <w:t>Cel i konieczność stworzenia regulacji</w:t>
      </w:r>
    </w:p>
    <w:p w14:paraId="098CCA51" w14:textId="5B7F5C28" w:rsidR="00AB116C" w:rsidRPr="004D4E99" w:rsidRDefault="00AB116C" w:rsidP="004D4E99">
      <w:pPr>
        <w:pStyle w:val="Text"/>
        <w:rPr>
          <w:rStyle w:val="Marker"/>
          <w:color w:val="auto"/>
        </w:rPr>
      </w:pPr>
      <w:r>
        <w:rPr>
          <w:rStyle w:val="Marker"/>
          <w:color w:val="auto"/>
        </w:rPr>
        <w:t>47 procent kobiet, 62 procent mężczyzn oraz 15 procent dzieci i młodzieży w Niemczech ma nadwagę. Powodem tego jest spożywanie zbyt dużej ilości żywności o niekorzystnych właściwościach odżywczych.</w:t>
      </w:r>
    </w:p>
    <w:p w14:paraId="793A2D5C" w14:textId="77777777" w:rsidR="00AB116C" w:rsidRPr="004D4E99" w:rsidRDefault="00AB116C" w:rsidP="004D4E99">
      <w:pPr>
        <w:pStyle w:val="Text"/>
        <w:rPr>
          <w:rStyle w:val="Marker"/>
          <w:color w:val="auto"/>
        </w:rPr>
      </w:pPr>
      <w:r>
        <w:rPr>
          <w:rStyle w:val="Marker"/>
          <w:color w:val="auto"/>
        </w:rPr>
        <w:t>W tym kontekście rząd federalny postawił sobie za cel udoskonalenie określania wartości odżywczej dla Niemiec, aby w prosty sposób przekazywać zrozumiałe informacje na temat właściwości odżywczych środka spożywczego. Według kompleksowych analiz – w ramach których zbadano zarówno kwestie dietetyczne, jak i zrozumienie i postrzeganie przez konsumentów – w Niemczech dozwolone powinno być dobrowolne stosowanie oznaczenia Nutri-Score.</w:t>
      </w:r>
    </w:p>
    <w:p w14:paraId="47EB1B81" w14:textId="77777777" w:rsidR="00AB116C" w:rsidRPr="004D4E99" w:rsidRDefault="00AB116C" w:rsidP="004D4E99">
      <w:pPr>
        <w:pStyle w:val="Text"/>
        <w:rPr>
          <w:rStyle w:val="Marker"/>
          <w:color w:val="auto"/>
        </w:rPr>
      </w:pPr>
      <w:r>
        <w:rPr>
          <w:rStyle w:val="Marker"/>
          <w:color w:val="auto"/>
        </w:rPr>
        <w:t xml:space="preserve">Rozporządzenie (WE) nr 1924/2006 w sprawie oświadczeń żywieniowych i zdrowotnych dotyczących żywności zawiera ogólny zakaz z zastrzeżeniem uzyskania zezwolenia w odniesieniu do oświadczeń żywieniowych i zdrowotnych dotyczących żywności. Nutri-Score uważa się według rozpowszechnionego poglądu prawnego za oświadczenie żywieniowe w rozumieniu art. 2 ust. 2 pkt 4 rozporządzenia w sprawie oświadczeń żywieniowych i zdrowotnych dotyczących żywności. Jako takie Nutri-Score wymaga specjalnej aprobaty, która nie jest zapewniona na szczeblu europejskim. Zgodnie z art. 23 ust. 1 rozporządzenia w sprawie oświadczeń żywieniowych i zdrowotnych dotyczących żywności państwo członkowskie Unii Europejskiej, które chciałoby wydać nowe przepisy prawne w zakresie stosowania wymienionego rozporządzenia, musi powiadomić o nich Komisję i pozostałe państwa członkowskie. Oprócz tego dzięki niniejszemu rozporządzeniu usunięta w drodze wyjaśnienia ma zostać przeszkoda w postaci ewentualnie wprowadzanego przez rozporządzenie (UE) nr 1169/2011 „działania blokującego” określone formy dobrowolnego określania wartości odżywczej. </w:t>
      </w:r>
    </w:p>
    <w:p w14:paraId="218B1216" w14:textId="77777777" w:rsidR="00AB116C" w:rsidRPr="004D4E99" w:rsidRDefault="00AB116C" w:rsidP="004D4E99">
      <w:pPr>
        <w:pStyle w:val="Text"/>
      </w:pPr>
      <w:r>
        <w:rPr>
          <w:rStyle w:val="Marker"/>
          <w:color w:val="auto"/>
        </w:rPr>
        <w:t xml:space="preserve">Nutri-Score to zbiorowy wspólnotowy znak towarowy zarejestrowany w Urzędzie Unii Europejskiej ds. Własności Intelektualnej (EUIPO) na rzecz francuskiej Narodowej Agencji Zdrowia Publicznego jako właściciela. W odniesieniu do stosowania znaku Nutri-Score przez prywatne osoby trzecie </w:t>
      </w:r>
      <w:r>
        <w:t xml:space="preserve">miarodajne są zatem w pierwszym rzędzie właściwe wymogi określone prawem znaków towarowych, łącznie z opracowanymi przez właściciela znaku warunkami używania znaku przez tzw. upoważnione osoby. Z powodu tego osadzenia znaku Nutri-Score w prawie prywatnych dóbr niematerialnych również przy zapewnianiu właściwego stosowania znaku Nutri-Score przez osoby trzecie należy wziąć pod uwagę przepisy prawa znaków towarowych i prawa konkurencji oraz prawa karnego, których przestrzeganie musi zostać ogólnie sprawdzone w ramach ochrony prawnej znaku towarowego. </w:t>
      </w:r>
    </w:p>
    <w:p w14:paraId="6F4190E2" w14:textId="77777777" w:rsidR="00AB116C" w:rsidRPr="004D4E99" w:rsidRDefault="00AB116C" w:rsidP="004D4E99">
      <w:pPr>
        <w:pStyle w:val="Text"/>
      </w:pPr>
      <w:r>
        <w:t xml:space="preserve">W przypadku Nutri-Score pięciostopniowa skala od A do E wskazuje całkowitą wartość odżywczą produktu. W tym celu dokonywany jest wzajemny bilans liczby kalorii i różnych wartości odżywczych. </w:t>
      </w:r>
    </w:p>
    <w:p w14:paraId="41602576" w14:textId="77777777" w:rsidR="00AB116C" w:rsidRPr="004D4E99" w:rsidRDefault="00AB116C" w:rsidP="004D4E99">
      <w:pPr>
        <w:pStyle w:val="Text"/>
        <w:rPr>
          <w:rStyle w:val="Marker"/>
          <w:color w:val="auto"/>
        </w:rPr>
      </w:pPr>
      <w:r>
        <w:t xml:space="preserve">Poprzez klauzulę otwartą stworzone mają zostać podstawy prawne w zakresie etykietowania żywności dla stosowania oznaczenia Nutri-Score w Niemczech. </w:t>
      </w:r>
    </w:p>
    <w:p w14:paraId="208A0758" w14:textId="77777777" w:rsidR="00AB116C" w:rsidRPr="004D4E99" w:rsidRDefault="00AB116C" w:rsidP="004D4E99">
      <w:pPr>
        <w:pStyle w:val="berschriftrmischBegrndung"/>
        <w:keepLines/>
        <w:ind w:left="706" w:hanging="706"/>
      </w:pPr>
      <w:r>
        <w:t>Istotna treść projektu</w:t>
      </w:r>
    </w:p>
    <w:p w14:paraId="6A488EE3" w14:textId="77777777" w:rsidR="00AB116C" w:rsidRPr="004D4E99" w:rsidRDefault="00AB116C" w:rsidP="004D4E99">
      <w:pPr>
        <w:pStyle w:val="Text"/>
      </w:pPr>
      <w:r>
        <w:rPr>
          <w:rStyle w:val="Marker"/>
          <w:color w:val="auto"/>
        </w:rPr>
        <w:t>Niniejszym rozporządzeniem zezwala się na dobrowolne stosowanie oznaczenia Nutri</w:t>
      </w:r>
      <w:r>
        <w:rPr>
          <w:rStyle w:val="Marker"/>
          <w:color w:val="auto"/>
        </w:rPr>
        <w:noBreakHyphen/>
        <w:t xml:space="preserve">Score przy etykietowaniu żywności. </w:t>
      </w:r>
    </w:p>
    <w:p w14:paraId="7C9E8516" w14:textId="77777777" w:rsidR="00AB116C" w:rsidRPr="004D4E99" w:rsidRDefault="00AB116C" w:rsidP="004D4E99">
      <w:pPr>
        <w:pStyle w:val="berschriftrmischBegrndung"/>
        <w:keepLines/>
        <w:ind w:left="706" w:hanging="706"/>
      </w:pPr>
      <w:r>
        <w:lastRenderedPageBreak/>
        <w:t>Alternatywy</w:t>
      </w:r>
    </w:p>
    <w:p w14:paraId="58DEC597" w14:textId="3907BAA9" w:rsidR="00F047E3" w:rsidRPr="004D4E99" w:rsidRDefault="00F047E3" w:rsidP="004D4E99">
      <w:pPr>
        <w:pStyle w:val="Text"/>
        <w:rPr>
          <w:rStyle w:val="Marker"/>
          <w:color w:val="auto"/>
        </w:rPr>
      </w:pPr>
      <w:r>
        <w:rPr>
          <w:rStyle w:val="Marker"/>
          <w:color w:val="auto"/>
        </w:rPr>
        <w:t xml:space="preserve">W analizach zamieszczonych w części A. zbadano szereg zaawansowanych modeli określania wartości odżywczej (m.in. Keyhole®, model gospodarki żywnościowej, model Instytutu Maxa Rubnera). Analizy pokazują, że oznaczenie Nutri-Score jest naukowo uzasadnione oraz najlepiej postrzegane przez konsumentów i zrozumiałe dla nich. </w:t>
      </w:r>
    </w:p>
    <w:p w14:paraId="73EA1BC6" w14:textId="77777777" w:rsidR="00AB116C" w:rsidRPr="004D4E99" w:rsidRDefault="00AB116C" w:rsidP="004D4E99">
      <w:pPr>
        <w:pStyle w:val="berschriftrmischBegrndung"/>
        <w:keepLines/>
        <w:ind w:left="706" w:hanging="706"/>
      </w:pPr>
      <w:r>
        <w:t>Kompetencje w zakresie wydawania rozporządzeń</w:t>
      </w:r>
    </w:p>
    <w:p w14:paraId="77385E48" w14:textId="77777777" w:rsidR="00AB116C" w:rsidRPr="000B4DE0" w:rsidRDefault="00AB116C" w:rsidP="004D4E99">
      <w:pPr>
        <w:pStyle w:val="Text"/>
        <w:rPr>
          <w:rStyle w:val="Marker"/>
          <w:color w:val="auto"/>
        </w:rPr>
      </w:pPr>
      <w:r>
        <w:rPr>
          <w:rStyle w:val="Marker"/>
          <w:color w:val="auto"/>
        </w:rPr>
        <w:t xml:space="preserve">Kompetencje Federalnego Ministerstwa Żywności i Rolnictwa w zakresie wydawania rozporządzeń wynikają z § 35 pkt 1 kodeksu środków spożywczych i pasz, który opiera się na art. 74 ust. 1 pkt 20 ustawy zasadniczej. </w:t>
      </w:r>
    </w:p>
    <w:p w14:paraId="4885EAF7" w14:textId="77777777" w:rsidR="00AB116C" w:rsidRPr="004D4E99" w:rsidRDefault="00AB116C" w:rsidP="004D4E99">
      <w:pPr>
        <w:pStyle w:val="berschriftrmischBegrndung"/>
        <w:keepLines/>
        <w:ind w:left="706" w:hanging="706"/>
      </w:pPr>
      <w:r>
        <w:t>Zgodność z prawem Unii Europejskiej i umowami prawa międzynarodowego</w:t>
      </w:r>
    </w:p>
    <w:p w14:paraId="5493D47B" w14:textId="77777777" w:rsidR="00AB116C" w:rsidRPr="004D4E99" w:rsidRDefault="00AB116C" w:rsidP="004D4E99">
      <w:pPr>
        <w:pStyle w:val="Text"/>
      </w:pPr>
      <w:r>
        <w:rPr>
          <w:rStyle w:val="Marker"/>
          <w:color w:val="auto"/>
        </w:rPr>
        <w:t xml:space="preserve">Zapewniona jest zgodność z prawem Unii Europejskiej. Przepisy spełniają wymogi rozporządzenia (UE) nr 1169/2011 dotyczące zaawansowanego określania wartości odżywczej i rozporządzenia (WE) nr 1924/2006 dotyczące regulacji na szczeblu państw członkowskich. </w:t>
      </w:r>
    </w:p>
    <w:p w14:paraId="464B48DA" w14:textId="77777777" w:rsidR="00AB116C" w:rsidRPr="004D4E99" w:rsidRDefault="00AB116C" w:rsidP="004D4E99">
      <w:pPr>
        <w:pStyle w:val="berschriftrmischBegrndung"/>
        <w:keepLines/>
      </w:pPr>
      <w:r>
        <w:t>Skutki prawne</w:t>
      </w:r>
    </w:p>
    <w:p w14:paraId="5136A8B0" w14:textId="77777777" w:rsidR="00AB116C" w:rsidRPr="004D4E99" w:rsidRDefault="00AB116C" w:rsidP="004D4E99">
      <w:pPr>
        <w:pStyle w:val="berschriftarabischBegrndung"/>
        <w:keepLines/>
      </w:pPr>
      <w:r>
        <w:t>Uproszczenie prawa i procedur administracyjnych</w:t>
      </w:r>
    </w:p>
    <w:p w14:paraId="38F24B71" w14:textId="2F2206B6" w:rsidR="00AB116C" w:rsidRPr="004D4E99" w:rsidRDefault="00AB116C" w:rsidP="004D4E99">
      <w:pPr>
        <w:pStyle w:val="Text"/>
        <w:rPr>
          <w:rStyle w:val="Marker"/>
          <w:color w:val="auto"/>
        </w:rPr>
      </w:pPr>
      <w:r>
        <w:rPr>
          <w:rStyle w:val="Marker"/>
          <w:color w:val="auto"/>
        </w:rPr>
        <w:t xml:space="preserve">Przepisy niniejszego rozporządzenia mają umożliwiać umieszczanie na żywności oznaczenia Nutri-Score na zasadzie dobrowolności.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Aspekty dotyczące zrównoważonego rozwoju</w:t>
      </w:r>
    </w:p>
    <w:p w14:paraId="6E8E7903" w14:textId="2A18BA1C" w:rsidR="00AB116C" w:rsidRPr="004D4E99" w:rsidRDefault="00AB116C" w:rsidP="004D4E99">
      <w:pPr>
        <w:pStyle w:val="Text"/>
        <w:rPr>
          <w:rStyle w:val="Marker"/>
          <w:color w:val="auto"/>
        </w:rPr>
      </w:pPr>
      <w:r>
        <w:rPr>
          <w:rStyle w:val="Marker"/>
          <w:color w:val="auto"/>
        </w:rPr>
        <w:t xml:space="preserve">Przepisy wspierają w szczególności realizację przez rząd federalny celu zrównoważonego rozwoju 2 dotyczącego lepszego odżywiania i 3 „Zapewnić wszystkim ludziom w każdym wieku zdrowego życia oraz promować dobrostan”, ułatwiając świadomą decyzję poprzez łatwo zrozumiałą i dobrze dostrzegalną wizualnie informację na temat właściwości odżywczych środka spożywczego. Korzystniejszy pod względem odżywczym środek spożywczy może zostać szybciej zidentyfikowany dzięki łatwemu porównaniu. Umieszczenie oznaczenia przyczynia się zatem do zdrowego odżywiania i jest tym samym zgodne z zasadą zrównoważonego rozwoju nr 4.c., która ma na celu ochronę zdrowia konsumentów. </w:t>
      </w:r>
    </w:p>
    <w:p w14:paraId="11A88643" w14:textId="77777777" w:rsidR="0090263F" w:rsidRPr="004D4E99" w:rsidRDefault="0090263F" w:rsidP="004D4E99">
      <w:pPr>
        <w:pStyle w:val="Text"/>
      </w:pPr>
    </w:p>
    <w:p w14:paraId="6AC566A4" w14:textId="0AAF4A83" w:rsidR="00AB116C" w:rsidRPr="004D4E99" w:rsidRDefault="00AB116C" w:rsidP="004D4E99">
      <w:pPr>
        <w:pStyle w:val="berschriftarabischBegrndung"/>
        <w:keepLines/>
      </w:pPr>
      <w:r>
        <w:t>Wydatki budżetowe bez kosztów realizacji</w:t>
      </w:r>
    </w:p>
    <w:p w14:paraId="01CA2DC7" w14:textId="77777777" w:rsidR="0090263F" w:rsidRPr="004D4E99" w:rsidRDefault="0090263F" w:rsidP="004D4E99">
      <w:pPr>
        <w:pStyle w:val="Text"/>
      </w:pPr>
    </w:p>
    <w:p w14:paraId="31FF99D7" w14:textId="77777777" w:rsidR="00AB116C" w:rsidRPr="004D4E99" w:rsidRDefault="00AB116C" w:rsidP="004D4E99">
      <w:pPr>
        <w:pStyle w:val="berschriftarabischBegrndung"/>
        <w:keepLines/>
      </w:pPr>
      <w:r>
        <w:t>Koszty realizacji</w:t>
      </w:r>
    </w:p>
    <w:p w14:paraId="35BD951D" w14:textId="77777777" w:rsidR="00AB116C" w:rsidRPr="004D4E99" w:rsidRDefault="00AB116C" w:rsidP="004D4E99">
      <w:pPr>
        <w:pStyle w:val="Text"/>
        <w:keepNext/>
        <w:keepLines/>
        <w:rPr>
          <w:b/>
        </w:rPr>
      </w:pPr>
      <w:r>
        <w:rPr>
          <w:b/>
        </w:rPr>
        <w:t>a) Koszty realizacji obciążające obywateli</w:t>
      </w:r>
    </w:p>
    <w:p w14:paraId="450E425E" w14:textId="643304CD" w:rsidR="00AB116C" w:rsidRPr="004D4E99" w:rsidRDefault="00AB116C" w:rsidP="004D4E99">
      <w:pPr>
        <w:pStyle w:val="Text"/>
      </w:pPr>
      <w:r>
        <w:rPr>
          <w:rStyle w:val="Marker"/>
          <w:color w:val="auto"/>
        </w:rPr>
        <w:t>Dla obywateli nie powstają koszty realizacji.</w:t>
      </w:r>
    </w:p>
    <w:p w14:paraId="4F14D8E7" w14:textId="77777777" w:rsidR="00AB116C" w:rsidRPr="004D4E99" w:rsidRDefault="00AB116C" w:rsidP="004D4E99">
      <w:pPr>
        <w:pStyle w:val="Text"/>
        <w:keepNext/>
        <w:keepLines/>
        <w:rPr>
          <w:b/>
        </w:rPr>
      </w:pPr>
      <w:r>
        <w:rPr>
          <w:b/>
        </w:rPr>
        <w:t>b) Koszty realizacji obciążające gospodarkę</w:t>
      </w:r>
    </w:p>
    <w:p w14:paraId="6DD1FE11" w14:textId="6939DEE8" w:rsidR="002F0011" w:rsidRPr="004D4E99" w:rsidRDefault="002F0011" w:rsidP="004D4E99">
      <w:pPr>
        <w:pStyle w:val="Text"/>
      </w:pPr>
      <w:r>
        <w:t>Ponieważ przepis umożliwia jedynie, aby gospodarka stosowała oznaczenie Nutri-Score, którego warunki stosowania są regulowane prawem znaków towarowych, nie powstają dla niej bezpośrednie koszty realizacji.</w:t>
      </w:r>
    </w:p>
    <w:p w14:paraId="296F30FD" w14:textId="77777777" w:rsidR="00AB116C" w:rsidRPr="004D4E99" w:rsidRDefault="00AB116C" w:rsidP="004D4E99">
      <w:pPr>
        <w:pStyle w:val="Text"/>
        <w:rPr>
          <w:b/>
        </w:rPr>
      </w:pPr>
      <w:r>
        <w:rPr>
          <w:b/>
        </w:rPr>
        <w:t>c) Koszty realizacji obciążające administrację</w:t>
      </w:r>
    </w:p>
    <w:p w14:paraId="29B73373" w14:textId="32175B75" w:rsidR="002F0011" w:rsidRPr="004D4E99" w:rsidRDefault="002F0011" w:rsidP="004D4E99">
      <w:pPr>
        <w:pStyle w:val="Text"/>
      </w:pPr>
      <w:r>
        <w:t xml:space="preserve">W związku z pozwoleniem na stosowanie oznaczenia nie powstają dodatkowe koszty dla administracji Federacji, krajów związkowych ani gmin.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lastRenderedPageBreak/>
        <w:t>Dodatkowe koszty</w:t>
      </w:r>
    </w:p>
    <w:p w14:paraId="223750EB" w14:textId="77777777" w:rsidR="00AB116C" w:rsidRPr="004D4E99" w:rsidRDefault="00AB116C" w:rsidP="004D4E99">
      <w:pPr>
        <w:pStyle w:val="Text"/>
        <w:rPr>
          <w:rStyle w:val="Marker"/>
          <w:color w:val="auto"/>
        </w:rPr>
      </w:pPr>
      <w:r>
        <w:rPr>
          <w:rStyle w:val="Marker"/>
          <w:color w:val="auto"/>
        </w:rPr>
        <w:t xml:space="preserve">Nie można całkowicie wykluczyć nieznacznego oddziaływania na ceny jednostkowe; nie przewiduje się jednak oddziaływania na ogólny poziom cen, w szczególności na poziom cen detalicznych. </w:t>
      </w:r>
    </w:p>
    <w:p w14:paraId="3F281BE4" w14:textId="11971AB7" w:rsidR="0091346C" w:rsidRPr="004D4E99" w:rsidRDefault="0091346C" w:rsidP="004D4E99">
      <w:pPr>
        <w:pStyle w:val="Text"/>
        <w:rPr>
          <w:rStyle w:val="Marker"/>
          <w:color w:val="auto"/>
        </w:rPr>
      </w:pPr>
      <w:r>
        <w:rPr>
          <w:rStyle w:val="Marker"/>
          <w:color w:val="auto"/>
        </w:rPr>
        <w:t xml:space="preserve">Wraz z udziałem w systemie dobrowolnego etykietowania powstają dla przedsiębiorstw co najwyżej nieznaczne koszty związane z rejestracją i ustalaniem informacji wymaganych do obliczenia oznaczenia. Procedura składania wniosków elektronicznych ogranicza się do kilku pytań służących identyfikacji użytkownika oznaczenia oraz produktów i jest, ogólnie rzecz biorąc, bezpłatna, tzn. że nie wiążą się z nią opłaty za rejestrację lub umieszczenie oznaczenia. Obliczenie, jakie oznaczenie wchodzi konkretnie w rachubę, opiera się na danych, które są już zawarte w istniejącym określeniu wartości odżywczej i w recepturze. Nie jest zatem wymagane zebranie nowych danych. Do wykonania obliczenia dostępne są kalkulatory online. </w:t>
      </w:r>
    </w:p>
    <w:p w14:paraId="00C2CF7A" w14:textId="43AC0F46" w:rsidR="00DE7B3A" w:rsidRPr="004D4E99" w:rsidRDefault="00125614" w:rsidP="004D4E99">
      <w:pPr>
        <w:pStyle w:val="Text"/>
        <w:rPr>
          <w:rStyle w:val="Marker"/>
          <w:color w:val="auto"/>
        </w:rPr>
      </w:pPr>
      <w:r>
        <w:rPr>
          <w:rStyle w:val="Marker"/>
          <w:color w:val="auto"/>
        </w:rPr>
        <w:t xml:space="preserve">Dla gospodarki mogą powstać jednorazowe koszty dodatkowe związane z koniecznością uzupełnienia nadruku na opakowaniu o oznaczenie Nutri-Score. Jedna część przedstawicieli gospodarki żywnościowej zaprezentowała opinię, że w związku z tym nie powstaną żadne koszty. Inna część przedstawicieli gospodarki wyraziła zdanie, że powstają dodatkowe koszty, nie podając przy tym jednak konkretnych kwot ani podstaw obliczeń. Doświadczenie związane z etykietowaniem żywności pokazuje, że koszty jednorazowej zmiany matryc drukarskich są z reguły raczej nieznaczne.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Pozostałe skutki prawne</w:t>
      </w:r>
    </w:p>
    <w:p w14:paraId="5098760C" w14:textId="77777777" w:rsidR="00AB116C" w:rsidRPr="004D4E99" w:rsidRDefault="00AB116C" w:rsidP="004D4E99">
      <w:pPr>
        <w:pStyle w:val="Text"/>
        <w:rPr>
          <w:rStyle w:val="Marker"/>
          <w:color w:val="auto"/>
        </w:rPr>
      </w:pPr>
      <w:r>
        <w:rPr>
          <w:rStyle w:val="Marker"/>
          <w:color w:val="auto"/>
        </w:rPr>
        <w:t xml:space="preserve">Skutki i zagrożenia demograficzne wynikające z rozporządzenia zostały sprawdzone w oparciu o badania demograficzne opublikowane przez Federalne Ministerstwo Spraw Wewnętrznych. Projekt nie ma bezpośredniego wpływu na demografię. </w:t>
      </w:r>
    </w:p>
    <w:p w14:paraId="03F599DB" w14:textId="77777777" w:rsidR="00AB116C" w:rsidRPr="004D4E99" w:rsidRDefault="00AB116C" w:rsidP="004D4E99">
      <w:pPr>
        <w:pStyle w:val="Text"/>
      </w:pPr>
      <w:r>
        <w:rPr>
          <w:rStyle w:val="Marker"/>
          <w:color w:val="auto"/>
        </w:rPr>
        <w:t xml:space="preserve">Rozporządzenie nie ma skutków dla równouprawnienia kobiet i mężczyzn. </w:t>
      </w:r>
    </w:p>
    <w:p w14:paraId="001C24D4" w14:textId="77777777" w:rsidR="00AB116C" w:rsidRPr="004D4E99" w:rsidRDefault="00AB116C" w:rsidP="004D4E99">
      <w:pPr>
        <w:pStyle w:val="BegrndungBesondererTeil"/>
        <w:keepLines/>
      </w:pPr>
      <w:r>
        <w:t>B. Część szczegółowa</w:t>
      </w:r>
    </w:p>
    <w:p w14:paraId="52BD8A51" w14:textId="77777777" w:rsidR="00AB116C" w:rsidRPr="004D4E99" w:rsidRDefault="00AB116C" w:rsidP="004D4E99">
      <w:pPr>
        <w:pStyle w:val="Text"/>
        <w:keepNext/>
        <w:keepLines/>
        <w:rPr>
          <w:rStyle w:val="Marker"/>
          <w:b/>
          <w:color w:val="auto"/>
        </w:rPr>
      </w:pPr>
      <w:r>
        <w:rPr>
          <w:rStyle w:val="Marker"/>
          <w:b/>
          <w:color w:val="auto"/>
        </w:rPr>
        <w:t xml:space="preserve">Do § 4a: </w:t>
      </w:r>
    </w:p>
    <w:p w14:paraId="4C703332" w14:textId="57443956" w:rsidR="00AB116C" w:rsidRPr="004D4E99" w:rsidRDefault="00AB116C" w:rsidP="004D4E99">
      <w:pPr>
        <w:pStyle w:val="Text"/>
        <w:rPr>
          <w:rStyle w:val="Marker"/>
          <w:color w:val="auto"/>
        </w:rPr>
      </w:pPr>
      <w:r>
        <w:rPr>
          <w:rStyle w:val="Marker"/>
          <w:color w:val="auto"/>
        </w:rPr>
        <w:t xml:space="preserve">Nowym § 4a tworzy się podstawę prawną dla dobrowolnego umieszczania na żywności oznaczenia Nutri-Score i wskazuje się na określone prawem znaków towarowych warunki używania zbiorowego wspólnotowego znaku towarowego Nutri-Score. </w:t>
      </w:r>
    </w:p>
    <w:p w14:paraId="0768F15D" w14:textId="77777777" w:rsidR="00AB116C" w:rsidRPr="004D4E99" w:rsidRDefault="00AB116C" w:rsidP="004D4E99">
      <w:pPr>
        <w:pStyle w:val="Text"/>
        <w:rPr>
          <w:rStyle w:val="Marker"/>
          <w:color w:val="auto"/>
        </w:rPr>
      </w:pPr>
      <w:r>
        <w:rPr>
          <w:rStyle w:val="Marker"/>
          <w:color w:val="auto"/>
        </w:rPr>
        <w:t xml:space="preserve">W ust. 3 dokonuje się wyjaśnienia, że w przypadku stosowania oznaczenia należy przestrzegać istniejących praw własności przemysłowej, praw autorskich i innych praw ochronnych Unii Europejskiej lub jednego z jej państw członkowskich. </w:t>
      </w:r>
    </w:p>
    <w:p w14:paraId="60003B59" w14:textId="77777777" w:rsidR="00AB116C" w:rsidRPr="004D4E99" w:rsidRDefault="00AB116C" w:rsidP="004D4E99">
      <w:pPr>
        <w:pStyle w:val="Text"/>
        <w:rPr>
          <w:rStyle w:val="Marker"/>
          <w:color w:val="auto"/>
        </w:rPr>
      </w:pPr>
      <w:r>
        <w:rPr>
          <w:rStyle w:val="Marker"/>
          <w:color w:val="auto"/>
        </w:rPr>
        <w:t xml:space="preserve">Właścicielem znaku towarowego jest francuska Narodowa Agencja Zdrowia Publicznego. Zgodnie z wyznaczonymi przez nią warunkami stosowania wymagana jest m.in. rejestracja. Ponadto użytkownik oznaczenia musi przestrzegać ustalonych przez właściciela znaku towarowego poszczególnych warunków stosowania. </w:t>
      </w:r>
    </w:p>
    <w:p w14:paraId="5AC32D02" w14:textId="63AB5856" w:rsidR="002728DE" w:rsidRPr="0064537B" w:rsidRDefault="00AB116C" w:rsidP="004D4E99">
      <w:pPr>
        <w:pStyle w:val="Text"/>
        <w:rPr>
          <w:spacing w:val="-4"/>
        </w:rPr>
      </w:pPr>
      <w:r w:rsidRPr="0064537B">
        <w:rPr>
          <w:rStyle w:val="Marker"/>
          <w:color w:val="auto"/>
          <w:spacing w:val="-4"/>
        </w:rPr>
        <w:t>Obecnie wymagania właściciela znaku towarowego dotyczące stosowania znaku są opublikowane w języku francuskim i/lub angielskim. Dla ułatwienia etykietowania i jako wsparcie również dla m</w:t>
      </w:r>
      <w:bookmarkStart w:id="2" w:name="_GoBack"/>
      <w:bookmarkEnd w:id="2"/>
      <w:r w:rsidRPr="0064537B">
        <w:rPr>
          <w:rStyle w:val="Marker"/>
          <w:color w:val="auto"/>
          <w:spacing w:val="-4"/>
        </w:rPr>
        <w:t xml:space="preserve">ałych i średnich przedsiębiorstw umożliwiony ma zostać łatwiejszy kontakt drogą elektroniczną z francuskim właścicielem znaku towarowego i np. publikacja niemieckich tłumaczeń wzorów formularzy lub danych wejściowych w Monitorze Federalnym. </w:t>
      </w:r>
    </w:p>
    <w:sectPr w:rsidR="002728DE" w:rsidRPr="0064537B"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w:t>
      </w:r>
      <w:r>
        <w:tab/>
      </w:r>
      <w:r>
        <w:rPr>
          <w:sz w:val="18"/>
          <w:szCs w:val="20"/>
        </w:rPr>
        <w:t xml:space="preserve">Notyfikowano zgodnie z dyrektywą (UE) 2015/1535 Parlamentu Europejskiego i Rady z dnia 9 września 2015 r. ustanawiającą procedurę udzielania informacji w dziedzinie przepisów technicznych oraz zasad dotyczących usług społeczeństwa informacyjnego (Dz.U. L 241 z 17.9.2015, s.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6535" w14:textId="14C6E43C" w:rsidR="00125614" w:rsidRPr="0060589F" w:rsidRDefault="00125614" w:rsidP="00EC2DB4">
    <w:pPr>
      <w:pStyle w:val="Header"/>
    </w:pPr>
    <w:r>
      <w:tab/>
    </w:r>
    <w:r>
      <w:t xml:space="preserve">- </w:t>
    </w:r>
    <w:r>
      <w:fldChar w:fldCharType="begin"/>
    </w:r>
    <w:r>
      <w:instrText xml:space="preserve"> PAGE  \* MERGEFORMAT </w:instrText>
    </w:r>
    <w:r>
      <w:fldChar w:fldCharType="separate"/>
    </w:r>
    <w:r w:rsidR="000B4DE0">
      <w:t>6</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6C"/>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4537B"/>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EA019E1-4E18-4346-BD94-919A6C8F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2087</Words>
  <Characters>11898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Diana STOICA</cp:lastModifiedBy>
  <cp:revision>3</cp:revision>
  <cp:lastPrinted>2020-03-04T10:36:00Z</cp:lastPrinted>
  <dcterms:created xsi:type="dcterms:W3CDTF">2020-03-10T09:45:00Z</dcterms:created>
  <dcterms:modified xsi:type="dcterms:W3CDTF">2020-03-18T12:38:00Z</dcterms:modified>
</cp:coreProperties>
</file>