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DCD1A" w14:textId="77777777" w:rsidR="005C3CFF" w:rsidRDefault="005C3CFF">
      <w:pPr>
        <w:jc w:val="both"/>
      </w:pPr>
    </w:p>
    <w:tbl>
      <w:tblPr>
        <w:tblW w:w="3982" w:type="dxa"/>
        <w:tblInd w:w="57" w:type="dxa"/>
        <w:tblCellMar>
          <w:top w:w="57" w:type="dxa"/>
          <w:left w:w="57" w:type="dxa"/>
          <w:bottom w:w="57" w:type="dxa"/>
          <w:right w:w="57" w:type="dxa"/>
        </w:tblCellMar>
        <w:tblLook w:val="0000" w:firstRow="0" w:lastRow="0" w:firstColumn="0" w:lastColumn="0" w:noHBand="0" w:noVBand="0"/>
      </w:tblPr>
      <w:tblGrid>
        <w:gridCol w:w="1527"/>
        <w:gridCol w:w="968"/>
        <w:gridCol w:w="1487"/>
      </w:tblGrid>
      <w:tr w:rsidR="005C3CFF" w14:paraId="43E82AEA" w14:textId="77777777">
        <w:trPr>
          <w:cantSplit/>
        </w:trPr>
        <w:tc>
          <w:tcPr>
            <w:tcW w:w="3982" w:type="dxa"/>
            <w:gridSpan w:val="3"/>
            <w:shd w:val="clear" w:color="auto" w:fill="auto"/>
          </w:tcPr>
          <w:p w14:paraId="13126638" w14:textId="77777777" w:rsidR="005C3CFF" w:rsidRDefault="00B8106B">
            <w:pPr>
              <w:pStyle w:val="SNREPUBLIQUE"/>
            </w:pPr>
            <w:r>
              <w:t>FRANCOUZSKÁ REPUBLIKA</w:t>
            </w:r>
          </w:p>
        </w:tc>
      </w:tr>
      <w:tr w:rsidR="005C3CFF" w14:paraId="0E0BE23D" w14:textId="77777777">
        <w:trPr>
          <w:cantSplit/>
          <w:trHeight w:hRule="exact" w:val="113"/>
        </w:trPr>
        <w:tc>
          <w:tcPr>
            <w:tcW w:w="1527" w:type="dxa"/>
            <w:shd w:val="clear" w:color="auto" w:fill="auto"/>
          </w:tcPr>
          <w:p w14:paraId="3CC3322B" w14:textId="77777777" w:rsidR="005C3CFF" w:rsidRDefault="005C3CFF"/>
        </w:tc>
        <w:tc>
          <w:tcPr>
            <w:tcW w:w="968" w:type="dxa"/>
            <w:tcBorders>
              <w:top w:val="single" w:sz="2" w:space="0" w:color="000001"/>
              <w:bottom w:val="single" w:sz="2" w:space="0" w:color="000001"/>
            </w:tcBorders>
            <w:shd w:val="clear" w:color="auto" w:fill="auto"/>
          </w:tcPr>
          <w:p w14:paraId="27686953" w14:textId="77777777" w:rsidR="005C3CFF" w:rsidRDefault="005C3CFF"/>
        </w:tc>
        <w:tc>
          <w:tcPr>
            <w:tcW w:w="1487" w:type="dxa"/>
            <w:shd w:val="clear" w:color="auto" w:fill="auto"/>
          </w:tcPr>
          <w:p w14:paraId="6B9D567D" w14:textId="77777777" w:rsidR="005C3CFF" w:rsidRDefault="005C3CFF"/>
        </w:tc>
      </w:tr>
      <w:tr w:rsidR="005C3CFF" w14:paraId="1BD94421" w14:textId="77777777">
        <w:trPr>
          <w:cantSplit/>
        </w:trPr>
        <w:tc>
          <w:tcPr>
            <w:tcW w:w="3982" w:type="dxa"/>
            <w:gridSpan w:val="3"/>
            <w:shd w:val="clear" w:color="auto" w:fill="auto"/>
          </w:tcPr>
          <w:p w14:paraId="78F2F621" w14:textId="4260BF53" w:rsidR="005C3CFF" w:rsidRDefault="00B8106B">
            <w:pPr>
              <w:pStyle w:val="SNTimbre"/>
            </w:pPr>
            <w:r>
              <w:t xml:space="preserve">Ministerstvo pro ekologickou transformaci a územní soudržnost </w:t>
            </w:r>
          </w:p>
        </w:tc>
      </w:tr>
      <w:tr w:rsidR="005C3CFF" w14:paraId="5E196B70" w14:textId="77777777">
        <w:trPr>
          <w:cantSplit/>
          <w:trHeight w:hRule="exact" w:val="227"/>
        </w:trPr>
        <w:tc>
          <w:tcPr>
            <w:tcW w:w="1527" w:type="dxa"/>
            <w:shd w:val="clear" w:color="auto" w:fill="auto"/>
          </w:tcPr>
          <w:p w14:paraId="79176E71" w14:textId="77777777" w:rsidR="005C3CFF" w:rsidRDefault="005C3CFF"/>
        </w:tc>
        <w:tc>
          <w:tcPr>
            <w:tcW w:w="968" w:type="dxa"/>
            <w:tcBorders>
              <w:top w:val="single" w:sz="2" w:space="0" w:color="000001"/>
              <w:bottom w:val="single" w:sz="2" w:space="0" w:color="000001"/>
            </w:tcBorders>
            <w:shd w:val="clear" w:color="auto" w:fill="auto"/>
          </w:tcPr>
          <w:p w14:paraId="12F4D7B2" w14:textId="77777777" w:rsidR="005C3CFF" w:rsidRDefault="005C3CFF"/>
        </w:tc>
        <w:tc>
          <w:tcPr>
            <w:tcW w:w="1487" w:type="dxa"/>
            <w:shd w:val="clear" w:color="auto" w:fill="auto"/>
          </w:tcPr>
          <w:p w14:paraId="560377D8" w14:textId="77777777" w:rsidR="005C3CFF" w:rsidRDefault="005C3CFF"/>
        </w:tc>
      </w:tr>
      <w:tr w:rsidR="005C3CFF" w14:paraId="71E7E572" w14:textId="77777777">
        <w:trPr>
          <w:cantSplit/>
          <w:trHeight w:hRule="exact" w:val="227"/>
        </w:trPr>
        <w:tc>
          <w:tcPr>
            <w:tcW w:w="1527" w:type="dxa"/>
            <w:shd w:val="clear" w:color="auto" w:fill="auto"/>
          </w:tcPr>
          <w:p w14:paraId="103B9CF4" w14:textId="77777777" w:rsidR="005C3CFF" w:rsidRDefault="005C3CFF"/>
        </w:tc>
        <w:tc>
          <w:tcPr>
            <w:tcW w:w="968" w:type="dxa"/>
            <w:shd w:val="clear" w:color="auto" w:fill="auto"/>
          </w:tcPr>
          <w:p w14:paraId="5A00FA61" w14:textId="77777777" w:rsidR="005C3CFF" w:rsidRDefault="005C3CFF"/>
        </w:tc>
        <w:tc>
          <w:tcPr>
            <w:tcW w:w="1487" w:type="dxa"/>
            <w:shd w:val="clear" w:color="auto" w:fill="auto"/>
          </w:tcPr>
          <w:p w14:paraId="72924EDA" w14:textId="77777777" w:rsidR="005C3CFF" w:rsidRDefault="005C3CFF"/>
        </w:tc>
      </w:tr>
    </w:tbl>
    <w:p w14:paraId="685A481D" w14:textId="77777777" w:rsidR="005C3CFF" w:rsidRPr="00176A22" w:rsidRDefault="00F92020">
      <w:pPr>
        <w:pStyle w:val="SNNature"/>
      </w:pPr>
      <w:r>
        <w:t>Vyhláška ze dne</w:t>
      </w:r>
    </w:p>
    <w:p w14:paraId="6A8D6A8E" w14:textId="77777777" w:rsidR="005C3CFF" w:rsidRDefault="001F42AC">
      <w:pPr>
        <w:pStyle w:val="SNtitre"/>
      </w:pPr>
      <w:r>
        <w:t>o identifikaci nebezpečných látek ve výrobcích, z nichž vzniká odpad</w:t>
      </w:r>
    </w:p>
    <w:p w14:paraId="4E3DCA9D" w14:textId="77777777" w:rsidR="005C3CFF" w:rsidRPr="00176A22" w:rsidRDefault="00B8106B">
      <w:pPr>
        <w:pStyle w:val="SNNORCentr"/>
      </w:pPr>
      <w:r>
        <w:t xml:space="preserve">NOR: </w:t>
      </w:r>
      <w:r>
        <w:rPr>
          <w:highlight w:val="yellow"/>
        </w:rPr>
        <w:t>XXXXXXXXXX</w:t>
      </w:r>
    </w:p>
    <w:p w14:paraId="3392BAA2" w14:textId="4CEEA351" w:rsidR="005C3CFF" w:rsidRPr="00DF11E0" w:rsidRDefault="00B8106B">
      <w:pPr>
        <w:spacing w:before="720" w:after="120"/>
        <w:ind w:firstLine="720"/>
        <w:jc w:val="both"/>
        <w:rPr>
          <w:rFonts w:ascii="Times New Roman" w:hAnsi="Times New Roman" w:cs="Times New Roman"/>
          <w:i/>
          <w:iCs/>
          <w:sz w:val="24"/>
          <w:szCs w:val="24"/>
        </w:rPr>
      </w:pPr>
      <w:r>
        <w:rPr>
          <w:rFonts w:ascii="Times New Roman" w:hAnsi="Times New Roman"/>
          <w:b/>
          <w:i/>
          <w:sz w:val="24"/>
        </w:rPr>
        <w:t xml:space="preserve">Dotčená veřejnost: </w:t>
      </w:r>
      <w:r>
        <w:rPr>
          <w:rFonts w:ascii="Times New Roman" w:hAnsi="Times New Roman"/>
          <w:i/>
          <w:sz w:val="24"/>
        </w:rPr>
        <w:t>Každá osoba, která vyrábí, dováží nebo uvádí na trh výrobky, z nichž vzniká odpad, uvedené v článku R. 541–220 zákoníku životního prostředí. Pokud jde o vlastnosti z hlediska životního prostředí u konceptu „nebezpečné látky“, pojmem výrobek, z něhož vzniká odpad, se rozumí předmět, směs nebo látka ve smyslu článku 3 nařízení (ES) č. 1907/2006.</w:t>
      </w:r>
    </w:p>
    <w:p w14:paraId="1F0EAB46" w14:textId="77777777" w:rsidR="005C3CFF" w:rsidRPr="00DF11E0" w:rsidRDefault="00B8106B">
      <w:pPr>
        <w:spacing w:before="120"/>
        <w:ind w:firstLine="720"/>
        <w:jc w:val="both"/>
        <w:rPr>
          <w:rFonts w:ascii="Times New Roman" w:hAnsi="Times New Roman" w:cs="Times New Roman"/>
          <w:i/>
          <w:iCs/>
          <w:sz w:val="24"/>
          <w:szCs w:val="24"/>
        </w:rPr>
      </w:pPr>
      <w:r>
        <w:rPr>
          <w:rFonts w:ascii="Times New Roman" w:hAnsi="Times New Roman"/>
          <w:b/>
          <w:i/>
          <w:sz w:val="24"/>
        </w:rPr>
        <w:t xml:space="preserve">Účel: </w:t>
      </w:r>
      <w:r>
        <w:rPr>
          <w:rFonts w:ascii="Times New Roman" w:hAnsi="Times New Roman"/>
          <w:i/>
          <w:sz w:val="24"/>
        </w:rPr>
        <w:t xml:space="preserve">Tato vyhláška stanoví seznam nebezpečných látek ve smyslu článku L. 541–9-1 zákoníku životního prostředí, jež vzbuzují srovnatelné obavy jako látky vzbuzující mimořádné obavy a které nejsou zařazeny na seznam uvedený v čl. 59 odst. 10 nařízení (ES) č. 1907/2006. </w:t>
      </w:r>
    </w:p>
    <w:p w14:paraId="10CD6EC7" w14:textId="1D28A958" w:rsidR="005C3CFF" w:rsidRPr="00DF11E0" w:rsidRDefault="00B8106B">
      <w:pPr>
        <w:spacing w:before="120" w:after="120"/>
        <w:ind w:firstLine="720"/>
        <w:jc w:val="both"/>
        <w:rPr>
          <w:rFonts w:ascii="Times New Roman" w:hAnsi="Times New Roman" w:cs="Times New Roman"/>
          <w:i/>
          <w:iCs/>
          <w:sz w:val="24"/>
          <w:szCs w:val="24"/>
        </w:rPr>
      </w:pPr>
      <w:r>
        <w:rPr>
          <w:rFonts w:ascii="Times New Roman" w:hAnsi="Times New Roman"/>
          <w:b/>
          <w:i/>
          <w:sz w:val="24"/>
        </w:rPr>
        <w:t xml:space="preserve">Nabytí účinnosti: </w:t>
      </w:r>
      <w:r>
        <w:rPr>
          <w:rFonts w:ascii="Times New Roman" w:hAnsi="Times New Roman"/>
          <w:i/>
          <w:sz w:val="24"/>
        </w:rPr>
        <w:t>Den následující po dni vyhlášení vyhlášky v Úředním věstníku.</w:t>
      </w:r>
    </w:p>
    <w:p w14:paraId="341F93AC" w14:textId="54221708" w:rsidR="005C3CFF" w:rsidRPr="00DF11E0" w:rsidRDefault="00B8106B">
      <w:pPr>
        <w:spacing w:after="120"/>
        <w:ind w:firstLine="720"/>
        <w:jc w:val="both"/>
        <w:rPr>
          <w:rFonts w:ascii="Times New Roman" w:hAnsi="Times New Roman" w:cs="Times New Roman"/>
          <w:i/>
          <w:iCs/>
          <w:sz w:val="24"/>
          <w:szCs w:val="24"/>
        </w:rPr>
      </w:pPr>
      <w:r>
        <w:rPr>
          <w:rFonts w:ascii="Times New Roman" w:hAnsi="Times New Roman"/>
          <w:b/>
          <w:i/>
          <w:sz w:val="24"/>
        </w:rPr>
        <w:t xml:space="preserve">Poznámka: </w:t>
      </w:r>
      <w:r>
        <w:rPr>
          <w:rFonts w:ascii="Times New Roman" w:hAnsi="Times New Roman"/>
          <w:i/>
          <w:sz w:val="24"/>
        </w:rPr>
        <w:t xml:space="preserve">Článek 33 nařízení (ES) č. 1907/2006 (dále jen „REACH“) stanoví, že každý spotřebitel může požádat dodavatele předmětů, aby jej informoval o přítomnosti látek vzbuzujících mimořádné obavy v koncentraci vyšší než 0,1 % hmotnostních. Seznam látek vzbuzujících mimořádné obavy se mění každých šest měsíců; ke dni 17. ledna 2022 na něm bylo uvedeno 233 látek. Těchto 233 látek je určeno jako prioritní pro nahrazení na evropské úrovni. Nařízení (EU) č. 1272/2008 (dále jen „CLP“) stanoví povinnosti týkající se klasifikace, označování a balení chemických látek a směsí, přičemž hlavním prostředkem poskytování informací spotřebitelům je označování. Cílem těchto předpisů je zajistit vysokou úroveň ochrany lidského zdraví a životního prostředí poskytováním informací spotřebitelům zejména o přítomnosti látek vzbuzujících mimořádné obavy v předmětech a o nebezpečích, která tyto směsi a látky představují. Článek L. 541–9-1 zákoníku životního prostředí, který byl vytvořen zákonem č. 2020–105 ze dne 10. února 2020 o boji proti plýtvání a o oběhovém hospodářství, stanoví možnost rozšířit a posílit tyto informační povinnosti u výrobků, z nichž vzniká odpad, zejména v elektronické podobě. Těmito výrobky se rozumí předměty, směsi nebo látky ve smyslu článku 3 nařízení (ES) č. 1907/2006. Nařízení č. 2021–1285 ze dne 1. října 2021 o identifikaci nebezpečných látek ve výrobcích, z nichž vzniká odpad, stanoví, že seznam těchto látek se skládá ze seznamu látek vzbuzujících mimořádné obavy spolu se seznamem látek, jež vzbuzují srovnatelné obavy, přičemž tento druhý seznam je sestaven na základě stanoviska Národní agentury pro bezpečnost potravin, životního prostředí a práce (ANSES). Tato vyhláška stanoví </w:t>
      </w:r>
      <w:r>
        <w:rPr>
          <w:rFonts w:ascii="Times New Roman" w:hAnsi="Times New Roman"/>
          <w:i/>
          <w:sz w:val="24"/>
        </w:rPr>
        <w:lastRenderedPageBreak/>
        <w:t>první seznam látek, jež vzbuzují srovnatelné obavy jako látky vzbuzující mimořádné obavy, v souladu s doporučeními agentury ANSES v jejím stanovisku ze dne 25. března 2021.</w:t>
      </w:r>
    </w:p>
    <w:p w14:paraId="3A70FCFC" w14:textId="7D42E421" w:rsidR="005C3CFF" w:rsidRPr="007C2FA5" w:rsidRDefault="00F92020">
      <w:pPr>
        <w:spacing w:before="720" w:after="240"/>
        <w:ind w:firstLine="720"/>
        <w:rPr>
          <w:rFonts w:ascii="Times New Roman" w:hAnsi="Times New Roman" w:cs="Times New Roman"/>
          <w:b/>
          <w:bCs/>
          <w:sz w:val="24"/>
          <w:szCs w:val="24"/>
        </w:rPr>
      </w:pPr>
      <w:r>
        <w:rPr>
          <w:rFonts w:ascii="Times New Roman" w:hAnsi="Times New Roman"/>
          <w:b/>
          <w:sz w:val="24"/>
        </w:rPr>
        <w:t>Ministr pro ekologickou transformaci a územní soudržnost,</w:t>
      </w:r>
    </w:p>
    <w:p w14:paraId="1BA61EAC" w14:textId="77777777" w:rsidR="00BC4BCE" w:rsidRDefault="00B8106B" w:rsidP="0068723C">
      <w:pPr>
        <w:pStyle w:val="SNRapport"/>
        <w:jc w:val="both"/>
      </w:pPr>
      <w:r>
        <w:t>s ohledem na zprávu generálního ředitele pro prevenci rizik;</w:t>
      </w:r>
    </w:p>
    <w:p w14:paraId="4EF37F21" w14:textId="77777777" w:rsidR="00FA067A" w:rsidRDefault="00FA067A" w:rsidP="00FA067A">
      <w:pPr>
        <w:pStyle w:val="SNVisa"/>
        <w:rPr>
          <w:bCs/>
        </w:rPr>
      </w:pPr>
      <w:r>
        <w:t>s ohledem na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w:t>
      </w:r>
    </w:p>
    <w:p w14:paraId="19B9958A" w14:textId="065AAC06" w:rsidR="00FA067A" w:rsidRPr="00AC5C8E" w:rsidRDefault="00FA067A" w:rsidP="00FA067A">
      <w:pPr>
        <w:pStyle w:val="SNVisa"/>
        <w:rPr>
          <w:shd w:val="clear" w:color="auto" w:fill="FFFFFF"/>
        </w:rPr>
      </w:pPr>
      <w:r>
        <w:t xml:space="preserve">s ohledem na směrnici Evropského parlamentu a Rady (EU) 2015/1535 </w:t>
      </w:r>
      <w:r>
        <w:rPr>
          <w:shd w:val="clear" w:color="auto" w:fill="FFFFFF"/>
        </w:rPr>
        <w:t>ze dne 9. září 2015 o postupu při poskytování informací v oblasti technických předpisů a předpisů pro služby informační společnosti,</w:t>
      </w:r>
      <w:r>
        <w:t xml:space="preserve"> a zejména na oznámení č. </w:t>
      </w:r>
      <w:r>
        <w:rPr>
          <w:highlight w:val="yellow"/>
        </w:rPr>
        <w:t>2023/XXX/F</w:t>
      </w:r>
      <w:r>
        <w:rPr>
          <w:shd w:val="clear" w:color="auto" w:fill="FFFFFF"/>
        </w:rPr>
        <w:t>;</w:t>
      </w:r>
    </w:p>
    <w:p w14:paraId="7FAA9FD4" w14:textId="77777777" w:rsidR="00FA067A" w:rsidRDefault="00FA067A" w:rsidP="00FA067A">
      <w:pPr>
        <w:pStyle w:val="SNVisa"/>
        <w:rPr>
          <w:bCs/>
        </w:rPr>
      </w:pPr>
      <w:r>
        <w:t>s ohledem na směrnici Evropského parlamentu a Rady (EU) 2018/851 ze dne 30. května 2018, kterou se mění směrnice 2008/98/ES o odpadech;</w:t>
      </w:r>
    </w:p>
    <w:p w14:paraId="4FC279E8" w14:textId="7E3F171B" w:rsidR="00FA067A" w:rsidRDefault="00FA067A" w:rsidP="00FA067A">
      <w:pPr>
        <w:pStyle w:val="SNVisa"/>
        <w:rPr>
          <w:bCs/>
        </w:rPr>
      </w:pPr>
      <w:r>
        <w:t>s ohledem na zákoník životního prostředí, a zejména na článek L. 541-9-1 tohoto zákoníku;</w:t>
      </w:r>
    </w:p>
    <w:p w14:paraId="16EBB9A6" w14:textId="32017DAD" w:rsidR="009D219E" w:rsidRPr="00646164" w:rsidRDefault="009D219E" w:rsidP="00FA067A">
      <w:pPr>
        <w:pStyle w:val="SNVisa"/>
        <w:rPr>
          <w:bCs/>
        </w:rPr>
      </w:pPr>
      <w:r>
        <w:t>s ohledem na zákoník životním prostředí, a zejména na článek R. 541–221 tohoto zákoníku;</w:t>
      </w:r>
    </w:p>
    <w:p w14:paraId="291EB9A3" w14:textId="6247425E" w:rsidR="001509DC" w:rsidRDefault="00F92020" w:rsidP="001509DC">
      <w:pPr>
        <w:pStyle w:val="SNVisa"/>
        <w:rPr>
          <w:bCs/>
        </w:rPr>
      </w:pPr>
      <w:r>
        <w:t>s ohledem na nařízení č. 2021–1285 ze dne 1. října 2021 o identifikaci nebezpečných látek ve výrobcích, z nichž vzniká odpad, přijaté na základě článku L. 541–9-1 zákoníku životního prostředí;</w:t>
      </w:r>
    </w:p>
    <w:p w14:paraId="62C9F107" w14:textId="671C1C40" w:rsidR="00351A7D" w:rsidRDefault="00351A7D" w:rsidP="001509DC">
      <w:pPr>
        <w:pStyle w:val="SNVisa"/>
        <w:rPr>
          <w:bCs/>
        </w:rPr>
      </w:pPr>
      <w:r>
        <w:t>s ohledem na nařízení č. 2022–748 ze dne 29. dubna 2022 o poskytování informací spotřebitelům o environmentálních vlastnostech a charakteristických rysech výrobků, z nichž vzniká odpad;</w:t>
      </w:r>
    </w:p>
    <w:p w14:paraId="4F9A831F" w14:textId="77777777" w:rsidR="001509DC" w:rsidRDefault="001509DC" w:rsidP="00ED414C">
      <w:pPr>
        <w:pStyle w:val="SNVisa"/>
        <w:rPr>
          <w:bCs/>
        </w:rPr>
      </w:pPr>
      <w:r>
        <w:t>s ohledem na seznam látek zveřejněný Evropskou agenturou pro chemické látky na jejích internetových stránkách dne 10. června 2022 podle ustanovení článku 59 nařízení (ES) č. 1907/2006;</w:t>
      </w:r>
    </w:p>
    <w:p w14:paraId="0761D7BB" w14:textId="21EE575E" w:rsidR="00093D84" w:rsidRDefault="00CD2D5F" w:rsidP="00ED414C">
      <w:pPr>
        <w:pStyle w:val="SNVisa"/>
        <w:rPr>
          <w:bCs/>
        </w:rPr>
      </w:pPr>
      <w:r>
        <w:t>s ohledem na stanovisko Národní agentury pro bezpečnost potravin, životního prostředí a práce vydané dne 25. března 2021 v návaznosti na žádost generálního ředitele pro prevenci rizik a generálního ředitele pro zdraví ze dne 26. srpna 2020;</w:t>
      </w:r>
    </w:p>
    <w:p w14:paraId="515AAA36" w14:textId="38651439" w:rsidR="00C57297" w:rsidRPr="00646164" w:rsidRDefault="00C57297" w:rsidP="00C57297">
      <w:pPr>
        <w:pStyle w:val="SNVisa"/>
        <w:rPr>
          <w:bCs/>
        </w:rPr>
      </w:pPr>
      <w:r>
        <w:t>vzhledem k tomu, že bisfenol B je látka, která byla dne 8. července 2021 zařazena na seznam látek vzbuzujících obavy z důvodu jejích vlastností vyvolávajících narušení činnosti endokrinního systému, pokud jde o životní prostředí a lidské zdraví;</w:t>
      </w:r>
    </w:p>
    <w:p w14:paraId="339681F1" w14:textId="7AE8D5B0" w:rsidR="00B1037F" w:rsidRPr="00646164" w:rsidRDefault="00B1037F" w:rsidP="00ED414C">
      <w:pPr>
        <w:pStyle w:val="SNVisa"/>
        <w:rPr>
          <w:bCs/>
        </w:rPr>
      </w:pPr>
      <w:r>
        <w:t>vzhledem k tomu, že diisooktyl-ftalát je látka klasifikovaná jako látka toxická pro reprodukci kategorie 1B, která splňuje kritéria pro identifikaci jako látka vzbuzující mimořádné obavy;</w:t>
      </w:r>
    </w:p>
    <w:p w14:paraId="6E61F2A2" w14:textId="02557EE0" w:rsidR="00E95D8C" w:rsidRPr="00646164" w:rsidRDefault="00E95D8C" w:rsidP="00ED414C">
      <w:pPr>
        <w:pStyle w:val="SNVisa"/>
        <w:rPr>
          <w:bCs/>
        </w:rPr>
      </w:pPr>
      <w:r>
        <w:t>vzhledem k tomu, že resorcinol je látka, jejíž vlastnosti vyvolávající narušení činnosti endokrinního systému u člověka byly uznány jak Národní agenturou pro bezpečnost potravin, životního prostředí a práce (ANSES) v jejím stanovisku ze dne 9. března 2020, tak Výborem členských států dne 12. června 2020, a vzhledem k tomu, že tato látka podle agentury ANSES splňuje kritéria pro identifikaci jako látka vzbuzující mimořádné obavy;</w:t>
      </w:r>
    </w:p>
    <w:p w14:paraId="6E47FDEA" w14:textId="23EF0599" w:rsidR="00C57297" w:rsidRDefault="00C57297" w:rsidP="00ED414C">
      <w:pPr>
        <w:pStyle w:val="SNVisa"/>
        <w:rPr>
          <w:bCs/>
        </w:rPr>
      </w:pPr>
      <w:r>
        <w:lastRenderedPageBreak/>
        <w:t>vzhledem k tomu, že z těchto důvodů musí být látky diisooktyl-ftalát a resorcinol identifikovány jako nebezpečné látky ve smyslu nařízení č. 2021–1285 ze dne 1. října 2021 o identifikaci nebezpečných látek ve výrobcích, z nichž vzniká odpad, přijatého podle článku L. 541–9-1 zákoníku životního prostředí;</w:t>
      </w:r>
    </w:p>
    <w:p w14:paraId="4F9DCE1D" w14:textId="77777777" w:rsidR="005C3CFF" w:rsidRDefault="005C3CFF">
      <w:pPr>
        <w:pStyle w:val="SNVisa"/>
        <w:rPr>
          <w:bCs/>
        </w:rPr>
      </w:pPr>
    </w:p>
    <w:p w14:paraId="73F91CAD" w14:textId="77777777" w:rsidR="005C3CFF" w:rsidRPr="007C2FA5" w:rsidRDefault="00F92020" w:rsidP="007C2FA5">
      <w:pPr>
        <w:pStyle w:val="SNActe"/>
      </w:pPr>
      <w:r>
        <w:t>nařizuje:</w:t>
      </w:r>
    </w:p>
    <w:p w14:paraId="36CE1980" w14:textId="77777777" w:rsidR="005C3CFF" w:rsidRPr="007C2FA5" w:rsidRDefault="00B8106B" w:rsidP="007C2FA5">
      <w:pPr>
        <w:pStyle w:val="SNArticle"/>
      </w:pPr>
      <w:r>
        <w:t>Článek 1</w:t>
      </w:r>
    </w:p>
    <w:p w14:paraId="1BB518B2" w14:textId="17DC1A4D" w:rsidR="004635A2" w:rsidRDefault="004635A2">
      <w:pPr>
        <w:pStyle w:val="BodyText"/>
        <w:spacing w:after="0"/>
        <w:ind w:firstLine="708"/>
      </w:pPr>
      <w:r>
        <w:t>Látky, jež vzbuzují srovnatelné obavy jako látky vzbuzující mimořádné obavy uvedené na internetových stránkách Evropské agentury pro chemické látky podle čl. 59 odst. 10 nařízení (ES) č. 1907/2006, jsou uvedeny v příloze spolu s datem jejich zařazení do přílohy.</w:t>
      </w:r>
    </w:p>
    <w:p w14:paraId="0D812C4D" w14:textId="77777777" w:rsidR="005C3CFF" w:rsidRDefault="005C3CFF">
      <w:pPr>
        <w:pStyle w:val="BodyText"/>
        <w:spacing w:after="0"/>
      </w:pPr>
    </w:p>
    <w:p w14:paraId="2F8D2BF6" w14:textId="77777777" w:rsidR="005C3CFF" w:rsidRDefault="005C3CFF">
      <w:pPr>
        <w:pStyle w:val="BodyText"/>
        <w:spacing w:after="0"/>
        <w:jc w:val="center"/>
        <w:rPr>
          <w:b/>
          <w:bCs/>
        </w:rPr>
      </w:pPr>
    </w:p>
    <w:p w14:paraId="55DC59BA" w14:textId="77777777" w:rsidR="005C3CFF" w:rsidRDefault="00B8106B">
      <w:pPr>
        <w:pStyle w:val="BodyText"/>
        <w:spacing w:after="0"/>
        <w:jc w:val="center"/>
        <w:rPr>
          <w:b/>
          <w:bCs/>
        </w:rPr>
      </w:pPr>
      <w:r>
        <w:rPr>
          <w:b/>
        </w:rPr>
        <w:t>Článek 2</w:t>
      </w:r>
    </w:p>
    <w:p w14:paraId="016B1ADA" w14:textId="77777777" w:rsidR="005C3CFF" w:rsidRDefault="005C3CFF">
      <w:pPr>
        <w:spacing w:after="0"/>
      </w:pPr>
    </w:p>
    <w:p w14:paraId="04F1CE5A" w14:textId="3952A7E9" w:rsidR="005C3CFF" w:rsidRPr="00646164" w:rsidRDefault="00B8106B">
      <w:pPr>
        <w:suppressAutoHyphens/>
        <w:spacing w:after="0" w:line="240" w:lineRule="auto"/>
        <w:ind w:firstLine="709"/>
        <w:jc w:val="both"/>
        <w:rPr>
          <w:rFonts w:ascii="Times" w:hAnsi="Times" w:cs="Times"/>
          <w:sz w:val="24"/>
        </w:rPr>
      </w:pPr>
      <w:r>
        <w:rPr>
          <w:rStyle w:val="Accentuationforte"/>
          <w:rFonts w:ascii="Times New Roman" w:hAnsi="Times New Roman"/>
          <w:b w:val="0"/>
          <w:sz w:val="24"/>
        </w:rPr>
        <w:t>Provedením této vyhlášky, která bude vyhlášena v Úředním věstníku Francouzské republiky, je pověřen ministr pro ekologickou transformaci a územní soudržnost.</w:t>
      </w:r>
    </w:p>
    <w:p w14:paraId="4B860C2B" w14:textId="77777777" w:rsidR="005C3CFF" w:rsidRPr="00646164" w:rsidRDefault="005C3CFF">
      <w:pPr>
        <w:suppressAutoHyphens/>
        <w:spacing w:after="0" w:line="240" w:lineRule="auto"/>
        <w:ind w:firstLine="709"/>
        <w:jc w:val="both"/>
        <w:rPr>
          <w:rStyle w:val="Accentuationforte"/>
          <w:rFonts w:ascii="Times New Roman" w:hAnsi="Times New Roman"/>
          <w:b w:val="0"/>
          <w:bCs w:val="0"/>
          <w:sz w:val="24"/>
          <w:szCs w:val="24"/>
        </w:rPr>
      </w:pPr>
    </w:p>
    <w:p w14:paraId="708D98CE" w14:textId="77777777" w:rsidR="005C3CFF" w:rsidRPr="00646164" w:rsidRDefault="005C3CFF">
      <w:pPr>
        <w:pStyle w:val="BodyText"/>
      </w:pPr>
    </w:p>
    <w:p w14:paraId="032C06DC" w14:textId="77777777" w:rsidR="007E33DE" w:rsidRDefault="00B8106B" w:rsidP="00646164">
      <w:pPr>
        <w:pStyle w:val="SNDate"/>
      </w:pPr>
      <w:r>
        <w:t>Dne</w:t>
      </w:r>
    </w:p>
    <w:p w14:paraId="4B0FC850" w14:textId="355E66B0" w:rsidR="005C3CFF" w:rsidRDefault="00E865E1" w:rsidP="00646164">
      <w:pPr>
        <w:pStyle w:val="SNDate"/>
      </w:pPr>
      <w:r>
        <w:t>Za ministra pro ekologickou transformaci a územní soudržnost:</w:t>
      </w:r>
    </w:p>
    <w:p w14:paraId="37848D37" w14:textId="7C15FCEE" w:rsidR="005C3CFF" w:rsidRDefault="00B8106B" w:rsidP="00646164">
      <w:pPr>
        <w:pStyle w:val="SNDate"/>
        <w:rPr>
          <w:highlight w:val="yellow"/>
        </w:rPr>
      </w:pPr>
      <w:r>
        <w:t>Generální ředitel pro prevenci rizik,</w:t>
      </w:r>
    </w:p>
    <w:p w14:paraId="732A53E4" w14:textId="729526ED" w:rsidR="005C3CFF" w:rsidRDefault="00E865E1" w:rsidP="007C2FA5">
      <w:pPr>
        <w:pStyle w:val="SNSignatureGauche"/>
      </w:pPr>
      <w:r>
        <w:t>Cédric BOURILLET</w:t>
      </w:r>
    </w:p>
    <w:p w14:paraId="2DF0F575" w14:textId="6AC89B1F" w:rsidR="00B1037F" w:rsidRDefault="00B1037F">
      <w:pPr>
        <w:spacing w:after="0" w:line="240" w:lineRule="auto"/>
        <w:rPr>
          <w:rFonts w:ascii="Times New Roman" w:hAnsi="Times New Roman" w:cs="Times New Roman"/>
          <w:color w:val="00000A"/>
          <w:sz w:val="24"/>
          <w:szCs w:val="24"/>
        </w:rPr>
      </w:pPr>
    </w:p>
    <w:p w14:paraId="38F201F4" w14:textId="61944257" w:rsidR="00B1037F" w:rsidRDefault="00B1037F" w:rsidP="00B1037F">
      <w:pPr>
        <w:pStyle w:val="BodyText"/>
        <w:spacing w:after="0"/>
        <w:ind w:firstLine="708"/>
      </w:pPr>
      <w:r>
        <w:t>Příloha</w:t>
      </w:r>
    </w:p>
    <w:p w14:paraId="0FC1DC2D" w14:textId="59D0157F" w:rsidR="00B1037F" w:rsidRDefault="00B1037F" w:rsidP="00B1037F">
      <w:pPr>
        <w:pStyle w:val="BodyText"/>
        <w:spacing w:after="0"/>
        <w:ind w:firstLine="708"/>
      </w:pPr>
    </w:p>
    <w:p w14:paraId="1ED581EE" w14:textId="4F742EB5" w:rsidR="00A40310" w:rsidRDefault="00A40310" w:rsidP="00B1037F">
      <w:pPr>
        <w:pStyle w:val="BodyText"/>
        <w:spacing w:after="0"/>
        <w:ind w:firstLine="708"/>
      </w:pPr>
      <w:r>
        <w:t>Doplňkový seznam nebezpečných látek ve smyslu článku L. 541–9-1 zákoníku životního prostředí identifikovaných podle čl. 1 druhé odrážky nařízení č. 2021–1285 ze dne 1. října 2021 o identifikaci nebezpečných látek ve výrobcích, z nichž vzniká odpad</w:t>
      </w:r>
    </w:p>
    <w:p w14:paraId="3FD72AB2" w14:textId="77777777" w:rsidR="00A40310" w:rsidRDefault="00A40310" w:rsidP="00B1037F">
      <w:pPr>
        <w:pStyle w:val="BodyText"/>
        <w:spacing w:after="0"/>
        <w:ind w:firstLine="708"/>
      </w:pPr>
    </w:p>
    <w:tbl>
      <w:tblPr>
        <w:tblStyle w:val="TableGrid"/>
        <w:tblW w:w="9493" w:type="dxa"/>
        <w:tblLook w:val="04A0" w:firstRow="1" w:lastRow="0" w:firstColumn="1" w:lastColumn="0" w:noHBand="0" w:noVBand="1"/>
      </w:tblPr>
      <w:tblGrid>
        <w:gridCol w:w="4531"/>
        <w:gridCol w:w="1843"/>
        <w:gridCol w:w="3119"/>
      </w:tblGrid>
      <w:tr w:rsidR="00C57297" w14:paraId="675038F4" w14:textId="77777777" w:rsidTr="007E333F">
        <w:trPr>
          <w:tblHeader/>
        </w:trPr>
        <w:tc>
          <w:tcPr>
            <w:tcW w:w="4531" w:type="dxa"/>
          </w:tcPr>
          <w:p w14:paraId="7F39AFE5" w14:textId="0FA344EA" w:rsidR="00C57297" w:rsidRPr="00C57297" w:rsidRDefault="00C57297" w:rsidP="00B1037F">
            <w:pPr>
              <w:pStyle w:val="BodyText"/>
              <w:spacing w:after="0"/>
              <w:rPr>
                <w:b/>
              </w:rPr>
            </w:pPr>
            <w:r>
              <w:rPr>
                <w:b/>
              </w:rPr>
              <w:t>Název látky</w:t>
            </w:r>
          </w:p>
        </w:tc>
        <w:tc>
          <w:tcPr>
            <w:tcW w:w="1843" w:type="dxa"/>
          </w:tcPr>
          <w:p w14:paraId="0E007ABC" w14:textId="332DCBB9" w:rsidR="00C57297" w:rsidRPr="00C57297" w:rsidRDefault="00C57297" w:rsidP="00B1037F">
            <w:pPr>
              <w:pStyle w:val="BodyText"/>
              <w:spacing w:after="0"/>
              <w:rPr>
                <w:b/>
              </w:rPr>
            </w:pPr>
            <w:r>
              <w:rPr>
                <w:b/>
              </w:rPr>
              <w:t>Č. CAS</w:t>
            </w:r>
          </w:p>
        </w:tc>
        <w:tc>
          <w:tcPr>
            <w:tcW w:w="3119" w:type="dxa"/>
          </w:tcPr>
          <w:p w14:paraId="43712975" w14:textId="0B1CB8C8" w:rsidR="00C57297" w:rsidRPr="00C57297" w:rsidRDefault="00C57297" w:rsidP="00B1037F">
            <w:pPr>
              <w:pStyle w:val="BodyText"/>
              <w:spacing w:after="0"/>
              <w:rPr>
                <w:b/>
              </w:rPr>
            </w:pPr>
            <w:r>
              <w:rPr>
                <w:b/>
              </w:rPr>
              <w:t>Datum zařazení</w:t>
            </w:r>
          </w:p>
        </w:tc>
      </w:tr>
      <w:tr w:rsidR="00C57297" w14:paraId="00307371" w14:textId="77777777" w:rsidTr="007E333F">
        <w:tc>
          <w:tcPr>
            <w:tcW w:w="4531" w:type="dxa"/>
          </w:tcPr>
          <w:p w14:paraId="0BA5E57A" w14:textId="270E11A4" w:rsidR="00C57297" w:rsidRDefault="00C57297" w:rsidP="00C57297">
            <w:pPr>
              <w:pStyle w:val="BodyText"/>
              <w:spacing w:after="0"/>
              <w:jc w:val="left"/>
            </w:pPr>
            <w:r>
              <w:t>Diisooktyl-ftalát (DIOP)</w:t>
            </w:r>
          </w:p>
        </w:tc>
        <w:tc>
          <w:tcPr>
            <w:tcW w:w="1843" w:type="dxa"/>
          </w:tcPr>
          <w:p w14:paraId="06C73964" w14:textId="3BF759A9" w:rsidR="00C57297" w:rsidRDefault="00C57297" w:rsidP="00B1037F">
            <w:pPr>
              <w:pStyle w:val="BodyText"/>
              <w:spacing w:after="0"/>
            </w:pPr>
            <w:r>
              <w:t>27554-26-3</w:t>
            </w:r>
          </w:p>
        </w:tc>
        <w:tc>
          <w:tcPr>
            <w:tcW w:w="3119" w:type="dxa"/>
          </w:tcPr>
          <w:p w14:paraId="23F16EB2" w14:textId="32AE2CE0" w:rsidR="00C57297" w:rsidRDefault="00631556" w:rsidP="00631556">
            <w:pPr>
              <w:pStyle w:val="BodyText"/>
              <w:spacing w:after="0"/>
            </w:pPr>
            <w:r>
              <w:t>&lt;den následující po dni vyhlášení v Úředním věstníku Francouzské republiky&gt;</w:t>
            </w:r>
          </w:p>
        </w:tc>
      </w:tr>
      <w:tr w:rsidR="00C57297" w14:paraId="02D5BFC3" w14:textId="77777777" w:rsidTr="007E333F">
        <w:tc>
          <w:tcPr>
            <w:tcW w:w="4531" w:type="dxa"/>
          </w:tcPr>
          <w:p w14:paraId="5DC9622F" w14:textId="1622AFE8" w:rsidR="00C57297" w:rsidRDefault="00C57297" w:rsidP="00C57297">
            <w:pPr>
              <w:pStyle w:val="BodyText"/>
              <w:spacing w:after="0"/>
              <w:jc w:val="left"/>
            </w:pPr>
            <w:r>
              <w:t>1,3-benzendiol (resorcinol)</w:t>
            </w:r>
          </w:p>
        </w:tc>
        <w:tc>
          <w:tcPr>
            <w:tcW w:w="1843" w:type="dxa"/>
          </w:tcPr>
          <w:p w14:paraId="53A597F8" w14:textId="2CE5635F" w:rsidR="00C57297" w:rsidRDefault="00C57297" w:rsidP="00B1037F">
            <w:pPr>
              <w:pStyle w:val="BodyText"/>
              <w:spacing w:after="0"/>
            </w:pPr>
            <w:r>
              <w:t>108-46-3</w:t>
            </w:r>
          </w:p>
        </w:tc>
        <w:tc>
          <w:tcPr>
            <w:tcW w:w="3119" w:type="dxa"/>
          </w:tcPr>
          <w:p w14:paraId="12C3F68A" w14:textId="3F91B58B" w:rsidR="00C57297" w:rsidRDefault="00631556" w:rsidP="00B1037F">
            <w:pPr>
              <w:pStyle w:val="BodyText"/>
              <w:spacing w:after="0"/>
            </w:pPr>
            <w:r>
              <w:t>&lt;den následující po dni vyhlášení v Úředním věstníku Francouzské republiky&gt;</w:t>
            </w:r>
          </w:p>
        </w:tc>
      </w:tr>
    </w:tbl>
    <w:p w14:paraId="74E98D3D" w14:textId="77777777" w:rsidR="00B1037F" w:rsidRDefault="00B1037F" w:rsidP="00B1037F">
      <w:pPr>
        <w:pStyle w:val="BodyText"/>
        <w:spacing w:after="0"/>
        <w:ind w:firstLine="708"/>
      </w:pPr>
    </w:p>
    <w:p w14:paraId="03536BCA" w14:textId="77777777" w:rsidR="00B1037F" w:rsidRPr="007C2FA5" w:rsidRDefault="00B1037F" w:rsidP="00B1037F">
      <w:pPr>
        <w:pStyle w:val="BodyText"/>
        <w:spacing w:after="0"/>
        <w:ind w:firstLine="708"/>
      </w:pPr>
    </w:p>
    <w:sectPr w:rsidR="00B1037F" w:rsidRPr="007C2FA5" w:rsidSect="004A622E">
      <w:headerReference w:type="default" r:id="rId8"/>
      <w:pgSz w:w="11906" w:h="16838"/>
      <w:pgMar w:top="1417" w:right="1417" w:bottom="1417" w:left="1417"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BDC" w14:textId="77777777" w:rsidR="00694B9B" w:rsidRDefault="00694B9B">
      <w:pPr>
        <w:spacing w:after="0" w:line="240" w:lineRule="auto"/>
      </w:pPr>
      <w:r>
        <w:separator/>
      </w:r>
    </w:p>
  </w:endnote>
  <w:endnote w:type="continuationSeparator" w:id="0">
    <w:p w14:paraId="3FD2D877" w14:textId="77777777" w:rsidR="00694B9B" w:rsidRDefault="0069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E11AB" w14:textId="77777777" w:rsidR="00694B9B" w:rsidRDefault="00694B9B">
      <w:pPr>
        <w:spacing w:after="0" w:line="240" w:lineRule="auto"/>
      </w:pPr>
      <w:r>
        <w:separator/>
      </w:r>
    </w:p>
  </w:footnote>
  <w:footnote w:type="continuationSeparator" w:id="0">
    <w:p w14:paraId="7DB7B480" w14:textId="77777777" w:rsidR="00694B9B" w:rsidRDefault="0069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C979" w14:textId="02766A7E" w:rsidR="009334E2" w:rsidRDefault="00B02D2F">
    <w:pPr>
      <w:pStyle w:val="Header"/>
    </w:pPr>
    <w:r>
      <w:rPr>
        <w:noProof/>
      </w:rPr>
      <mc:AlternateContent>
        <mc:Choice Requires="wps">
          <w:drawing>
            <wp:anchor distT="0" distB="0" distL="114300" distR="114300" simplePos="0" relativeHeight="251658240" behindDoc="0" locked="0" layoutInCell="1" allowOverlap="1" wp14:anchorId="4C793AC7" wp14:editId="0DE417EC">
              <wp:simplePos x="0" y="0"/>
              <wp:positionH relativeFrom="column">
                <wp:posOffset>0</wp:posOffset>
              </wp:positionH>
              <wp:positionV relativeFrom="paragraph">
                <wp:posOffset>0</wp:posOffset>
              </wp:positionV>
              <wp:extent cx="635000" cy="635000"/>
              <wp:effectExtent l="9525" t="9525" r="12700" b="12700"/>
              <wp:wrapNone/>
              <wp:docPr id="3" name="AutoShape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548799456 w 21600"/>
                          <a:gd name="T3" fmla="*/ 0 h 21600"/>
                          <a:gd name="T4" fmla="*/ 0 w 21600"/>
                          <a:gd name="T5" fmla="*/ 548799456 h 21600"/>
                          <a:gd name="T6" fmla="*/ 548799456 w 21600"/>
                          <a:gd name="T7" fmla="*/ 548799456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88E85" id="AutoShape 4"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MdU41y0DAABL&#10;CAAADgAAAAAAAAAAAAAAAAAuAgAAZHJzL2Uyb0RvYy54bWxQSwECLQAUAAYACAAAACEAJHJkp9kA&#10;AAAFAQAADwAAAAAAAAAAAAAAAACHBQAAZHJzL2Rvd25yZXYueG1sUEsFBgAAAAAEAAQA8wAAAI0G&#10;AAAAAA==&#10;" path="m,l21600,em,21600r21600,e">
              <v:stroke joinstyle="miter"/>
              <v:path o:connecttype="custom" o:connectlocs="0,0;2147483646,0;0,2147483646;2147483646,2147483646" o:connectangles="0,0,0,0"/>
              <o:lock v:ext="edit" selection="t"/>
            </v:shape>
          </w:pict>
        </mc:Fallback>
      </mc:AlternateContent>
    </w:r>
    <w:r>
      <w:rPr>
        <w:noProof/>
      </w:rPr>
      <mc:AlternateContent>
        <mc:Choice Requires="wps">
          <w:drawing>
            <wp:anchor distT="0" distB="0" distL="114300" distR="114300" simplePos="0" relativeHeight="251657216" behindDoc="0" locked="0" layoutInCell="1" allowOverlap="1" wp14:anchorId="61D0C878" wp14:editId="1253CE9E">
              <wp:simplePos x="0" y="0"/>
              <wp:positionH relativeFrom="column">
                <wp:posOffset>0</wp:posOffset>
              </wp:positionH>
              <wp:positionV relativeFrom="paragraph">
                <wp:posOffset>0</wp:posOffset>
              </wp:positionV>
              <wp:extent cx="635000" cy="635000"/>
              <wp:effectExtent l="9525" t="9525" r="12700" b="12700"/>
              <wp:wrapNone/>
              <wp:docPr id="2"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18667824 w 21600"/>
                          <a:gd name="T3" fmla="*/ 0 h 21600"/>
                          <a:gd name="T4" fmla="*/ 0 w 21600"/>
                          <a:gd name="T5" fmla="*/ 18667824 h 21600"/>
                          <a:gd name="T6" fmla="*/ 18667824 w 21600"/>
                          <a:gd name="T7" fmla="*/ 18667824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C02C" id="AutoShape 3"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" path="m,l21600,em,21600r21600,e">
              <v:stroke joinstyle="miter"/>
              <v:path o:connecttype="custom" o:connectlocs="0,0;548799456,0;0,548799456;548799456,548799456" o:connectangles="0,0,0,0"/>
              <o:lock v:ext="edit" selection="t"/>
            </v:shape>
          </w:pict>
        </mc:Fallback>
      </mc:AlternateContent>
    </w:r>
    <w:r>
      <w:rPr>
        <w:noProof/>
      </w:rPr>
      <mc:AlternateContent>
        <mc:Choice Requires="wps">
          <w:drawing>
            <wp:anchor distT="0" distB="0" distL="114300" distR="114300" simplePos="0" relativeHeight="251656192" behindDoc="0" locked="0" layoutInCell="1" allowOverlap="1" wp14:anchorId="21A79E2E" wp14:editId="39FFE7F7">
              <wp:simplePos x="0" y="0"/>
              <wp:positionH relativeFrom="column">
                <wp:posOffset>0</wp:posOffset>
              </wp:positionH>
              <wp:positionV relativeFrom="paragraph">
                <wp:posOffset>0</wp:posOffset>
              </wp:positionV>
              <wp:extent cx="635000" cy="635000"/>
              <wp:effectExtent l="9525" t="9525" r="12700" b="12700"/>
              <wp:wrapNone/>
              <wp:docPr id="1"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21600"/>
                          <a:gd name="T1" fmla="*/ 0 h 21600"/>
                          <a:gd name="T2" fmla="*/ 635000 w 21600"/>
                          <a:gd name="T3" fmla="*/ 0 h 21600"/>
                          <a:gd name="T4" fmla="*/ 0 w 21600"/>
                          <a:gd name="T5" fmla="*/ 635000 h 21600"/>
                          <a:gd name="T6" fmla="*/ 635000 w 21600"/>
                          <a:gd name="T7" fmla="*/ 63500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3741B" id="shapetype_136"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" path="m,l21600,em,21600r21600,e">
              <v:stroke joinstyle="miter"/>
              <v:path o:connecttype="custom" o:connectlocs="0,0;18667824,0;0,18667824;18667824,18667824" o:connectangles="0,0,0,0"/>
              <o:lock v:ext="edit" selec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523B"/>
    <w:multiLevelType w:val="multilevel"/>
    <w:tmpl w:val="C476850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DAF5D1C"/>
    <w:multiLevelType w:val="hybridMultilevel"/>
    <w:tmpl w:val="DE40F72A"/>
    <w:lvl w:ilvl="0" w:tplc="3FDC2578">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60CD62BD"/>
    <w:multiLevelType w:val="multilevel"/>
    <w:tmpl w:val="61986348"/>
    <w:lvl w:ilvl="0">
      <w:start w:val="1"/>
      <w:numFmt w:val="bullet"/>
      <w:lvlText w:val="-"/>
      <w:lvlJc w:val="left"/>
      <w:pPr>
        <w:ind w:left="1068" w:hanging="360"/>
      </w:pPr>
      <w:rPr>
        <w:rFonts w:ascii="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num w:numId="1" w16cid:durableId="119691262">
    <w:abstractNumId w:val="2"/>
  </w:num>
  <w:num w:numId="2" w16cid:durableId="954555994">
    <w:abstractNumId w:val="0"/>
  </w:num>
  <w:num w:numId="3" w16cid:durableId="92133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CFF"/>
    <w:rsid w:val="00001828"/>
    <w:rsid w:val="0000315F"/>
    <w:rsid w:val="00093D84"/>
    <w:rsid w:val="000C4231"/>
    <w:rsid w:val="000E434B"/>
    <w:rsid w:val="0014128A"/>
    <w:rsid w:val="001509DC"/>
    <w:rsid w:val="00176A22"/>
    <w:rsid w:val="001B00EC"/>
    <w:rsid w:val="001F2CA7"/>
    <w:rsid w:val="001F42AC"/>
    <w:rsid w:val="001F4F6F"/>
    <w:rsid w:val="00230B02"/>
    <w:rsid w:val="00251902"/>
    <w:rsid w:val="0025560A"/>
    <w:rsid w:val="002A2F6F"/>
    <w:rsid w:val="002A6556"/>
    <w:rsid w:val="002B525C"/>
    <w:rsid w:val="002E09DC"/>
    <w:rsid w:val="00351A7D"/>
    <w:rsid w:val="00395596"/>
    <w:rsid w:val="003A6706"/>
    <w:rsid w:val="003B1197"/>
    <w:rsid w:val="003C100A"/>
    <w:rsid w:val="003D1DDE"/>
    <w:rsid w:val="004374AB"/>
    <w:rsid w:val="004635A2"/>
    <w:rsid w:val="00482DA4"/>
    <w:rsid w:val="004968C7"/>
    <w:rsid w:val="004A622E"/>
    <w:rsid w:val="004F2858"/>
    <w:rsid w:val="005852D6"/>
    <w:rsid w:val="00591074"/>
    <w:rsid w:val="005B044B"/>
    <w:rsid w:val="005C3CFF"/>
    <w:rsid w:val="005D1350"/>
    <w:rsid w:val="005E6ACB"/>
    <w:rsid w:val="005F1592"/>
    <w:rsid w:val="00605C77"/>
    <w:rsid w:val="0062476C"/>
    <w:rsid w:val="00631556"/>
    <w:rsid w:val="00646164"/>
    <w:rsid w:val="0068723C"/>
    <w:rsid w:val="00694B9B"/>
    <w:rsid w:val="006B6B73"/>
    <w:rsid w:val="006B6BF5"/>
    <w:rsid w:val="00716136"/>
    <w:rsid w:val="007508FC"/>
    <w:rsid w:val="00751294"/>
    <w:rsid w:val="00774894"/>
    <w:rsid w:val="007C1F2F"/>
    <w:rsid w:val="007C2FA5"/>
    <w:rsid w:val="007E333F"/>
    <w:rsid w:val="007E33DE"/>
    <w:rsid w:val="007E7567"/>
    <w:rsid w:val="007F4495"/>
    <w:rsid w:val="0085577A"/>
    <w:rsid w:val="0087290D"/>
    <w:rsid w:val="008777F6"/>
    <w:rsid w:val="0089763F"/>
    <w:rsid w:val="008B39BF"/>
    <w:rsid w:val="008E0490"/>
    <w:rsid w:val="008F0D1B"/>
    <w:rsid w:val="00906AE2"/>
    <w:rsid w:val="0092595E"/>
    <w:rsid w:val="009334E2"/>
    <w:rsid w:val="009761BA"/>
    <w:rsid w:val="009926D2"/>
    <w:rsid w:val="009D1B93"/>
    <w:rsid w:val="009D219E"/>
    <w:rsid w:val="009D6371"/>
    <w:rsid w:val="009E20D5"/>
    <w:rsid w:val="00A34FEB"/>
    <w:rsid w:val="00A40310"/>
    <w:rsid w:val="00A43970"/>
    <w:rsid w:val="00A75350"/>
    <w:rsid w:val="00AC201F"/>
    <w:rsid w:val="00AC7D4F"/>
    <w:rsid w:val="00B02D2F"/>
    <w:rsid w:val="00B1037F"/>
    <w:rsid w:val="00B6771C"/>
    <w:rsid w:val="00B80A07"/>
    <w:rsid w:val="00B8106B"/>
    <w:rsid w:val="00BA7F96"/>
    <w:rsid w:val="00BC0155"/>
    <w:rsid w:val="00BC1514"/>
    <w:rsid w:val="00BC4BCE"/>
    <w:rsid w:val="00BD17E4"/>
    <w:rsid w:val="00BE7AD4"/>
    <w:rsid w:val="00BF1741"/>
    <w:rsid w:val="00C02043"/>
    <w:rsid w:val="00C17BBA"/>
    <w:rsid w:val="00C22C67"/>
    <w:rsid w:val="00C57297"/>
    <w:rsid w:val="00C84F23"/>
    <w:rsid w:val="00CB61EF"/>
    <w:rsid w:val="00CD2D5F"/>
    <w:rsid w:val="00D21849"/>
    <w:rsid w:val="00D60460"/>
    <w:rsid w:val="00D726ED"/>
    <w:rsid w:val="00D745B3"/>
    <w:rsid w:val="00DB044A"/>
    <w:rsid w:val="00DD0857"/>
    <w:rsid w:val="00DE093C"/>
    <w:rsid w:val="00DF00AF"/>
    <w:rsid w:val="00DF11E0"/>
    <w:rsid w:val="00E865E1"/>
    <w:rsid w:val="00E90A59"/>
    <w:rsid w:val="00E95D8C"/>
    <w:rsid w:val="00EA1CD5"/>
    <w:rsid w:val="00EB057C"/>
    <w:rsid w:val="00EB6569"/>
    <w:rsid w:val="00EB7F23"/>
    <w:rsid w:val="00ED414C"/>
    <w:rsid w:val="00EE4AD0"/>
    <w:rsid w:val="00F32443"/>
    <w:rsid w:val="00F434A3"/>
    <w:rsid w:val="00F51871"/>
    <w:rsid w:val="00F6703C"/>
    <w:rsid w:val="00F817B6"/>
    <w:rsid w:val="00F92020"/>
    <w:rsid w:val="00FA067A"/>
    <w:rsid w:val="00FB3114"/>
    <w:rsid w:val="00FC27A9"/>
    <w:rsid w:val="00FD539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8F5131"/>
  <w15:docId w15:val="{3B5A41C3-809D-4D67-A933-3FCB7D33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7D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75557"/>
    <w:rPr>
      <w:rFonts w:ascii="Segoe UI" w:hAnsi="Segoe UI" w:cs="Segoe UI"/>
      <w:sz w:val="18"/>
      <w:szCs w:val="18"/>
    </w:rPr>
  </w:style>
  <w:style w:type="character" w:styleId="CommentReference">
    <w:name w:val="annotation reference"/>
    <w:basedOn w:val="DefaultParagraphFont"/>
    <w:uiPriority w:val="99"/>
    <w:semiHidden/>
    <w:unhideWhenUsed/>
    <w:qFormat/>
    <w:rsid w:val="009D549D"/>
    <w:rPr>
      <w:sz w:val="16"/>
      <w:szCs w:val="16"/>
    </w:rPr>
  </w:style>
  <w:style w:type="character" w:customStyle="1" w:styleId="CommentTextChar">
    <w:name w:val="Comment Text Char"/>
    <w:basedOn w:val="DefaultParagraphFont"/>
    <w:link w:val="CommentText"/>
    <w:uiPriority w:val="99"/>
    <w:semiHidden/>
    <w:qFormat/>
    <w:rsid w:val="009D549D"/>
    <w:rPr>
      <w:sz w:val="20"/>
      <w:szCs w:val="20"/>
    </w:rPr>
  </w:style>
  <w:style w:type="character" w:customStyle="1" w:styleId="CommentSubjectChar">
    <w:name w:val="Comment Subject Char"/>
    <w:basedOn w:val="CommentTextChar"/>
    <w:link w:val="CommentSubject"/>
    <w:uiPriority w:val="99"/>
    <w:semiHidden/>
    <w:qFormat/>
    <w:rsid w:val="009D549D"/>
    <w:rPr>
      <w:b/>
      <w:bCs/>
      <w:sz w:val="20"/>
      <w:szCs w:val="20"/>
    </w:rPr>
  </w:style>
  <w:style w:type="character" w:customStyle="1" w:styleId="LienInternet">
    <w:name w:val="Lien Internet"/>
    <w:basedOn w:val="DefaultParagraphFont"/>
    <w:uiPriority w:val="99"/>
    <w:unhideWhenUsed/>
    <w:rsid w:val="00C641CC"/>
    <w:rPr>
      <w:color w:val="0000FF"/>
      <w:u w:val="single"/>
    </w:rPr>
  </w:style>
  <w:style w:type="character" w:customStyle="1" w:styleId="BodyTextChar">
    <w:name w:val="Body Text Char"/>
    <w:basedOn w:val="DefaultParagraphFont"/>
    <w:link w:val="BodyText"/>
    <w:qFormat/>
    <w:rsid w:val="00BF56AE"/>
    <w:rPr>
      <w:rFonts w:ascii="Times New Roman" w:eastAsia="Times New Roman" w:hAnsi="Times New Roman" w:cs="Times New Roman"/>
      <w:sz w:val="24"/>
      <w:szCs w:val="24"/>
      <w:lang w:eastAsia="fr-FR"/>
    </w:rPr>
  </w:style>
  <w:style w:type="character" w:customStyle="1" w:styleId="SNDateCar">
    <w:name w:val="SNDate Car"/>
    <w:link w:val="SNDate"/>
    <w:qFormat/>
    <w:rsid w:val="00646164"/>
    <w:rPr>
      <w:rFonts w:ascii="Times New Roman" w:eastAsia="Times New Roman" w:hAnsi="Times New Roman" w:cs="Times New Roman"/>
      <w:sz w:val="24"/>
      <w:szCs w:val="24"/>
      <w:lang w:eastAsia="fr-FR"/>
    </w:rPr>
  </w:style>
  <w:style w:type="character" w:customStyle="1" w:styleId="SNTimbreCar">
    <w:name w:val="SNTimbre Car"/>
    <w:link w:val="SNTimbre"/>
    <w:qFormat/>
    <w:rsid w:val="00BF56AE"/>
    <w:rPr>
      <w:rFonts w:ascii="Times New Roman" w:eastAsia="Lucida Sans Unicode" w:hAnsi="Times New Roman" w:cs="Times New Roman"/>
      <w:sz w:val="24"/>
      <w:szCs w:val="24"/>
      <w:lang w:eastAsia="fr-FR"/>
    </w:rPr>
  </w:style>
  <w:style w:type="character" w:customStyle="1" w:styleId="En-tteCar">
    <w:name w:val="En-tête Car"/>
    <w:basedOn w:val="DefaultParagraphFont"/>
    <w:uiPriority w:val="99"/>
    <w:qFormat/>
    <w:rsid w:val="00C43AFA"/>
  </w:style>
  <w:style w:type="character" w:customStyle="1" w:styleId="FooterChar">
    <w:name w:val="Footer Char"/>
    <w:basedOn w:val="DefaultParagraphFont"/>
    <w:link w:val="Footer"/>
    <w:uiPriority w:val="99"/>
    <w:qFormat/>
    <w:rsid w:val="00C43AFA"/>
  </w:style>
  <w:style w:type="character" w:customStyle="1" w:styleId="FootnoteTextChar">
    <w:name w:val="Footnote Text Char"/>
    <w:basedOn w:val="DefaultParagraphFont"/>
    <w:link w:val="FootnoteText"/>
    <w:uiPriority w:val="99"/>
    <w:semiHidden/>
    <w:qFormat/>
    <w:rsid w:val="00C64AF7"/>
    <w:rPr>
      <w:sz w:val="20"/>
      <w:szCs w:val="20"/>
    </w:rPr>
  </w:style>
  <w:style w:type="character" w:styleId="FootnoteReference">
    <w:name w:val="footnote reference"/>
    <w:basedOn w:val="DefaultParagraphFont"/>
    <w:uiPriority w:val="99"/>
    <w:semiHidden/>
    <w:unhideWhenUsed/>
    <w:qFormat/>
    <w:rsid w:val="00C64AF7"/>
    <w:rPr>
      <w:vertAlign w:val="superscript"/>
    </w:rPr>
  </w:style>
  <w:style w:type="character" w:customStyle="1" w:styleId="Accentuationforte">
    <w:name w:val="Accentuation forte"/>
    <w:qFormat/>
    <w:rsid w:val="001236D3"/>
    <w:rPr>
      <w:b/>
      <w:bCs/>
    </w:rPr>
  </w:style>
  <w:style w:type="character" w:customStyle="1" w:styleId="ListLabel1">
    <w:name w:val="ListLabel 1"/>
    <w:qFormat/>
    <w:rsid w:val="004A622E"/>
    <w:rPr>
      <w:rFonts w:eastAsia="Calibri" w:cs="Times New Roman"/>
    </w:rPr>
  </w:style>
  <w:style w:type="character" w:customStyle="1" w:styleId="ListLabel2">
    <w:name w:val="ListLabel 2"/>
    <w:qFormat/>
    <w:rsid w:val="004A622E"/>
    <w:rPr>
      <w:rFonts w:cs="Courier New"/>
    </w:rPr>
  </w:style>
  <w:style w:type="character" w:customStyle="1" w:styleId="ListLabel3">
    <w:name w:val="ListLabel 3"/>
    <w:qFormat/>
    <w:rsid w:val="004A622E"/>
    <w:rPr>
      <w:rFonts w:cs="Courier New"/>
    </w:rPr>
  </w:style>
  <w:style w:type="character" w:customStyle="1" w:styleId="ListLabel4">
    <w:name w:val="ListLabel 4"/>
    <w:qFormat/>
    <w:rsid w:val="004A622E"/>
    <w:rPr>
      <w:rFonts w:cs="Courier New"/>
    </w:rPr>
  </w:style>
  <w:style w:type="paragraph" w:styleId="Title">
    <w:name w:val="Title"/>
    <w:basedOn w:val="Normal"/>
    <w:next w:val="BodyText"/>
    <w:qFormat/>
    <w:rsid w:val="004A622E"/>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BF56AE"/>
    <w:pPr>
      <w:spacing w:after="120" w:line="240" w:lineRule="auto"/>
      <w:jc w:val="both"/>
    </w:pPr>
    <w:rPr>
      <w:rFonts w:ascii="Times New Roman" w:eastAsia="Times New Roman" w:hAnsi="Times New Roman" w:cs="Times New Roman"/>
      <w:sz w:val="24"/>
      <w:szCs w:val="24"/>
      <w:lang w:eastAsia="fr-FR"/>
    </w:rPr>
  </w:style>
  <w:style w:type="paragraph" w:styleId="List">
    <w:name w:val="List"/>
    <w:basedOn w:val="BodyText"/>
    <w:rsid w:val="004A622E"/>
    <w:rPr>
      <w:rFonts w:cs="Lucida Sans"/>
    </w:rPr>
  </w:style>
  <w:style w:type="paragraph" w:styleId="Caption">
    <w:name w:val="caption"/>
    <w:basedOn w:val="Normal"/>
    <w:qFormat/>
    <w:rsid w:val="004A622E"/>
    <w:pPr>
      <w:suppressLineNumbers/>
      <w:spacing w:before="120" w:after="120"/>
    </w:pPr>
    <w:rPr>
      <w:rFonts w:cs="Lucida Sans"/>
      <w:i/>
      <w:iCs/>
      <w:sz w:val="24"/>
      <w:szCs w:val="24"/>
    </w:rPr>
  </w:style>
  <w:style w:type="paragraph" w:customStyle="1" w:styleId="Index">
    <w:name w:val="Index"/>
    <w:basedOn w:val="Normal"/>
    <w:qFormat/>
    <w:rsid w:val="004A622E"/>
    <w:pPr>
      <w:suppressLineNumbers/>
    </w:pPr>
    <w:rPr>
      <w:rFonts w:cs="Lucida Sans"/>
    </w:rPr>
  </w:style>
  <w:style w:type="paragraph" w:styleId="BalloonText">
    <w:name w:val="Balloon Text"/>
    <w:basedOn w:val="Normal"/>
    <w:link w:val="BalloonTextChar"/>
    <w:uiPriority w:val="99"/>
    <w:semiHidden/>
    <w:unhideWhenUsed/>
    <w:qFormat/>
    <w:rsid w:val="00B7555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9D549D"/>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9D549D"/>
    <w:rPr>
      <w:b/>
      <w:bCs/>
    </w:rPr>
  </w:style>
  <w:style w:type="paragraph" w:customStyle="1" w:styleId="SNDate">
    <w:name w:val="SNDate"/>
    <w:basedOn w:val="Normal"/>
    <w:next w:val="Normal"/>
    <w:link w:val="SNDateCar"/>
    <w:autoRedefine/>
    <w:qFormat/>
    <w:rsid w:val="00646164"/>
    <w:pPr>
      <w:spacing w:before="480" w:after="1800" w:line="240" w:lineRule="auto"/>
      <w:ind w:firstLine="720"/>
    </w:pPr>
    <w:rPr>
      <w:rFonts w:ascii="Times New Roman" w:eastAsia="Times New Roman" w:hAnsi="Times New Roman" w:cs="Times New Roman"/>
      <w:sz w:val="24"/>
      <w:szCs w:val="24"/>
      <w:lang w:eastAsia="fr-FR"/>
    </w:rPr>
  </w:style>
  <w:style w:type="paragraph" w:customStyle="1" w:styleId="SNREPUBLIQUE">
    <w:name w:val="SNREPUBLIQUE"/>
    <w:basedOn w:val="Normal"/>
    <w:qFormat/>
    <w:rsid w:val="00BF56AE"/>
    <w:pPr>
      <w:spacing w:after="0" w:line="240" w:lineRule="auto"/>
      <w:jc w:val="center"/>
    </w:pPr>
    <w:rPr>
      <w:rFonts w:ascii="Times New Roman" w:eastAsia="Times New Roman" w:hAnsi="Times New Roman" w:cs="Times New Roman"/>
      <w:b/>
      <w:bCs/>
      <w:sz w:val="24"/>
      <w:szCs w:val="20"/>
      <w:lang w:eastAsia="fr-FR"/>
    </w:rPr>
  </w:style>
  <w:style w:type="paragraph" w:customStyle="1" w:styleId="SNConsultation">
    <w:name w:val="SNConsultation"/>
    <w:basedOn w:val="Normal"/>
    <w:autoRedefine/>
    <w:qFormat/>
    <w:rsid w:val="00BF56AE"/>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autoRedefine/>
    <w:qFormat/>
    <w:rsid w:val="00BF56AE"/>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autoRedefine/>
    <w:qFormat/>
    <w:rsid w:val="00BF56AE"/>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qFormat/>
    <w:rsid w:val="00BF56AE"/>
    <w:pPr>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qFormat/>
    <w:rsid w:val="00BF56AE"/>
    <w:pPr>
      <w:spacing w:before="720" w:after="240" w:line="240" w:lineRule="auto"/>
      <w:ind w:firstLine="720"/>
    </w:pPr>
    <w:rPr>
      <w:rFonts w:ascii="Times New Roman" w:eastAsia="Times New Roman" w:hAnsi="Times New Roman" w:cs="Times New Roman"/>
      <w:b/>
      <w:sz w:val="24"/>
      <w:szCs w:val="24"/>
      <w:lang w:eastAsia="fr-FR"/>
    </w:rPr>
  </w:style>
  <w:style w:type="paragraph" w:customStyle="1" w:styleId="SNTimbre">
    <w:name w:val="SNTimbre"/>
    <w:basedOn w:val="Normal"/>
    <w:link w:val="SNTimbreCar"/>
    <w:autoRedefine/>
    <w:qFormat/>
    <w:rsid w:val="00BF56AE"/>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paragraph" w:customStyle="1" w:styleId="SNRapport">
    <w:name w:val="SNRapport"/>
    <w:basedOn w:val="Normal"/>
    <w:autoRedefine/>
    <w:qFormat/>
    <w:rsid w:val="00BF56AE"/>
    <w:pPr>
      <w:spacing w:before="240" w:after="120" w:line="240" w:lineRule="auto"/>
      <w:ind w:firstLine="720"/>
    </w:pPr>
    <w:rPr>
      <w:rFonts w:ascii="Times New Roman" w:eastAsia="Times New Roman" w:hAnsi="Times New Roman" w:cs="Times New Roman"/>
      <w:sz w:val="24"/>
      <w:szCs w:val="24"/>
      <w:lang w:eastAsia="fr-FR"/>
    </w:rPr>
  </w:style>
  <w:style w:type="paragraph" w:customStyle="1" w:styleId="SNVisa">
    <w:name w:val="SNVisa"/>
    <w:basedOn w:val="Normal"/>
    <w:autoRedefine/>
    <w:qFormat/>
    <w:rsid w:val="00BF56AE"/>
    <w:pPr>
      <w:spacing w:before="120" w:after="120" w:line="240" w:lineRule="auto"/>
      <w:ind w:firstLine="720"/>
      <w:jc w:val="both"/>
    </w:pPr>
    <w:rPr>
      <w:rFonts w:ascii="Times New Roman" w:eastAsia="Times New Roman" w:hAnsi="Times New Roman" w:cs="Times New Roman"/>
      <w:sz w:val="24"/>
      <w:szCs w:val="24"/>
      <w:lang w:eastAsia="fr-FR"/>
    </w:rPr>
  </w:style>
  <w:style w:type="paragraph" w:styleId="Header">
    <w:name w:val="header"/>
    <w:basedOn w:val="Normal"/>
    <w:uiPriority w:val="99"/>
    <w:unhideWhenUsed/>
    <w:rsid w:val="00C43AFA"/>
    <w:pPr>
      <w:tabs>
        <w:tab w:val="center" w:pos="4536"/>
        <w:tab w:val="right" w:pos="9072"/>
      </w:tabs>
      <w:spacing w:after="0" w:line="240" w:lineRule="auto"/>
    </w:pPr>
  </w:style>
  <w:style w:type="paragraph" w:styleId="Footer">
    <w:name w:val="footer"/>
    <w:basedOn w:val="Normal"/>
    <w:link w:val="FooterChar"/>
    <w:uiPriority w:val="99"/>
    <w:unhideWhenUsed/>
    <w:rsid w:val="00C43AFA"/>
    <w:pPr>
      <w:tabs>
        <w:tab w:val="center" w:pos="4536"/>
        <w:tab w:val="right" w:pos="9072"/>
      </w:tabs>
      <w:spacing w:after="0" w:line="240" w:lineRule="auto"/>
    </w:pPr>
  </w:style>
  <w:style w:type="paragraph" w:styleId="FootnoteText">
    <w:name w:val="footnote text"/>
    <w:basedOn w:val="Normal"/>
    <w:link w:val="FootnoteTextChar"/>
    <w:uiPriority w:val="99"/>
    <w:semiHidden/>
    <w:unhideWhenUsed/>
    <w:qFormat/>
    <w:rsid w:val="00C64AF7"/>
    <w:pPr>
      <w:spacing w:after="0" w:line="240" w:lineRule="auto"/>
    </w:pPr>
    <w:rPr>
      <w:sz w:val="20"/>
      <w:szCs w:val="20"/>
    </w:rPr>
  </w:style>
  <w:style w:type="paragraph" w:customStyle="1" w:styleId="SNSignatureGauche">
    <w:name w:val="SNSignatureGauche"/>
    <w:basedOn w:val="Normal"/>
    <w:autoRedefine/>
    <w:qFormat/>
    <w:rsid w:val="007C2FA5"/>
    <w:pPr>
      <w:spacing w:before="120" w:after="1680" w:line="276" w:lineRule="auto"/>
      <w:ind w:left="720" w:right="4494"/>
    </w:pPr>
    <w:rPr>
      <w:rFonts w:ascii="Times New Roman" w:hAnsi="Times New Roman" w:cs="Times New Roman"/>
      <w:color w:val="00000A"/>
      <w:sz w:val="24"/>
      <w:szCs w:val="24"/>
    </w:rPr>
  </w:style>
  <w:style w:type="paragraph" w:customStyle="1" w:styleId="SNActe">
    <w:name w:val="SNActe"/>
    <w:basedOn w:val="Normal"/>
    <w:autoRedefine/>
    <w:qFormat/>
    <w:rsid w:val="007C2FA5"/>
    <w:pPr>
      <w:spacing w:before="480" w:after="360" w:line="276" w:lineRule="auto"/>
      <w:jc w:val="center"/>
    </w:pPr>
    <w:rPr>
      <w:rFonts w:ascii="Times New Roman" w:hAnsi="Times New Roman" w:cs="Times New Roman"/>
      <w:b/>
      <w:color w:val="00000A"/>
      <w:sz w:val="24"/>
      <w:szCs w:val="24"/>
    </w:rPr>
  </w:style>
  <w:style w:type="paragraph" w:customStyle="1" w:styleId="SNArticle">
    <w:name w:val="SNArticle"/>
    <w:basedOn w:val="Normal"/>
    <w:autoRedefine/>
    <w:qFormat/>
    <w:rsid w:val="007C2FA5"/>
    <w:pPr>
      <w:spacing w:before="240" w:after="240" w:line="276" w:lineRule="auto"/>
      <w:jc w:val="center"/>
    </w:pPr>
    <w:rPr>
      <w:rFonts w:ascii="Times New Roman" w:hAnsi="Times New Roman" w:cs="Times New Roman"/>
      <w:b/>
      <w:color w:val="00000A"/>
      <w:sz w:val="24"/>
      <w:szCs w:val="24"/>
    </w:rPr>
  </w:style>
  <w:style w:type="table" w:styleId="TableGrid">
    <w:name w:val="Table Grid"/>
    <w:basedOn w:val="TableNormal"/>
    <w:uiPriority w:val="39"/>
    <w:rsid w:val="00B1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1A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322BC-F281-4BE4-B817-BDAF4D0CB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1037</Words>
  <Characters>5915</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LEMAITRE Cécile</dc:creator>
  <cp:lastModifiedBy>Liana Brili</cp:lastModifiedBy>
  <cp:revision>4</cp:revision>
  <dcterms:created xsi:type="dcterms:W3CDTF">2023-01-20T09:24:00Z</dcterms:created>
  <dcterms:modified xsi:type="dcterms:W3CDTF">2023-01-30T12:12:00Z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MTES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