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D499" w14:textId="77777777" w:rsidR="001D3DA3" w:rsidRDefault="00AD598F" w:rsidP="008D3E19">
      <w:pPr>
        <w:pStyle w:val="NoSpacing"/>
        <w:spacing w:line="276" w:lineRule="auto"/>
      </w:pPr>
      <w:r>
        <w:t xml:space="preserve">Lääketieteellisestä hoidosta vastaava ministeri,</w:t>
      </w:r>
    </w:p>
    <w:p w14:paraId="4277AAE7" w14:textId="0746FA92" w:rsidR="001D3DA3" w:rsidRDefault="00AD598F" w:rsidP="008D3E19">
      <w:pPr>
        <w:pStyle w:val="NoSpacing"/>
        <w:spacing w:line="276" w:lineRule="auto"/>
        <w:rPr>
          <w:color w:val="000000" w:themeColor="text1"/>
        </w:rPr>
      </w:pPr>
      <w:r>
        <w:t xml:space="preserve"> </w:t>
      </w:r>
      <w:r>
        <w:br/>
      </w:r>
      <w:r>
        <w:t xml:space="preserve">ottaen huomioon</w:t>
      </w:r>
      <w:r>
        <w:t xml:space="preserve"> </w:t>
      </w:r>
      <w:r>
        <w:br/>
      </w:r>
    </w:p>
    <w:p w14:paraId="5EC1E4DA" w14:textId="77777777" w:rsidR="00BD77BD" w:rsidRDefault="00BD77BD" w:rsidP="00BD77BD">
      <w:pPr>
        <w:pStyle w:val="ListParagraph"/>
        <w:numPr>
          <w:ilvl w:val="0"/>
          <w:numId w:val="26"/>
        </w:numPr>
        <w:autoSpaceDN/>
        <w:spacing w:line="276" w:lineRule="auto"/>
        <w:textAlignment w:val="auto"/>
      </w:pPr>
      <w:r>
        <w:t xml:space="preserve">elintarviketietojen antamisesta kuluttajille, Euroopan parlamentin ja neuvoston asetusten (EY) N:o 1924/2006 ja (EY) N:o 1925/2006 muuttamisesta sekä komission direktiivin 87/250/ETY, neuvoston direktiivin 90/496/ETY, komission direktiivin 1999/10/EY, Euroopan parlamentin ja neuvoston direktiivin 2000/13/EY, komission direktiivien 2002/67/EY ja 2008/5/EY sekä komission asetuksen (EY) N:o 608/2004 kumoamisesta 25. päivänä lokakuuta 2011 annetun Euroopan parlamentin ja neuvoston asetuksen (EU) N:o 1169/2011 36 ja 38 artiklan,</w:t>
      </w:r>
    </w:p>
    <w:p w14:paraId="4F7579B4" w14:textId="00829AA7" w:rsidR="00BD77BD" w:rsidRDefault="00BD77BD" w:rsidP="00BD77BD">
      <w:pPr>
        <w:pStyle w:val="ListParagraph"/>
        <w:numPr>
          <w:ilvl w:val="0"/>
          <w:numId w:val="26"/>
        </w:numPr>
        <w:autoSpaceDN/>
        <w:spacing w:line="276" w:lineRule="auto"/>
        <w:textAlignment w:val="auto"/>
      </w:pPr>
      <w:r>
        <w:t xml:space="preserve">elintarvikkeita koskevista ravitsemus- ja terveysväitteistä 20. päivänä joulukuuta 2006 annetun Euroopan parlamentin ja neuvoston asetuksen (EY) N:o 1924/2006 (EUVL 2006, L 404) 8 ja 23 artiklan,</w:t>
      </w:r>
    </w:p>
    <w:p w14:paraId="2D73B211" w14:textId="2E98BB2D" w:rsidR="00BD77BD" w:rsidRPr="00BD77BD" w:rsidRDefault="00BD77BD" w:rsidP="00BD77BD">
      <w:pPr>
        <w:pStyle w:val="NoSpacing"/>
        <w:numPr>
          <w:ilvl w:val="0"/>
          <w:numId w:val="26"/>
        </w:numPr>
        <w:spacing w:line="276" w:lineRule="auto"/>
        <w:rPr>
          <w:color w:val="000000" w:themeColor="text1"/>
        </w:rPr>
      </w:pPr>
      <w:r>
        <w:t xml:space="preserve">11 artiklan,</w:t>
      </w:r>
      <w:r>
        <w:t xml:space="preserve"> </w:t>
      </w:r>
      <w:r>
        <w:t xml:space="preserve">elintarviketietoja koskevan hyödykelain 1 ja 3 kohdan,</w:t>
      </w:r>
    </w:p>
    <w:p w14:paraId="4A14CCD7" w14:textId="77777777" w:rsidR="00BD77BD" w:rsidRDefault="00BD77BD" w:rsidP="008D3E19">
      <w:pPr>
        <w:pStyle w:val="NoSpacing"/>
        <w:spacing w:line="276" w:lineRule="auto"/>
      </w:pPr>
    </w:p>
    <w:p w14:paraId="03E4380A" w14:textId="77777777" w:rsidR="001D3DA3" w:rsidRDefault="00AD598F" w:rsidP="008D3E19">
      <w:pPr>
        <w:pStyle w:val="NoSpacing"/>
        <w:spacing w:line="276" w:lineRule="auto"/>
      </w:pPr>
      <w:r>
        <w:t xml:space="preserve"> </w:t>
      </w:r>
    </w:p>
    <w:p w14:paraId="65467C1F" w14:textId="77777777" w:rsidR="001D3DA3" w:rsidRDefault="00AD598F" w:rsidP="008D3E19">
      <w:pPr>
        <w:pStyle w:val="NoSpacing"/>
        <w:spacing w:line="276" w:lineRule="auto"/>
      </w:pPr>
      <w:r>
        <w:t xml:space="preserve">säätää seuraavaa:</w:t>
      </w:r>
    </w:p>
    <w:p w14:paraId="5C149CB5" w14:textId="77777777" w:rsidR="001D3DA3" w:rsidRDefault="00AD598F" w:rsidP="008D3E19">
      <w:pPr>
        <w:pStyle w:val="NoSpacing"/>
        <w:spacing w:line="276" w:lineRule="auto"/>
      </w:pPr>
      <w:r>
        <w:t xml:space="preserve"> </w:t>
      </w:r>
    </w:p>
    <w:p w14:paraId="1DCCB7BA" w14:textId="77777777" w:rsidR="00EE25A3" w:rsidRDefault="00CB0E9D" w:rsidP="008D3E19">
      <w:pPr>
        <w:pStyle w:val="NoSpacing"/>
        <w:spacing w:line="276" w:lineRule="auto"/>
        <w:rPr>
          <w:color w:val="000000" w:themeColor="text1"/>
        </w:rPr>
      </w:pPr>
      <w:r>
        <w:rPr>
          <w:b/>
        </w:rPr>
        <w:t xml:space="preserve">1 artikla</w:t>
      </w:r>
    </w:p>
    <w:p w14:paraId="51B12A98" w14:textId="77777777" w:rsidR="00EE25A3" w:rsidRDefault="00EE25A3" w:rsidP="008D3E19">
      <w:pPr>
        <w:pStyle w:val="NoSpacing"/>
        <w:spacing w:line="276" w:lineRule="auto"/>
        <w:rPr>
          <w:color w:val="000000" w:themeColor="text1"/>
        </w:rPr>
      </w:pPr>
    </w:p>
    <w:p w14:paraId="14BBE2C3" w14:textId="77777777" w:rsidR="00CB0E9D" w:rsidRPr="00EE25A3" w:rsidRDefault="00CB0E9D" w:rsidP="008D3E19">
      <w:pPr>
        <w:pStyle w:val="NoSpacing"/>
        <w:spacing w:line="276" w:lineRule="auto"/>
      </w:pPr>
      <w:r>
        <w:rPr>
          <w:color w:val="000000" w:themeColor="text1"/>
        </w:rPr>
        <w:t xml:space="preserve">Tässä asetuksessa sovelletaan seuraavia termejä ja määritelmiä:</w:t>
      </w:r>
    </w:p>
    <w:p w14:paraId="5CF05977" w14:textId="38C5D6EC" w:rsidR="00EE25A3" w:rsidRDefault="004126C3" w:rsidP="00D83FCC">
      <w:pPr>
        <w:pStyle w:val="NoSpacing"/>
        <w:spacing w:line="276" w:lineRule="auto"/>
        <w:rPr>
          <w:color w:val="000000" w:themeColor="text1"/>
        </w:rPr>
      </w:pPr>
      <w:r>
        <w:rPr>
          <w:color w:val="000000" w:themeColor="text1"/>
          <w:i/>
        </w:rPr>
        <w:br/>
      </w:r>
      <w:r>
        <w:rPr>
          <w:color w:val="000000" w:themeColor="text1"/>
          <w:i/>
        </w:rPr>
        <w:t xml:space="preserve">Nutri-Score:</w:t>
      </w:r>
      <w:r>
        <w:rPr>
          <w:color w:val="000000" w:themeColor="text1"/>
          <w:i/>
        </w:rPr>
        <w:t xml:space="preserve"> </w:t>
      </w:r>
      <w:r>
        <w:rPr>
          <w:color w:val="000000" w:themeColor="text1"/>
        </w:rPr>
        <w:t xml:space="preserve">EU-tavaramerkki, jonka Santé publique France (l’agence nationale de santé publique) on rekisteröinyt Euroopan unionin teollisoikeuksien virastossa,</w:t>
      </w:r>
      <w:r>
        <w:rPr>
          <w:color w:val="000000" w:themeColor="text1"/>
          <w:i/>
        </w:rPr>
        <w:br/>
      </w:r>
      <w:r>
        <w:t xml:space="preserve">käyttöehdot: Nutri-Scoren käyttösäännöt, julkaisussa </w:t>
      </w:r>
      <w:r>
        <w:rPr>
          <w:b/>
        </w:rPr>
        <w:t xml:space="preserve">P.M</w:t>
      </w:r>
      <w:r>
        <w:t xml:space="preserve">, ”Conditions for using the ”Nutri-Score” logo, version 10 July 2020”.</w:t>
      </w:r>
    </w:p>
    <w:p w14:paraId="5A2C51D8" w14:textId="77777777" w:rsidR="008E3830" w:rsidRPr="00F00BDC" w:rsidRDefault="008E3830" w:rsidP="008D3E19">
      <w:pPr>
        <w:pStyle w:val="NoSpacing"/>
        <w:spacing w:line="276" w:lineRule="auto"/>
        <w:rPr>
          <w:color w:val="000000" w:themeColor="text1"/>
        </w:rPr>
      </w:pPr>
    </w:p>
    <w:p w14:paraId="59206417" w14:textId="77777777" w:rsidR="00CB0E9D" w:rsidRPr="00F00BDC" w:rsidRDefault="00CB0E9D" w:rsidP="008D3E19">
      <w:pPr>
        <w:pStyle w:val="NoSpacing"/>
        <w:spacing w:line="276" w:lineRule="auto"/>
        <w:rPr>
          <w:b/>
          <w:color w:val="000000" w:themeColor="text1"/>
          <w:kern w:val="2"/>
        </w:rPr>
      </w:pPr>
      <w:r>
        <w:rPr>
          <w:b/>
          <w:color w:val="000000" w:themeColor="text1"/>
        </w:rPr>
        <w:t xml:space="preserve">2 artikla</w:t>
      </w:r>
    </w:p>
    <w:p w14:paraId="3122E91A" w14:textId="48F9899F" w:rsidR="00EE25A3" w:rsidRDefault="00A17BBC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t xml:space="preserve">”Nutri-Score”-logo ja sen käyttöehdot määritetään elintarvikevalintalogoksi.</w:t>
      </w:r>
      <w:r>
        <w:rPr>
          <w:color w:val="000000" w:themeColor="text1"/>
        </w:rPr>
        <w:br/>
      </w:r>
    </w:p>
    <w:p w14:paraId="235544F7" w14:textId="77777777" w:rsidR="0040278F" w:rsidRPr="003B06DE" w:rsidRDefault="0040278F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19438C41" w14:textId="77777777" w:rsidR="00CB0E9D" w:rsidRPr="003B06DE" w:rsidRDefault="00087490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b/>
          <w:color w:val="000000" w:themeColor="text1"/>
        </w:rPr>
        <w:t xml:space="preserve">3 artikla</w:t>
      </w:r>
    </w:p>
    <w:p w14:paraId="4F6848E4" w14:textId="77777777" w:rsidR="00CB0E9D" w:rsidRPr="003B06DE" w:rsidRDefault="00CB0E9D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6EC14444" w14:textId="00E19AD1" w:rsidR="008D3E19" w:rsidRDefault="008D3E19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t xml:space="preserve">Tämä järjestely tulee voimaan alkaen </w:t>
      </w:r>
      <w:r>
        <w:rPr>
          <w:b/>
        </w:rPr>
        <w:t xml:space="preserve">P.M.</w:t>
      </w:r>
      <w:r>
        <w:t xml:space="preserve">.</w:t>
      </w:r>
    </w:p>
    <w:p w14:paraId="0764E50F" w14:textId="77777777" w:rsidR="00EE25A3" w:rsidRDefault="00EE25A3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44B429C5" w14:textId="77777777" w:rsidR="0040278F" w:rsidRDefault="0040278F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4EB342AE" w14:textId="77777777" w:rsidR="008D3E19" w:rsidRPr="00EE25A3" w:rsidRDefault="008D3E19" w:rsidP="008D3E19">
      <w:pPr>
        <w:pStyle w:val="NoSpacing"/>
        <w:spacing w:line="276" w:lineRule="auto"/>
        <w:rPr>
          <w:b/>
          <w:color w:val="000000" w:themeColor="text1"/>
          <w:kern w:val="2"/>
        </w:rPr>
      </w:pPr>
      <w:r>
        <w:rPr>
          <w:b/>
          <w:color w:val="000000" w:themeColor="text1"/>
        </w:rPr>
        <w:t xml:space="preserve">4 artikla</w:t>
      </w:r>
    </w:p>
    <w:p w14:paraId="4E11FE6D" w14:textId="77777777" w:rsidR="00EE25A3" w:rsidRDefault="00EE25A3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235A870C" w14:textId="77777777" w:rsidR="00CB0E9D" w:rsidRDefault="008D3E19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t xml:space="preserve">Tähän päätökseen viitataan seuraavasti: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Elintarvikevalintalogon määrittäminen hyödykelain asetuksessa.</w:t>
      </w:r>
    </w:p>
    <w:p w14:paraId="62FB9CF7" w14:textId="77777777" w:rsidR="00A86455" w:rsidRDefault="00A86455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69C1A61D" w14:textId="77777777" w:rsidR="00CB0E9D" w:rsidRPr="003B06DE" w:rsidRDefault="00A86455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t xml:space="preserve">Tämä asetus ja selittävät huomautukset julkaistaan Hallituksen virallisessa lehdessä.</w:t>
      </w:r>
    </w:p>
    <w:p w14:paraId="450EA670" w14:textId="77777777" w:rsidR="00CB0E9D" w:rsidRPr="003B06DE" w:rsidRDefault="00CB0E9D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5E13F2D9" w14:textId="77777777" w:rsidR="00CB0E9D" w:rsidRDefault="00CB0E9D" w:rsidP="008D3E19">
      <w:pPr>
        <w:pStyle w:val="NoSpacing"/>
        <w:spacing w:line="276" w:lineRule="auto"/>
      </w:pPr>
    </w:p>
    <w:p w14:paraId="3E5858B5" w14:textId="77777777" w:rsidR="0040278F" w:rsidRDefault="0040278F" w:rsidP="008D3E19">
      <w:pPr>
        <w:pStyle w:val="NoSpacing"/>
        <w:spacing w:line="276" w:lineRule="auto"/>
      </w:pPr>
    </w:p>
    <w:p w14:paraId="5E4FE47B" w14:textId="77777777" w:rsidR="001D3DA3" w:rsidRDefault="00972418" w:rsidP="008D3E19">
      <w:pPr>
        <w:pStyle w:val="NoSpacing"/>
        <w:spacing w:line="276" w:lineRule="auto"/>
      </w:pPr>
      <w:r>
        <w:t xml:space="preserve">Lääketieteellisestä hoidosta vastaava ministeri,</w:t>
      </w:r>
    </w:p>
    <w:p w14:paraId="39FD1C86" w14:textId="77777777" w:rsidR="001D3DA3" w:rsidRDefault="001D3DA3" w:rsidP="008D3E19">
      <w:pPr>
        <w:pStyle w:val="NoSpacing"/>
        <w:spacing w:line="276" w:lineRule="auto"/>
      </w:pPr>
    </w:p>
    <w:p w14:paraId="3E3C125A" w14:textId="77777777" w:rsidR="001D3DA3" w:rsidRDefault="001D3DA3" w:rsidP="008D3E19">
      <w:pPr>
        <w:pStyle w:val="NoSpacing"/>
        <w:spacing w:line="276" w:lineRule="auto"/>
      </w:pPr>
    </w:p>
    <w:p w14:paraId="2198E016" w14:textId="77777777" w:rsidR="001D3DA3" w:rsidRDefault="001D3DA3" w:rsidP="008D3E19">
      <w:pPr>
        <w:pStyle w:val="NoSpacing"/>
        <w:spacing w:line="276" w:lineRule="auto"/>
      </w:pPr>
    </w:p>
    <w:p w14:paraId="00D97A39" w14:textId="77777777" w:rsidR="001D3DA3" w:rsidRDefault="001D3DA3" w:rsidP="008D3E19">
      <w:pPr>
        <w:pStyle w:val="NoSpacing"/>
        <w:spacing w:line="276" w:lineRule="auto"/>
      </w:pPr>
    </w:p>
    <w:p w14:paraId="32328219" w14:textId="77777777" w:rsidR="001D3DA3" w:rsidRDefault="00922266" w:rsidP="008D3E19">
      <w:pPr>
        <w:pStyle w:val="NoSpacing"/>
        <w:spacing w:line="276" w:lineRule="auto"/>
      </w:pPr>
      <w:r>
        <w:t xml:space="preserve">T. van Ark</w:t>
      </w:r>
    </w:p>
    <w:p w14:paraId="56B5C50F" w14:textId="77777777" w:rsidR="0068359E" w:rsidRDefault="0068359E" w:rsidP="008D3E19">
      <w:pPr>
        <w:pStyle w:val="NoSpacing"/>
        <w:spacing w:line="276" w:lineRule="auto"/>
      </w:pPr>
    </w:p>
    <w:p w14:paraId="1655BCD6" w14:textId="77777777" w:rsidR="003670DB" w:rsidRDefault="003670DB" w:rsidP="008D3E19">
      <w:pPr>
        <w:pStyle w:val="NoSpacing"/>
        <w:spacing w:line="276" w:lineRule="auto"/>
        <w:rPr>
          <w:b/>
          <w:bCs/>
        </w:rPr>
      </w:pPr>
      <w:r>
        <w:br w:type="page"/>
      </w:r>
    </w:p>
    <w:p w14:paraId="7A0310FC" w14:textId="77777777" w:rsidR="007374B7" w:rsidRDefault="00CE650A" w:rsidP="008D3E19">
      <w:pPr>
        <w:pStyle w:val="NoSpacing"/>
        <w:spacing w:line="276" w:lineRule="auto"/>
        <w:rPr>
          <w:b/>
          <w:bCs/>
        </w:rPr>
      </w:pPr>
      <w:r>
        <w:rPr>
          <w:b/>
        </w:rPr>
        <w:t xml:space="preserve">SELITTÄVÄT HUOMAUTUKSET</w:t>
      </w:r>
      <w:r>
        <w:rPr>
          <w:b/>
        </w:rPr>
        <w:br/>
      </w:r>
    </w:p>
    <w:p w14:paraId="62AF9EB0" w14:textId="77777777" w:rsidR="007374B7" w:rsidRPr="007374B7" w:rsidRDefault="007374B7" w:rsidP="008D3E19">
      <w:pPr>
        <w:pStyle w:val="NoSpacing"/>
        <w:spacing w:line="276" w:lineRule="auto"/>
        <w:rPr>
          <w:b/>
          <w:bCs/>
        </w:rPr>
      </w:pPr>
      <w:r>
        <w:rPr>
          <w:b/>
        </w:rPr>
        <w:t xml:space="preserve">1.</w:t>
      </w:r>
      <w:r>
        <w:rPr>
          <w:b/>
        </w:rPr>
        <w:t xml:space="preserve"> </w:t>
      </w:r>
      <w:r>
        <w:rPr>
          <w:b/>
        </w:rPr>
        <w:t xml:space="preserve">Yleistä</w:t>
      </w:r>
    </w:p>
    <w:p w14:paraId="522F9288" w14:textId="42F9642B" w:rsidR="00CE650A" w:rsidRDefault="00D83FCC" w:rsidP="00D83FCC">
      <w:pPr>
        <w:pStyle w:val="NoSpacing"/>
        <w:spacing w:line="276" w:lineRule="auto"/>
        <w:rPr>
          <w:i/>
        </w:rPr>
      </w:pPr>
      <w:r>
        <w:rPr>
          <w:i/>
        </w:rPr>
        <w:br/>
      </w:r>
      <w:r>
        <w:rPr>
          <w:i/>
        </w:rPr>
        <w:t xml:space="preserve">Syy</w:t>
      </w:r>
    </w:p>
    <w:p w14:paraId="061545D9" w14:textId="77777777" w:rsidR="00CE650A" w:rsidRDefault="00CE650A" w:rsidP="008D3E19">
      <w:pPr>
        <w:pStyle w:val="NoSpacing"/>
        <w:spacing w:line="276" w:lineRule="auto"/>
        <w:rPr>
          <w:i/>
        </w:rPr>
      </w:pPr>
    </w:p>
    <w:p w14:paraId="79255285" w14:textId="29306F1B" w:rsidR="007374B7" w:rsidRDefault="000E5170" w:rsidP="008D3E19">
      <w:pPr>
        <w:pStyle w:val="NoSpacing"/>
        <w:spacing w:line="276" w:lineRule="auto"/>
      </w:pPr>
      <w:r>
        <w:t xml:space="preserve">Kansallinen ennaltaehkäisysopimus</w:t>
      </w:r>
      <w:r w:rsidR="00125CD6">
        <w:rPr>
          <w:rStyle w:val="FootnoteReference"/>
        </w:rPr>
        <w:footnoteReference w:id="1"/>
      </w:r>
      <w:r>
        <w:t xml:space="preserve"> hyväksyttiin 23. päivänä marraskuuta 2018.</w:t>
      </w:r>
      <w:r>
        <w:t xml:space="preserve"> </w:t>
      </w:r>
      <w:r>
        <w:t xml:space="preserve">Tähän sisältyy hallituksen ja yli 70 osapuolen tekemät sopimukset ylipainon, tupakoinnin ja ongelmajuomisen torjuntaa koskevien toimenpiteiden käyttöönotosta.</w:t>
      </w:r>
      <w:r>
        <w:t xml:space="preserve"> </w:t>
      </w:r>
      <w:r>
        <w:t xml:space="preserve">Allekirjoittajia ovat hoitoalan kattojärjestöt, potilasjärjestöt, yritykset, kunnat ja oppilaitokset.</w:t>
      </w:r>
      <w:r>
        <w:t xml:space="preserve"> </w:t>
      </w:r>
      <w:r>
        <w:t xml:space="preserve">Kansalliseen ennaltaehkäisysopimukseen sisältyy useita terveellistä ravintoa koskevia toimenpiteitä.</w:t>
      </w:r>
      <w:r>
        <w:t xml:space="preserve"> </w:t>
      </w:r>
      <w:r>
        <w:t xml:space="preserve">Terveellinen ruokavalio on tärkeää kaikille, ei vain ylipainoisille ihmisille.</w:t>
      </w:r>
      <w:r>
        <w:t xml:space="preserve"> </w:t>
      </w:r>
      <w:r>
        <w:t xml:space="preserve">Jotta kuluttajien tietoisuus terveemmistä valinnoista helpottuisi, kansallisessa ennaltaehkäisysopimuksessa sovittiin, että Alankomaiden hallitus julkistaa vuonna 2020 uuden, laajaan käyttöön tulevan elintarvikevalintalogon.</w:t>
      </w:r>
      <w:r>
        <w:t xml:space="preserve"> </w:t>
      </w:r>
    </w:p>
    <w:p w14:paraId="27DBBD77" w14:textId="77777777" w:rsidR="007374B7" w:rsidRDefault="007374B7" w:rsidP="008D3E19">
      <w:pPr>
        <w:pStyle w:val="NoSpacing"/>
        <w:spacing w:line="276" w:lineRule="auto"/>
      </w:pPr>
    </w:p>
    <w:p w14:paraId="34004F87" w14:textId="77777777" w:rsidR="000E5170" w:rsidRPr="001110B2" w:rsidRDefault="00CE650A" w:rsidP="008D3E19">
      <w:pPr>
        <w:pStyle w:val="NoSpacing"/>
        <w:spacing w:line="276" w:lineRule="auto"/>
      </w:pPr>
      <w:r>
        <w:t xml:space="preserve">Vaatimuksena oli, että logon valinnan olisi perustuttava luotettavaan ja riippumattomaan kuluttajatutkimukseen.</w:t>
      </w:r>
      <w:r>
        <w:t xml:space="preserve"> </w:t>
      </w:r>
      <w:r>
        <w:t xml:space="preserve">Lisäksi pidettiin erittäin tärkeänä, että valittava logo on yhdenmukainen sen kanssa, miten ihmiset tekevät valintansa: kuluttajien ymmärtämisen oli oltava johtoajatuksena.</w:t>
      </w:r>
      <w:r>
        <w:t xml:space="preserve"> </w:t>
      </w:r>
      <w:r>
        <w:t xml:space="preserve">Valinnassa olisi otettava huomioon myös viisi levyä, ja lopuksi olisi otettava huomioon eurooppalaisten elintarvikevalintalogojen kehitys.</w:t>
      </w:r>
    </w:p>
    <w:p w14:paraId="0AF7CAF5" w14:textId="77777777" w:rsidR="000E5170" w:rsidRPr="001110B2" w:rsidRDefault="000E5170" w:rsidP="008D3E19">
      <w:pPr>
        <w:pStyle w:val="NoSpacing"/>
        <w:spacing w:line="276" w:lineRule="auto"/>
      </w:pPr>
    </w:p>
    <w:p w14:paraId="5F31D578" w14:textId="77777777" w:rsidR="000E5170" w:rsidRPr="008D3E19" w:rsidRDefault="000E5170" w:rsidP="008D3E19">
      <w:pPr>
        <w:pStyle w:val="NoSpacing"/>
        <w:spacing w:line="276" w:lineRule="auto"/>
        <w:rPr>
          <w:i/>
        </w:rPr>
      </w:pPr>
      <w:r>
        <w:rPr>
          <w:i/>
        </w:rPr>
        <w:t xml:space="preserve">Prosessi</w:t>
      </w:r>
      <w:r>
        <w:rPr>
          <w:i/>
        </w:rPr>
        <w:br/>
      </w:r>
    </w:p>
    <w:p w14:paraId="15D74CD7" w14:textId="77777777" w:rsidR="004F54A5" w:rsidRDefault="004F54A5" w:rsidP="008D3E19">
      <w:pPr>
        <w:pStyle w:val="NoSpacing"/>
        <w:spacing w:line="276" w:lineRule="auto"/>
      </w:pPr>
      <w:r>
        <w:t xml:space="preserve">Marraskuusta 2018 alkaen aloitettiin työ edellä mainitun kansallisen ennaltaehkäisysopimuksen mukaisen sopimuksen täytäntöönpanemiseksi.</w:t>
      </w:r>
    </w:p>
    <w:p w14:paraId="7FAB8B53" w14:textId="77777777" w:rsidR="001110B2" w:rsidRDefault="0029125D" w:rsidP="008D3E19">
      <w:pPr>
        <w:pStyle w:val="NoSpacing"/>
        <w:spacing w:line="276" w:lineRule="auto"/>
      </w:pPr>
      <w:r>
        <w:t xml:space="preserve">Valittavan elintarvikevalintalogon edellytyksiä laadittaessa on kuultu eri tahoja.</w:t>
      </w:r>
      <w:r>
        <w:t xml:space="preserve"> </w:t>
      </w:r>
      <w:r>
        <w:t xml:space="preserve">Kuluttajayhdistys, terveysosuuskunnat (Hartstichting, Nierstichting, Diabetesfonds), Centraal Bureau Levensmiddelenhandel (CBL), Alankomaiden elintarviketeollisuuden liitto (FNLI), Koninklijke Horeca Nederland (KHN), Vereniging Nederlandse Cateraars (Veneca), ravitsemuskeskus, RIVM ja maatalousministeriö osallistuvat päätöksentekoon.</w:t>
      </w:r>
    </w:p>
    <w:p w14:paraId="730CEA55" w14:textId="77777777" w:rsidR="001110B2" w:rsidRDefault="001110B2" w:rsidP="008D3E19">
      <w:pPr>
        <w:pStyle w:val="NoSpacing"/>
        <w:spacing w:line="276" w:lineRule="auto"/>
      </w:pPr>
    </w:p>
    <w:p w14:paraId="5186B065" w14:textId="16D64986" w:rsidR="00672904" w:rsidRDefault="001110B2" w:rsidP="008D3E19">
      <w:pPr>
        <w:pStyle w:val="NoSpacing"/>
        <w:spacing w:line="276" w:lineRule="auto"/>
      </w:pPr>
      <w:r>
        <w:t xml:space="preserve">Riippumaton kuluttajatutkimus</w:t>
      </w:r>
      <w:r w:rsidR="00A978BD">
        <w:rPr>
          <w:rStyle w:val="FootnoteReference"/>
        </w:rPr>
        <w:footnoteReference w:id="2"/>
      </w:r>
      <w:r>
        <w:t xml:space="preserve"> vertasi kolmea Euroopan maissa nykyisin käytössä olevaa elintarvikevalintalogoa.</w:t>
      </w:r>
      <w:r>
        <w:t xml:space="preserve"> </w:t>
      </w:r>
      <w:r>
        <w:t xml:space="preserve">On tutkittu, missä määrin nämä logot auttavat kuluttajia tekemään terveellisempiä valintoja.</w:t>
      </w:r>
      <w:r>
        <w:t xml:space="preserve"> </w:t>
      </w:r>
      <w:r>
        <w:t xml:space="preserve">Kuluttajatutkimus osoittaa, että Nutri-Scoren avulla kuluttajia voidaan parhaiten ohjata terveellisempiin valintoihin.</w:t>
      </w:r>
      <w:r>
        <w:t xml:space="preserve"> </w:t>
      </w:r>
      <w:r>
        <w:t xml:space="preserve">Myymälässä samanlaisia tuotteita voidaan verrata helposti ja nopeasti: kuluttajat näkevät yhdellä silmäyksellä, mikä tuote on terveellisempi valinta.</w:t>
      </w:r>
      <w:r>
        <w:t xml:space="preserve"> </w:t>
      </w:r>
      <w:r>
        <w:t xml:space="preserve">Tämä helpottaa terveellisemmän valinnan tekemistä.</w:t>
      </w:r>
      <w:r>
        <w:t xml:space="preserve"> </w:t>
      </w:r>
    </w:p>
    <w:p w14:paraId="3729F3B9" w14:textId="77777777" w:rsidR="00672904" w:rsidRDefault="00672904" w:rsidP="008D3E19">
      <w:pPr>
        <w:pStyle w:val="NoSpacing"/>
        <w:spacing w:line="276" w:lineRule="auto"/>
      </w:pPr>
    </w:p>
    <w:p w14:paraId="5F77E2A9" w14:textId="70D4DAE7" w:rsidR="00672904" w:rsidRDefault="00672904" w:rsidP="008D3E19">
      <w:pPr>
        <w:pStyle w:val="NoSpacing"/>
        <w:spacing w:line="276" w:lineRule="auto"/>
      </w:pPr>
      <w:r>
        <w:t xml:space="preserve">Kuluttajakysely osoittaa kuitenkin myös, että osa vastaajista ei enää pysty tekemään terveellisempää valintaa, jos viittä levyä ja logoa koskevat tiedot eivät vastaa toisiaan.</w:t>
      </w:r>
      <w:r>
        <w:t xml:space="preserve"> </w:t>
      </w:r>
      <w:r>
        <w:t xml:space="preserve">RIVM ja ravitsemuskeskus ovat tehneet tutkimuksen Nutri-Score,&amp;LT</w:t>
      </w:r>
      <w:r w:rsidR="00A978BD">
        <w:rPr>
          <w:rStyle w:val="FootnoteReference"/>
        </w:rPr>
        <w:footnoteReference w:id="3"/>
      </w:r>
      <w:r>
        <w:t xml:space="preserve"> </w:t>
      </w:r>
      <w:r>
        <w:t xml:space="preserve">jossa pääteltiin, että useiden eri luokkiin kuuluvien tuotteiden osalta Nutri-Scoren ja viiden levyn ravitsemusohjeet eivät vastaa täysin toisiaan.</w:t>
      </w:r>
      <w:r>
        <w:t xml:space="preserve"> </w:t>
      </w:r>
    </w:p>
    <w:p w14:paraId="153F6129" w14:textId="77777777" w:rsidR="00672904" w:rsidRDefault="00672904" w:rsidP="008D3E19">
      <w:pPr>
        <w:pStyle w:val="NoSpacing"/>
        <w:spacing w:line="276" w:lineRule="auto"/>
      </w:pPr>
    </w:p>
    <w:p w14:paraId="3B7F2DB9" w14:textId="6C31260B" w:rsidR="00A31F7A" w:rsidRDefault="00672904" w:rsidP="00A31F7A">
      <w:pPr>
        <w:pStyle w:val="NoSpacing"/>
        <w:spacing w:line="276" w:lineRule="auto"/>
      </w:pPr>
      <w:r>
        <w:t xml:space="preserve">Tutkimusten tulosten perusteella ja yhteistyössä edellä mainittujen osapuolten kanssa terveys-, hyvinvointi- ja urheiluministeri on päättänyt nimetä Nutri-Scoren elintarvikevalintalogoksi.</w:t>
      </w:r>
      <w:r>
        <w:t xml:space="preserve"> </w:t>
      </w:r>
      <w:r>
        <w:t xml:space="preserve">Nutri-Scoren laskentaa on kuitenkin mukautettava siten, että logo voi aiheuttaa alankomaalaisille kuluttajille mahdollisimman vähän epäselvyyttä siitä, mikä on terveellisempi valinta.</w:t>
      </w:r>
      <w:r>
        <w:t xml:space="preserve"> </w:t>
      </w:r>
    </w:p>
    <w:p w14:paraId="1909E528" w14:textId="77777777" w:rsidR="00A31F7A" w:rsidRDefault="00A31F7A" w:rsidP="00A31F7A">
      <w:pPr>
        <w:pStyle w:val="NoSpacing"/>
        <w:spacing w:line="276" w:lineRule="auto"/>
      </w:pPr>
    </w:p>
    <w:p w14:paraId="2BA8E5EE" w14:textId="77777777" w:rsidR="00A31F7A" w:rsidRDefault="00A31F7A" w:rsidP="00A31F7A">
      <w:pPr>
        <w:pStyle w:val="NoSpacing"/>
        <w:spacing w:line="276" w:lineRule="auto"/>
      </w:pPr>
      <w:r>
        <w:t xml:space="preserve">Valtiosihteeri ilmoitti vuoden 2020 alussa Ranskan hallitukselle Nutri-Scoren valinnasta.</w:t>
      </w:r>
      <w:r>
        <w:t xml:space="preserve"> </w:t>
      </w:r>
      <w:r>
        <w:t xml:space="preserve">Alankomaat osallistuu kansainväliseen kuulemiseen, jossa tehdään sopimuksia täytäntöönpanosta ja organisoinnista.</w:t>
      </w:r>
      <w:r>
        <w:t xml:space="preserve"> </w:t>
      </w:r>
      <w:r>
        <w:t xml:space="preserve">Riippumaton tieteellinen komitea tarkastelee Nutri-Scoren taustalla olevia laskelmia, ja sen tehtävänä on varmistaa, että Nutri-Scoren ravitsemukselliset kriteerit ovat yhdenmukaisia osallistujamaiden ravitsemusohjeiden kanssa.</w:t>
      </w:r>
      <w:r>
        <w:t xml:space="preserve"> </w:t>
      </w:r>
    </w:p>
    <w:p w14:paraId="0989B05C" w14:textId="4C61DF1D" w:rsidR="00672904" w:rsidRDefault="00672904" w:rsidP="008D3E19">
      <w:pPr>
        <w:pStyle w:val="NoSpacing"/>
        <w:spacing w:line="276" w:lineRule="auto"/>
      </w:pPr>
    </w:p>
    <w:p w14:paraId="409ED4BF" w14:textId="20A36412" w:rsidR="00D83FCC" w:rsidRDefault="00D83FCC" w:rsidP="00D83FCC">
      <w:pPr>
        <w:pStyle w:val="NoSpacing"/>
        <w:spacing w:line="276" w:lineRule="auto"/>
        <w:rPr>
          <w:color w:val="333333"/>
          <w:rFonts w:eastAsia="Times New Roman" w:cs="Arial"/>
        </w:rPr>
      </w:pPr>
      <w:r>
        <w:rPr>
          <w:i/>
        </w:rPr>
        <w:t xml:space="preserve">Nutri-Scoren käyttöaihe</w:t>
      </w:r>
    </w:p>
    <w:p w14:paraId="0A5AD5FA" w14:textId="77777777" w:rsidR="00D83FCC" w:rsidRPr="008D3E19" w:rsidRDefault="00D83FCC" w:rsidP="00D83FCC">
      <w:pPr>
        <w:pStyle w:val="NoSpacing"/>
        <w:spacing w:line="276" w:lineRule="auto"/>
        <w:rPr>
          <w:i/>
        </w:rPr>
      </w:pPr>
    </w:p>
    <w:p w14:paraId="39E7DC9E" w14:textId="73E0D864" w:rsidR="00D83FCC" w:rsidRDefault="00D83FCC" w:rsidP="00D83FCC">
      <w:pPr>
        <w:pStyle w:val="NoSpacing"/>
        <w:spacing w:line="276" w:lineRule="auto"/>
      </w:pPr>
      <w:r>
        <w:rPr>
          <w:i/>
        </w:rPr>
        <w:t xml:space="preserve">Nutri-Score</w:t>
      </w:r>
      <w:r>
        <w:t xml:space="preserve"> on vapaaehtoinen elintarvikevalintalogo, joka auttaa kuluttajia tekemään terveellisempiä valintoja heidän tehdessään ostoksia tuoteryhmän sisällä.</w:t>
      </w:r>
      <w:r>
        <w:t xml:space="preserve"> </w:t>
      </w:r>
      <w:r>
        <w:rPr>
          <w:i/>
        </w:rPr>
        <w:t xml:space="preserve">Nutri-Score</w:t>
      </w:r>
      <w:r>
        <w:t xml:space="preserve"> luodaan antamalla pisteitä elintarvikkeen sisältämien proteiinien, kuitujen, hedelmien, vihannesten, palkokasvien ja pähkinöiden määrille.</w:t>
      </w:r>
      <w:r>
        <w:t xml:space="preserve"> </w:t>
      </w:r>
      <w:r>
        <w:t xml:space="preserve">Tästä pistemäärästä vähennetään pisteet energiasisällön (kilokalorit), sokerimäärien, tyydyttyneen rasvan ja suolan osalta.</w:t>
      </w:r>
      <w:r>
        <w:t xml:space="preserve"> </w:t>
      </w:r>
      <w:r>
        <w:t xml:space="preserve">Kokonaispistemäärän perusteella tuotteen saama merkintä on A, B, C, D tai E. Tummanvihreä A edustaa terveellisempää koostumusta.</w:t>
      </w:r>
      <w:r>
        <w:t xml:space="preserve"> </w:t>
      </w:r>
      <w:r>
        <w:t xml:space="preserve">Tuotteille, joiden koostumus on vähemmän terveellinen, annetaan tumma oranssi E. Jos elintarvikealan yritykset hakevat </w:t>
      </w:r>
      <w:r>
        <w:rPr>
          <w:i/>
        </w:rPr>
        <w:t xml:space="preserve">Nutri-Scorea</w:t>
      </w:r>
      <w:r>
        <w:t xml:space="preserve">, niiden on täytettävä käyttöedellytykset ja asetettava logo elintarvikkeen etupuolelle.</w:t>
      </w:r>
      <w:r>
        <w:t xml:space="preserve"> </w:t>
      </w:r>
      <w:r>
        <w:t xml:space="preserve">Tämä auttaa kuluttajia näkemään yhdellä silmäyksellä, mikä tuote on terveellisempi valinta.</w:t>
      </w:r>
      <w:r>
        <w:br/>
      </w:r>
    </w:p>
    <w:p w14:paraId="023F652F" w14:textId="3742B79E" w:rsidR="00DC7A50" w:rsidRDefault="00D83FCC" w:rsidP="008D3E19">
      <w:pPr>
        <w:pStyle w:val="NoSpacing"/>
        <w:spacing w:line="276" w:lineRule="auto"/>
      </w:pPr>
      <w:r>
        <w:rPr>
          <w:color w:val="333333"/>
        </w:rPr>
        <w:t xml:space="preserve">Tämä järjestelmä nimeää </w:t>
      </w:r>
      <w:r>
        <w:rPr>
          <w:color w:val="333333"/>
          <w:i/>
        </w:rPr>
        <w:t xml:space="preserve">Nutri-Scoren</w:t>
      </w:r>
      <w:r>
        <w:rPr>
          <w:color w:val="333333"/>
        </w:rPr>
        <w:t xml:space="preserve"> elintarvikevalintalogoksi.</w:t>
      </w:r>
      <w:r>
        <w:rPr>
          <w:color w:val="333333"/>
        </w:rPr>
        <w:t xml:space="preserve"> </w:t>
      </w:r>
      <w:r>
        <w:rPr>
          <w:color w:val="000000" w:themeColor="text1"/>
        </w:rPr>
        <w:t xml:space="preserve">Käyttöehdot on julkaistava yrittäjien ja suuren yleisön saatavilla olevalla verkkosivustolla.</w:t>
      </w:r>
      <w:r>
        <w:rPr>
          <w:color w:val="333333"/>
        </w:rPr>
        <w:t xml:space="preserve"> </w:t>
      </w:r>
      <w:r>
        <w:rPr>
          <w:color w:val="333333"/>
        </w:rPr>
        <w:t xml:space="preserve">Käyttöehdoissa todetaan, että Nutri-Score-logoa käytettäessä on noudatettava graafisten ohjeiden vaatimuksia.</w:t>
      </w:r>
      <w:r>
        <w:rPr>
          <w:color w:val="333333"/>
        </w:rPr>
        <w:t xml:space="preserve"> </w:t>
      </w:r>
      <w:r>
        <w:rPr>
          <w:color w:val="333333"/>
        </w:rPr>
        <w:t xml:space="preserve">Graafisissa ohjeissa asetetaan vaatimuksia logon mitoille, värin käytölle ja logon sijoittamiselle pakkauksiin ja viestintävälineisiin.</w:t>
      </w:r>
      <w:r>
        <w:rPr>
          <w:color w:val="333333"/>
        </w:rPr>
        <w:t xml:space="preserve"> </w:t>
      </w:r>
    </w:p>
    <w:p w14:paraId="736891C2" w14:textId="77777777" w:rsidR="0040278F" w:rsidRDefault="0040278F" w:rsidP="008D3E19">
      <w:pPr>
        <w:pStyle w:val="NoSpacing"/>
        <w:spacing w:line="276" w:lineRule="auto"/>
      </w:pPr>
    </w:p>
    <w:p w14:paraId="7394EBF4" w14:textId="2C420781" w:rsidR="00602B7B" w:rsidRPr="00311799" w:rsidRDefault="00E8090B" w:rsidP="008D3E19">
      <w:pPr>
        <w:pStyle w:val="NoSpacing"/>
        <w:spacing w:line="276" w:lineRule="auto"/>
      </w:pPr>
      <w:r>
        <w:t xml:space="preserve">Koska logo ei ole pakollinen, elintarvikealan yritykset voivat harkita </w:t>
      </w:r>
      <w:r>
        <w:rPr>
          <w:i/>
        </w:rPr>
        <w:t xml:space="preserve">Nutri-Score</w:t>
      </w:r>
      <w:r>
        <w:t xml:space="preserve">-logon käyttöä elintarvikevalintalogona.</w:t>
      </w:r>
      <w:r>
        <w:t xml:space="preserve"> </w:t>
      </w:r>
      <w:r>
        <w:t xml:space="preserve">Jos elintarvikealan yritys päättää tehdä niin, sen on noudatettava käyttöehdoissa asetettuja vaatimuksia.</w:t>
      </w:r>
      <w:r>
        <w:t xml:space="preserve"> </w:t>
      </w:r>
      <w:r>
        <w:rPr>
          <w:rStyle w:val="Marker"/>
          <w:color w:val="000000" w:themeColor="text1"/>
        </w:rPr>
        <w:t xml:space="preserve">Nutri-Score on EU-tavaramerkki, jonka haltija Santé publique France (l’agence nationale de santé publique) on rekisteröinyt Euroopan unionin teollisoikeuksien virastossa (EUIPO).</w:t>
      </w:r>
      <w:r>
        <w:rPr>
          <w:rStyle w:val="Marker"/>
          <w:color w:val="000000" w:themeColor="text1"/>
        </w:rPr>
        <w:t xml:space="preserve"> </w:t>
      </w:r>
      <w:r>
        <w:rPr>
          <w:rStyle w:val="Marker"/>
          <w:color w:val="000000" w:themeColor="text1"/>
        </w:rPr>
        <w:t xml:space="preserve">Haettaessa Nutri-Score-logoa on noudatettava tavaramerkin haltijan asettamia tavaramerkin käyttöehtoja ja lisäksi otettava huomioon </w:t>
      </w:r>
      <w:r>
        <w:t xml:space="preserve">tavaramerkkioikeuden, reilun kaupan oikeuden ja rikosoikeuden alalla noudatettavat yleiset tavaramerkkien suojaussäännöt.</w:t>
      </w:r>
    </w:p>
    <w:p w14:paraId="332CDBD7" w14:textId="77777777" w:rsidR="00820C71" w:rsidRDefault="00820C71" w:rsidP="008D3E19">
      <w:pPr>
        <w:pStyle w:val="NoSpacing"/>
        <w:spacing w:line="276" w:lineRule="auto"/>
        <w:rPr>
          <w:i/>
        </w:rPr>
      </w:pPr>
    </w:p>
    <w:p w14:paraId="5AFA85AB" w14:textId="7C26A1A6" w:rsidR="00602B7B" w:rsidRPr="008D3E19" w:rsidRDefault="00BC191E" w:rsidP="008D3E19">
      <w:pPr>
        <w:pStyle w:val="NoSpacing"/>
        <w:spacing w:line="276" w:lineRule="auto"/>
        <w:rPr>
          <w:i/>
        </w:rPr>
      </w:pPr>
      <w:r>
        <w:rPr>
          <w:i/>
        </w:rPr>
        <w:t xml:space="preserve">Kansallinen oikeudellinen kehys</w:t>
      </w:r>
    </w:p>
    <w:p w14:paraId="57E6E4A9" w14:textId="230342F8" w:rsidR="00D8085E" w:rsidRPr="00A92440" w:rsidRDefault="004336A6" w:rsidP="008D3E19">
      <w:pPr>
        <w:pStyle w:val="NoSpacing"/>
        <w:spacing w:line="276" w:lineRule="auto"/>
      </w:pPr>
      <w:r>
        <w:rPr>
          <w:i/>
        </w:rPr>
        <w:br/>
      </w:r>
      <w:r>
        <w:rPr>
          <w:color w:val="000000" w:themeColor="text1"/>
        </w:rPr>
        <w:t xml:space="preserve">Elintarvikehyödykelain 1 §:ssä elintarvikevalintalogo määritellään logoksi, jonka avulla kuluttajien on helpompi valita elintarvikkeita, jotka ovat terveellisempiä verrattuna tuoteryhmän muihin samankaltaisiin elintarvikkeisiin.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Elintarvikkeista annetun elintarvikehyödykelain 11 §:n mukaan elintarvikkeen markkinoinnissa voidaan käyttää elintarvikevalintalogoa, jos kyseisessä pykälässä säädetyt edellytykset täyttyvät.</w:t>
      </w:r>
      <w:r>
        <w:rPr>
          <w:color w:val="000000" w:themeColor="text1"/>
        </w:rPr>
        <w:t xml:space="preserve"> </w:t>
      </w:r>
      <w:r>
        <w:t xml:space="preserve">Vuonna 2021 elintarviketietoja koskevaa hyödykelakia on tarkoitus muuttaa siten, että teollisuuden ei enää tarvitse hakea elintarvikevalintalogon hyväksyntää.</w:t>
      </w:r>
      <w:r>
        <w:rPr>
          <w:color w:val="333333"/>
        </w:rPr>
        <w:t xml:space="preserve"> </w:t>
      </w:r>
      <w:r>
        <w:t xml:space="preserve">Tätä selittävää huomautusta kirjoitettaessa </w:t>
      </w:r>
      <w:r>
        <w:rPr>
          <w:color w:val="333333"/>
        </w:rPr>
        <w:t xml:space="preserve">elintarviketietoihin liittyvää hyödykelain muutosta </w:t>
      </w:r>
      <w:r>
        <w:t xml:space="preserve">ei vielä julkaistu virallisessa lehdessä.</w:t>
      </w:r>
      <w:r>
        <w:t xml:space="preserve"> </w:t>
      </w:r>
      <w:r>
        <w:t xml:space="preserve">Vastavuoroisen tunnustamisen periaate merkitsee, että EU:n jäsenvaltio ei saa kieltää sellaisten tavaroiden myyntiä, jotka on laillisesti saatettu markkinoille toisessa EU:n jäsenvaltiossa sen alueella sillä perusteella, että tavarat eivät ole sen omien kansallisten säännösten mukaisia.</w:t>
      </w:r>
      <w:r>
        <w:t xml:space="preserve"> </w:t>
      </w:r>
      <w:r>
        <w:t xml:space="preserve">On kuitenkin tärkeää, että toisesta EU:n jäsenvaltiosta tuodut tavarat tarjoavat vähintään samantasoisen suojan.</w:t>
      </w:r>
      <w:r>
        <w:t xml:space="preserve"> </w:t>
      </w:r>
      <w:r>
        <w:t xml:space="preserve">Tämä vastavuoroista tunnustamista koskeva lauseke sisältyy hyödykelain 13 d §:ään. Muista EU:n jäsenvaltioista peräisin olevien tavaroiden kaupan pitämistä ei kielletä tässä järjestelmässä säädettyjen vaatimusten perusteella.</w:t>
      </w:r>
    </w:p>
    <w:p w14:paraId="4FDF04AE" w14:textId="77777777" w:rsidR="0073118A" w:rsidRPr="00CA0B75" w:rsidRDefault="0073118A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39C36685" w14:textId="77777777" w:rsidR="007E23BC" w:rsidRPr="00CA0B75" w:rsidRDefault="007E23BC" w:rsidP="008D3E19">
      <w:pPr>
        <w:pStyle w:val="NoSpacing"/>
        <w:spacing w:line="276" w:lineRule="auto"/>
        <w:rPr>
          <w:b/>
          <w:color w:val="333333"/>
          <w:rFonts w:eastAsia="Times New Roman" w:cs="Arial"/>
        </w:rPr>
      </w:pPr>
      <w:r>
        <w:rPr>
          <w:b/>
          <w:color w:val="333333"/>
        </w:rPr>
        <w:t xml:space="preserve">2.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 xml:space="preserve">Vaikutus sääntelytaakkaan</w:t>
      </w:r>
      <w:r>
        <w:rPr>
          <w:b/>
          <w:color w:val="333333"/>
        </w:rPr>
        <w:t xml:space="preserve"> </w:t>
      </w:r>
    </w:p>
    <w:p w14:paraId="1840D7F5" w14:textId="77777777" w:rsidR="007E23BC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0AA98B1A" w14:textId="3A78736A" w:rsidR="00130455" w:rsidRPr="00B4175F" w:rsidRDefault="00B4175F" w:rsidP="008D3E19">
      <w:pPr>
        <w:pStyle w:val="NoSpacing"/>
        <w:spacing w:line="276" w:lineRule="auto"/>
        <w:rPr>
          <w:color w:val="333333"/>
          <w:rFonts w:eastAsia="Times New Roman" w:cs="Arial"/>
        </w:rPr>
      </w:pPr>
      <w:r>
        <w:rPr>
          <w:color w:val="333333"/>
        </w:rPr>
        <w:t xml:space="preserve">Sääntelypaineen arviointilautakunta (ATR) ei valinnut asiaa virallista lausuntoa varten, koska sillä ei ole vaikutusta kansalaisten ja yritysten sääntelytaakkaan.</w:t>
      </w:r>
      <w:r>
        <w:rPr>
          <w:color w:val="333333"/>
        </w:rPr>
        <w:br/>
      </w:r>
    </w:p>
    <w:p w14:paraId="254A27A8" w14:textId="77777777" w:rsidR="009D6971" w:rsidRDefault="007E23BC" w:rsidP="008D3E19">
      <w:pPr>
        <w:pStyle w:val="NoSpacing"/>
        <w:spacing w:line="276" w:lineRule="auto"/>
        <w:rPr>
          <w:b/>
          <w:color w:val="333333"/>
          <w:rFonts w:eastAsia="Times New Roman" w:cs="Arial"/>
        </w:rPr>
      </w:pPr>
      <w:r>
        <w:rPr>
          <w:b/>
          <w:color w:val="333333"/>
        </w:rPr>
        <w:t xml:space="preserve">3.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 xml:space="preserve">Laki säännöllisestä kuulemisesta</w:t>
      </w:r>
    </w:p>
    <w:p w14:paraId="28E02F40" w14:textId="77777777" w:rsidR="0069144E" w:rsidRDefault="0069144E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3B816E36" w14:textId="77777777" w:rsidR="00CA0B75" w:rsidRPr="00CA0B75" w:rsidRDefault="009D6971" w:rsidP="008D3E19">
      <w:pPr>
        <w:pStyle w:val="NoSpacing"/>
        <w:spacing w:line="276" w:lineRule="auto"/>
        <w:rPr>
          <w:b/>
          <w:color w:val="333333"/>
          <w:rFonts w:eastAsia="Times New Roman" w:cs="Arial"/>
        </w:rPr>
      </w:pPr>
      <w:r>
        <w:t xml:space="preserve">Tämä asetusluonnos toimitettiin tavanomaisia hyödykkeitä koskevan lain konsultointiryhmän [ROW]</w:t>
      </w:r>
      <w:r w:rsidRPr="00B658D6">
        <w:rPr>
          <w:bCs/>
          <w:vertAlign w:val="superscript"/>
        </w:rPr>
        <w:footnoteReference w:id="5"/>
      </w:r>
      <w:r>
        <w:t xml:space="preserve"> osallistujille.</w:t>
      </w:r>
      <w:r>
        <w:t xml:space="preserve"> </w:t>
      </w:r>
      <w:r>
        <w:rPr>
          <w:b/>
        </w:rPr>
        <w:t xml:space="preserve">P.M.</w:t>
      </w:r>
    </w:p>
    <w:p w14:paraId="6F6DDDCA" w14:textId="77777777" w:rsidR="00CA0B75" w:rsidRPr="00CA0B75" w:rsidRDefault="00CA0B75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64E275DB" w14:textId="77777777" w:rsidR="0069144E" w:rsidRDefault="007E23BC" w:rsidP="008E3830">
      <w:pPr>
        <w:pStyle w:val="NoSpacing"/>
        <w:keepNext/>
        <w:spacing w:line="276" w:lineRule="auto"/>
        <w:rPr>
          <w:b/>
          <w:color w:val="333333"/>
          <w:rFonts w:eastAsia="Times New Roman" w:cs="Arial"/>
        </w:rPr>
      </w:pPr>
      <w:r>
        <w:rPr>
          <w:b/>
          <w:color w:val="333333"/>
        </w:rPr>
        <w:t xml:space="preserve">4.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 xml:space="preserve">Täytäntöönpanokelpoisuus ja toteutettavuus</w:t>
      </w:r>
    </w:p>
    <w:p w14:paraId="5ED04CEA" w14:textId="77777777" w:rsidR="00CA0B75" w:rsidRPr="00CA0B75" w:rsidRDefault="002A0E04" w:rsidP="008D3E19">
      <w:pPr>
        <w:pStyle w:val="NoSpacing"/>
        <w:spacing w:line="276" w:lineRule="auto"/>
        <w:rPr>
          <w:b/>
          <w:color w:val="333333"/>
          <w:rFonts w:eastAsia="Times New Roman" w:cs="Arial"/>
        </w:rPr>
      </w:pPr>
      <w:r>
        <w:rPr>
          <w:color w:val="333333"/>
          <w:b/>
        </w:rPr>
        <w:br/>
      </w:r>
      <w:r>
        <w:rPr>
          <w:color w:val="333333"/>
        </w:rPr>
        <w:t xml:space="preserve">NVWA on arvioinut tämän järjestelmän rakenteen täytäntöönpanokelpoisuuden, toteutettavuuden ja petoksilta suojautumisen osalta.</w:t>
      </w:r>
      <w:r>
        <w:rPr>
          <w:color w:val="333333"/>
          <w:b/>
        </w:rPr>
        <w:t xml:space="preserve"> </w:t>
      </w:r>
      <w:r>
        <w:rPr>
          <w:color w:val="333333"/>
          <w:b/>
        </w:rPr>
        <w:t xml:space="preserve">P.M.</w:t>
      </w:r>
      <w:r>
        <w:rPr>
          <w:color w:val="333333"/>
          <w:b/>
        </w:rPr>
        <w:t xml:space="preserve"> </w:t>
      </w:r>
    </w:p>
    <w:p w14:paraId="78239E99" w14:textId="77777777" w:rsidR="00CA0B75" w:rsidRPr="00CA0B75" w:rsidRDefault="00CA0B75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09883B83" w14:textId="77777777" w:rsidR="00CA0B75" w:rsidRDefault="007E23BC" w:rsidP="008D3E19">
      <w:pPr>
        <w:pStyle w:val="NoSpacing"/>
        <w:spacing w:line="276" w:lineRule="auto"/>
        <w:rPr>
          <w:b/>
          <w:color w:val="333333"/>
          <w:rFonts w:eastAsia="Times New Roman" w:cs="Arial"/>
        </w:rPr>
      </w:pPr>
      <w:r>
        <w:rPr>
          <w:b/>
          <w:color w:val="333333"/>
        </w:rPr>
        <w:t xml:space="preserve">5.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 xml:space="preserve">Ilmoitus</w:t>
      </w:r>
      <w:r>
        <w:rPr>
          <w:b/>
          <w:color w:val="333333"/>
        </w:rPr>
        <w:t xml:space="preserve"> </w:t>
      </w:r>
    </w:p>
    <w:p w14:paraId="4A5FC1AB" w14:textId="77777777" w:rsidR="008E7EEA" w:rsidRDefault="008E7EEA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569595FC" w14:textId="77777777" w:rsidR="006C4D06" w:rsidRDefault="006C4D06" w:rsidP="006C4D06">
      <w:pPr>
        <w:pStyle w:val="NoSpacing"/>
        <w:spacing w:line="276" w:lineRule="auto"/>
        <w:rPr>
          <w:color w:val="333333"/>
          <w:rFonts w:eastAsia="Times New Roman" w:cs="Arial"/>
        </w:rPr>
      </w:pPr>
      <w:r>
        <w:rPr>
          <w:color w:val="333333"/>
        </w:rPr>
        <w:t xml:space="preserve">Elintarvikkeita koskevista ravitsemus- ja terveysväitteistä 20. päivänä joulukuuta 2006 annettu Euroopan parlamentin ja neuvoston asetus (EY) N:o 1924/2006 (EUVL 2006, L 404) (jäljempänä väiteasetus) on vahvistanut yleiset periaatteet kaikille elintarvikkeisiin liittyville väitteille.</w:t>
      </w:r>
      <w:r>
        <w:rPr>
          <w:color w:val="333333"/>
        </w:rPr>
        <w:t xml:space="preserve"> </w:t>
      </w:r>
      <w:r>
        <w:rPr>
          <w:color w:val="333333"/>
        </w:rPr>
        <w:t xml:space="preserve">Elintarvikevalintalogoa </w:t>
      </w:r>
      <w:r>
        <w:rPr>
          <w:color w:val="333333"/>
          <w:i/>
        </w:rPr>
        <w:t xml:space="preserve">Nutri-Score</w:t>
      </w:r>
      <w:r>
        <w:rPr>
          <w:color w:val="333333"/>
        </w:rPr>
        <w:t xml:space="preserve"> on pidettävä tämän asetuksen 2 artiklan 2 kohdan 4 alakohdassa tarkoitettuna ravitsemusväitteenä.</w:t>
      </w:r>
      <w:r>
        <w:rPr>
          <w:color w:val="333333"/>
        </w:rPr>
        <w:t xml:space="preserve"> </w:t>
      </w:r>
      <w:r>
        <w:rPr>
          <w:color w:val="333333"/>
        </w:rPr>
        <w:t xml:space="preserve">Väiteasetuksen 8 artiklan 1 kohdassa sallitaan ainoastaan tämän asetuksen liitteessä luetellut ravitsemusväitteet.</w:t>
      </w:r>
      <w:r>
        <w:rPr>
          <w:color w:val="333333"/>
        </w:rPr>
        <w:t xml:space="preserve"> </w:t>
      </w:r>
      <w:r>
        <w:rPr>
          <w:color w:val="333333"/>
        </w:rPr>
        <w:t xml:space="preserve">Näiden ravitsemusväitteiden on aina liityttävä ainoastaan elintarvikkeen energiamäärään tai yhden aineen tai ravintoaineen määrään.</w:t>
      </w:r>
      <w:r>
        <w:rPr>
          <w:color w:val="333333"/>
        </w:rPr>
        <w:t xml:space="preserve"> </w:t>
      </w:r>
      <w:r>
        <w:rPr>
          <w:color w:val="333333"/>
        </w:rPr>
        <w:t xml:space="preserve">Elintarvikevalintalogo </w:t>
      </w:r>
      <w:r>
        <w:rPr>
          <w:color w:val="333333"/>
          <w:i/>
        </w:rPr>
        <w:t xml:space="preserve">Nutri-Score</w:t>
      </w:r>
      <w:r>
        <w:rPr>
          <w:color w:val="333333"/>
        </w:rPr>
        <w:t xml:space="preserve"> ei sovellu tähän tarkoitukseen lisättäväksi tähän liitteeseen: </w:t>
      </w:r>
      <w:r>
        <w:rPr>
          <w:color w:val="333333"/>
          <w:i/>
        </w:rPr>
        <w:t xml:space="preserve">Nutri-Score</w:t>
      </w:r>
      <w:r>
        <w:rPr>
          <w:color w:val="333333"/>
        </w:rPr>
        <w:t xml:space="preserve">-arvoa laskettaessa otetaan huomioon elintarvikkeen koko koostumus.</w:t>
      </w:r>
      <w:r>
        <w:rPr>
          <w:color w:val="333333"/>
        </w:rPr>
        <w:t xml:space="preserve"> </w:t>
      </w:r>
      <w:r>
        <w:rPr>
          <w:color w:val="333333"/>
        </w:rPr>
        <w:t xml:space="preserve">Väiteasetuksen 23 artiklassa edellytetään, että jäsenvaltio ilmoittaa väitteiden käytöstä alueellaan, jos tällaiset väitteet eivät ole väiteasetuksen mukaisia.</w:t>
      </w:r>
    </w:p>
    <w:p w14:paraId="43A7CEB8" w14:textId="77777777" w:rsidR="006C4D06" w:rsidRDefault="006C4D06" w:rsidP="006C4D06">
      <w:pPr>
        <w:pStyle w:val="NoSpacing"/>
        <w:spacing w:line="276" w:lineRule="auto"/>
        <w:rPr>
          <w:rFonts w:eastAsia="Times New Roman" w:cs="Arial"/>
          <w:color w:val="333333"/>
        </w:rPr>
      </w:pPr>
    </w:p>
    <w:p w14:paraId="17B25172" w14:textId="77777777" w:rsidR="006C4D06" w:rsidRDefault="006C4D06" w:rsidP="006C4D06">
      <w:pPr>
        <w:pStyle w:val="NoSpacing"/>
        <w:spacing w:line="276" w:lineRule="auto"/>
        <w:rPr>
          <w:color w:val="333333"/>
          <w:rFonts w:eastAsia="Times New Roman" w:cs="Arial"/>
        </w:rPr>
      </w:pPr>
      <w:r>
        <w:rPr>
          <w:color w:val="333333"/>
        </w:rPr>
        <w:t xml:space="preserve">Asianmukaisten kuluttajatietojen suojaamiseksi elintarviketietojen antamisesta kuluttajille 25. päivänä lokakuuta 2011 annetun Euroopan </w:t>
      </w:r>
      <w:r>
        <w:rPr>
          <w:rStyle w:val="FootnoteReference"/>
          <w:rFonts w:eastAsia="Times New Roman" w:cs="Arial"/>
          <w:color w:val="333333"/>
        </w:rPr>
        <w:footnoteReference w:id="6"/>
      </w:r>
      <w:r>
        <w:rPr>
          <w:color w:val="333333"/>
        </w:rPr>
        <w:t xml:space="preserve">parlamentin ja neuvoston asetuksen (EU) N:o 1169/2011 36 artiklan olisi täytettävä tietyt vaatimukset.</w:t>
      </w:r>
      <w:r>
        <w:rPr>
          <w:color w:val="333333"/>
        </w:rPr>
        <w:t xml:space="preserve"> </w:t>
      </w:r>
      <w:r>
        <w:rPr>
          <w:color w:val="333333"/>
        </w:rPr>
        <w:t xml:space="preserve">Myös tässä yhteydessä komissiolle on ilmoitettu tämän järjestelmän tekstistä.</w:t>
      </w:r>
      <w:r>
        <w:rPr>
          <w:color w:val="333333"/>
        </w:rPr>
        <w:t xml:space="preserve"> </w:t>
      </w:r>
    </w:p>
    <w:p w14:paraId="2EEB4BC5" w14:textId="77777777" w:rsidR="006C4D06" w:rsidRDefault="006C4D06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13C697BD" w14:textId="77777777" w:rsidR="008E7EEA" w:rsidRPr="00CA0B75" w:rsidRDefault="008E7EEA" w:rsidP="008D3E19">
      <w:pPr>
        <w:pStyle w:val="NoSpacing"/>
        <w:spacing w:line="276" w:lineRule="auto"/>
        <w:rPr>
          <w:b/>
          <w:color w:val="333333"/>
          <w:rFonts w:eastAsia="Times New Roman" w:cs="Arial"/>
        </w:rPr>
      </w:pPr>
      <w:r>
        <w:t xml:space="preserve">Ohjelmaluonnos ilmoitettiin Euroopan komissiolle... päivänä...kuuta... </w:t>
      </w:r>
      <w:r>
        <w:rPr>
          <w:b/>
        </w:rPr>
        <w:t xml:space="preserve">P.M.</w:t>
      </w:r>
      <w:r>
        <w:t xml:space="preserve"> täyttämiseksi Ilmoituksen </w:t>
      </w:r>
      <w:r>
        <w:rPr>
          <w:b/>
        </w:rPr>
        <w:t xml:space="preserve">P.M.</w:t>
      </w:r>
      <w:r>
        <w:t xml:space="preserve"> jälkeen</w:t>
      </w:r>
    </w:p>
    <w:p w14:paraId="1EB1823F" w14:textId="1C1F97BC" w:rsidR="008C7083" w:rsidRPr="00B658D6" w:rsidRDefault="00915D8D">
      <w:pPr>
        <w:pStyle w:val="NoSpacing"/>
        <w:spacing w:line="276" w:lineRule="auto"/>
        <w:rPr>
          <w:b/>
          <w:bCs/>
        </w:rPr>
      </w:pPr>
      <w:r>
        <w:rPr>
          <w:color w:val="333333"/>
        </w:rPr>
        <w:br/>
      </w:r>
    </w:p>
    <w:p w14:paraId="1ADE6D80" w14:textId="77777777" w:rsidR="00647286" w:rsidRDefault="00647286" w:rsidP="008D3E19">
      <w:pPr>
        <w:pStyle w:val="NoSpacing"/>
        <w:spacing w:line="276" w:lineRule="auto"/>
        <w:rPr>
          <w:bCs/>
        </w:rPr>
      </w:pPr>
    </w:p>
    <w:p w14:paraId="621B8D55" w14:textId="77777777" w:rsidR="003670DB" w:rsidRDefault="003670DB" w:rsidP="008D3E19">
      <w:pPr>
        <w:pStyle w:val="NoSpacing"/>
        <w:spacing w:line="276" w:lineRule="auto"/>
        <w:rPr>
          <w:b/>
          <w:bCs/>
        </w:rPr>
      </w:pPr>
    </w:p>
    <w:sectPr w:rsidR="003670DB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13A5" w14:textId="77777777" w:rsidR="00631A11" w:rsidRDefault="00631A11">
      <w:pPr>
        <w:spacing w:line="240" w:lineRule="auto"/>
      </w:pPr>
      <w:r>
        <w:separator/>
      </w:r>
    </w:p>
  </w:endnote>
  <w:endnote w:type="continuationSeparator" w:id="0">
    <w:p w14:paraId="2661EBC7" w14:textId="77777777" w:rsidR="00631A11" w:rsidRDefault="00631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6377" w14:textId="77777777" w:rsidR="00631A11" w:rsidRDefault="00631A11">
      <w:pPr>
        <w:spacing w:line="240" w:lineRule="auto"/>
      </w:pPr>
      <w:r>
        <w:separator/>
      </w:r>
    </w:p>
  </w:footnote>
  <w:footnote w:type="continuationSeparator" w:id="0">
    <w:p w14:paraId="37F9A070" w14:textId="77777777" w:rsidR="00631A11" w:rsidRDefault="00631A11">
      <w:pPr>
        <w:spacing w:line="240" w:lineRule="auto"/>
      </w:pPr>
      <w:r>
        <w:continuationSeparator/>
      </w:r>
    </w:p>
  </w:footnote>
  <w:footnote w:id="1">
    <w:p w14:paraId="08612ED2" w14:textId="77777777" w:rsidR="00125CD6" w:rsidRDefault="00125C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rFonts w:ascii="Verdana" w:hAnsi="Verdana"/>
        </w:rPr>
        <w:t xml:space="preserve">Liite jaoston asiakirjoihin II, 2018/19, 32793, nro 339</w:t>
      </w:r>
    </w:p>
  </w:footnote>
  <w:footnote w:id="2">
    <w:p w14:paraId="134DD927" w14:textId="0F382223" w:rsidR="00A978BD" w:rsidRDefault="00A978BD">
      <w:pPr>
        <w:pStyle w:val="FootnoteText"/>
      </w:pPr>
      <w:r>
        <w:rPr>
          <w:rStyle w:val="FootnoteReference"/>
        </w:rPr>
        <w:footnoteRef/>
      </w:r>
      <w:r>
        <w:rPr>
          <w:sz w:val="16"/>
          <w:rFonts w:ascii="Verdana" w:hAnsi="Verdana"/>
        </w:rPr>
        <w:t xml:space="preserve"> </w:t>
      </w:r>
      <w:r>
        <w:rPr>
          <w:sz w:val="16"/>
          <w:rFonts w:ascii="Verdana" w:hAnsi="Verdana"/>
        </w:rPr>
        <w:t xml:space="preserve">Motivaction,”</w:t>
      </w:r>
      <w:r>
        <w:rPr>
          <w:sz w:val="16"/>
          <w:i/>
          <w:rFonts w:ascii="Verdana" w:hAnsi="Verdana"/>
        </w:rPr>
        <w:t xml:space="preserve">Effectivity of figurative mark of three food choice logos</w:t>
      </w:r>
      <w:r>
        <w:rPr>
          <w:sz w:val="16"/>
          <w:rFonts w:ascii="Verdana" w:hAnsi="Verdana"/>
        </w:rPr>
        <w:t xml:space="preserve">”, 30. päivänä lokakuuta 2019, Viitattavissa sivustolla </w:t>
      </w:r>
      <w:hyperlink r:id="rId1" w:history="1">
        <w:r>
          <w:rPr>
            <w:rStyle w:val="Hyperlink"/>
            <w:sz w:val="16"/>
            <w:rFonts w:ascii="Verdana" w:hAnsi="Verdana"/>
          </w:rPr>
          <w:t xml:space="preserve">https://www.rijksoverheid.nl/</w:t>
        </w:r>
      </w:hyperlink>
      <w:r>
        <w:rPr>
          <w:sz w:val="16"/>
          <w:rFonts w:ascii="Verdana" w:hAnsi="Verdana"/>
        </w:rPr>
        <w:t xml:space="preserve">.</w:t>
      </w:r>
      <w:r>
        <w:t xml:space="preserve"> </w:t>
      </w:r>
    </w:p>
  </w:footnote>
  <w:footnote w:id="3">
    <w:p w14:paraId="2C905CC0" w14:textId="778258C7" w:rsidR="00A978BD" w:rsidRDefault="00A978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rFonts w:ascii="Verdana" w:hAnsi="Verdana"/>
        </w:rPr>
        <w:t xml:space="preserve">Kansallinen kansanterveys- ja ympäristöinstituutti (RIVM) ja ravitsemuskeskus,”</w:t>
      </w:r>
      <w:r>
        <w:rPr>
          <w:sz w:val="16"/>
          <w:i/>
          <w:rFonts w:ascii="Verdana" w:hAnsi="Verdana"/>
        </w:rPr>
        <w:t xml:space="preserve">Desk Study Food Choice Logos under the spotlight</w:t>
      </w:r>
      <w:r>
        <w:rPr>
          <w:sz w:val="16"/>
          <w:rFonts w:ascii="Verdana" w:hAnsi="Verdana"/>
        </w:rPr>
        <w:t xml:space="preserve">”, 28. päivänä marraskuuta 2019.</w:t>
      </w:r>
      <w:r>
        <w:rPr>
          <w:sz w:val="16"/>
          <w:rFonts w:ascii="Verdana" w:hAnsi="Verdana"/>
        </w:rPr>
        <w:t xml:space="preserve"> </w:t>
      </w:r>
      <w:r>
        <w:rPr>
          <w:sz w:val="16"/>
          <w:rFonts w:ascii="Verdana" w:hAnsi="Verdana"/>
        </w:rPr>
        <w:t xml:space="preserve">Katsottavissa sivustolla </w:t>
      </w:r>
      <w:hyperlink r:id="rId2" w:history="1">
        <w:r>
          <w:rPr>
            <w:rStyle w:val="Hyperlink"/>
            <w:sz w:val="16"/>
            <w:rFonts w:ascii="Verdana" w:hAnsi="Verdana"/>
          </w:rPr>
          <w:t xml:space="preserve">https://www.rijksoverheid.nl/</w:t>
        </w:r>
      </w:hyperlink>
      <w:r>
        <w:rPr>
          <w:sz w:val="16"/>
          <w:rFonts w:ascii="Verdana" w:hAnsi="Verdana"/>
        </w:rPr>
        <w:t xml:space="preserve">.</w:t>
      </w:r>
      <w:r>
        <w:t xml:space="preserve"> </w:t>
      </w:r>
    </w:p>
  </w:footnote>
  <w:footnote w:id="4">
    <w:p w14:paraId="3942F257" w14:textId="77777777" w:rsidR="00125CD6" w:rsidRDefault="00125CD6">
      <w:pPr>
        <w:pStyle w:val="FootnoteText"/>
      </w:pPr>
      <w:r>
        <w:rPr>
          <w:rStyle w:val="FootnoteReference"/>
        </w:rPr>
        <w:footnoteRef/>
      </w:r>
      <w:r>
        <w:rPr>
          <w:sz w:val="16"/>
          <w:rFonts w:ascii="Verdana" w:hAnsi="Verdana"/>
        </w:rPr>
        <w:t xml:space="preserve"> Parlamentaarinen asiakirja II 2019/20, 32793, nro 459.</w:t>
      </w:r>
    </w:p>
  </w:footnote>
  <w:footnote w:id="5">
    <w:p w14:paraId="5857BD1C" w14:textId="77777777" w:rsidR="009D6971" w:rsidRPr="006B20B3" w:rsidRDefault="009D6971" w:rsidP="009D6971">
      <w:pPr>
        <w:pStyle w:val="FootnoteText"/>
        <w:rPr>
          <w:sz w:val="16"/>
          <w:szCs w:val="16"/>
          <w:rFonts w:ascii="Verdana" w:hAnsi="Verdana"/>
        </w:rPr>
      </w:pPr>
      <w:r>
        <w:rPr>
          <w:rStyle w:val="FootnoteReference"/>
          <w:rFonts w:ascii="Verdana" w:hAnsi="Verdana"/>
          <w:sz w:val="16"/>
          <w:szCs w:val="16"/>
        </w:rPr>
        <w:footnoteRef/>
      </w:r>
      <w:r>
        <w:rPr>
          <w:sz w:val="16"/>
          <w:rFonts w:ascii="Verdana" w:hAnsi="Verdana"/>
        </w:rPr>
        <w:t xml:space="preserve"> ROW koostuu yritysten (teollisuus ja kauppa), kuluttajien, ministeriöiden (erityisesti kansanterveys-, hyvinvointi- ja urheiluministeriö sekä maatalous-, luonto- ja elintarvikelaatuministeriö) ja Alankomaiden elintarvike- ja kulutustuotteiden turvallisuusviraston edustajista.</w:t>
      </w:r>
    </w:p>
  </w:footnote>
  <w:footnote w:id="6">
    <w:p w14:paraId="38FEBC48" w14:textId="77777777" w:rsidR="006C4D06" w:rsidRDefault="006C4D06" w:rsidP="006C4D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rFonts w:ascii="Verdana" w:hAnsi="Verdana"/>
        </w:rPr>
        <w:t xml:space="preserve">Koko nimi </w:t>
      </w:r>
      <w:r>
        <w:rPr>
          <w:sz w:val="16"/>
          <w:color w:val="333333"/>
          <w:rFonts w:ascii="Verdana" w:hAnsi="Verdana"/>
        </w:rPr>
        <w:t xml:space="preserve">Euroopan parlamentin ja neuvoston asetus (EU) N:o 1169/2011, annettu 25. päivänä lokakuuta 2011, elintarviketietojen antamisesta kuluttajille, Euroopan parlamentin ja neuvoston asetusten (EY) N:o 1924/2006 ja (EY) N:o 1925/2006 muuttamisesta sekä komission direktiivin 87/250/ETY, neuvoston direktiivin 90/496/ETY, komission direktiivin 1999/10/EY, Euroopan parlamentin ja neuvoston direktiivin 2000/13/EY, komission direktiivien 2002/67/EY ja 2008/5/EY sekä komission asetuksen (EY) N:o 608/2004 kumoamisesta (EUVL L 304).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3F9A" w14:textId="77777777" w:rsidR="001D3DA3" w:rsidRDefault="00AD598F">
    <w:r>
      <mc:AlternateContent>
        <mc:Choice Requires="wps">
          <w:drawing>
            <wp:anchor distT="0" distB="0" distL="0" distR="0" simplePos="0" relativeHeight="251652608" behindDoc="0" locked="1" layoutInCell="1" allowOverlap="1" wp14:anchorId="0A4C7470" wp14:editId="321BAFE6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5F02A1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4C7470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Cfz+uP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14:paraId="065F02A1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3632" behindDoc="0" locked="1" layoutInCell="1" allowOverlap="1" wp14:anchorId="6B37E1C5" wp14:editId="59DD2CE3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EBE5F1" w14:textId="559A626A" w:rsidR="001D3DA3" w:rsidRDefault="00AD598F">
                          <w:pPr>
                            <w:pStyle w:val="StandaardReferentiegegevens"/>
                          </w:pPr>
                          <w:r>
                            <w:t xml:space="preserve">Sivu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4E62"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/</w:t>
                          </w:r>
                          <w:r>
                            <w:fldChar w:fldCharType="begin" w:dirty="true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4E62"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37E1C5" id="Paginanummer_3" o:spid="_x0000_s1027" type="#_x0000_t202" style="position:absolute;margin-left:464.85pt;margin-top:805pt;width:99.2pt;height:14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Rt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F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O2ehG2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14:paraId="0FEBE5F1" w14:textId="559A626A" w:rsidR="001D3DA3" w:rsidRDefault="00AD598F">
                    <w:pPr>
                      <w:pStyle w:val="StandaardReferentiegegevens"/>
                    </w:pPr>
                    <w:r>
                      <w:t xml:space="preserve">Sivu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4E62">
                      <w:t>4</w:t>
                    </w:r>
                    <w:r>
                      <w:fldChar w:fldCharType="end"/>
                    </w:r>
                    <w:r>
                      <w:t xml:space="preserve">/</w:t>
                    </w:r>
                    <w:r>
                      <w:fldChar w:fldCharType="begin" w:dirty="true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4E62"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B68C" w14:textId="4E299139" w:rsidR="001D3DA3" w:rsidRDefault="008E3830">
    <w:pPr>
      <w:spacing w:after="6746" w:line="14" w:lineRule="exact"/>
    </w:pPr>
    <w:r>
      <mc:AlternateContent>
        <mc:Choice Requires="wps">
          <w:drawing>
            <wp:anchor distT="0" distB="0" distL="114300" distR="114300" simplePos="0" relativeHeight="251662848" behindDoc="0" locked="0" layoutInCell="1" allowOverlap="1" wp14:anchorId="2BB507A8" wp14:editId="35A3B021">
              <wp:simplePos x="0" y="0"/>
              <wp:positionH relativeFrom="column">
                <wp:posOffset>3023870</wp:posOffset>
              </wp:positionH>
              <wp:positionV relativeFrom="paragraph">
                <wp:posOffset>828675</wp:posOffset>
              </wp:positionV>
              <wp:extent cx="2299335" cy="466725"/>
              <wp:effectExtent l="0" t="0" r="5715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933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769891" w14:textId="5BFF1079" w:rsidR="008E3830" w:rsidRPr="008E3830" w:rsidRDefault="008E383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 xml:space="preserve">Terveys-, hyvinvointi- ja urheiluministeriö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507A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38.1pt;margin-top:65.25pt;width:181.05pt;height:36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" fillcolor="white [3201]" stroked="f" strokeweight=".5pt">
              <v:textbox>
                <w:txbxContent>
                  <w:p w14:paraId="79769891" w14:textId="5BFF1079" w:rsidR="008E3830" w:rsidRPr="008E3830" w:rsidRDefault="008E3830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 xml:space="preserve">Terveys-, hyvinvointi- ja urheiluministeriö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4656" behindDoc="0" locked="1" layoutInCell="1" allowOverlap="1" wp14:anchorId="150FF714" wp14:editId="20868259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0F485" w14:textId="77777777" w:rsidR="001D3DA3" w:rsidRDefault="00AD598F">
                          <w:pPr>
                            <w:spacing w:line="240" w:lineRule="auto"/>
                          </w:pPr>
                          <w:r>
                            <w:drawing>
                              <wp:inline distT="0" distB="0" distL="0" distR="0" wp14:anchorId="2144353B" wp14:editId="50BAEBFA">
                                <wp:extent cx="467995" cy="1583865"/>
                                <wp:effectExtent l="0" t="0" r="0" b="0"/>
                                <wp:docPr id="2" name="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0FF714" id="Logo_2" o:spid="_x0000_s1029" type="#_x0000_t202" style="position:absolute;margin-left:277.75pt;margin-top:0;width:36.85pt;height:124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Dj45A7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4130F485" w14:textId="77777777" w:rsidR="001D3DA3" w:rsidRDefault="00AD598F">
                    <w:pPr>
                      <w:spacing w:line="240" w:lineRule="auto"/>
                    </w:pPr>
                    <w:r>
                      <w:drawing>
                        <wp:inline distT="0" distB="0" distL="0" distR="0" wp14:anchorId="2144353B" wp14:editId="50BAEBFA">
                          <wp:extent cx="467995" cy="1583865"/>
                          <wp:effectExtent l="0" t="0" r="0" b="0"/>
                          <wp:docPr id="2" name="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5680" behindDoc="0" locked="1" layoutInCell="1" allowOverlap="1" wp14:anchorId="63436021" wp14:editId="2ACBBCF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3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3335B4" w14:textId="77777777" w:rsidR="001D3DA3" w:rsidRDefault="00AD598F">
                          <w:pPr>
                            <w:spacing w:line="240" w:lineRule="auto"/>
                          </w:pPr>
                          <w:r>
                            <w:drawing>
                              <wp:inline distT="0" distB="0" distL="0" distR="0" wp14:anchorId="2DFBC3F7" wp14:editId="2E99B505">
                                <wp:extent cx="2339975" cy="1582834"/>
                                <wp:effectExtent l="0" t="0" r="0" b="0"/>
                                <wp:docPr id="4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VWS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436021" id="Woordmerk_2" o:spid="_x0000_s1030" type="#_x0000_t202" style="position:absolute;margin-left:314.6pt;margin-top:0;width:184.25pt;height:140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" filled="f" stroked="f">
              <v:textbox inset="0,0,0,0">
                <w:txbxContent>
                  <w:p w14:paraId="353335B4" w14:textId="77777777" w:rsidR="001D3DA3" w:rsidRDefault="00AD598F">
                    <w:pPr>
                      <w:spacing w:line="240" w:lineRule="auto"/>
                    </w:pPr>
                    <w:r>
                      <w:drawing>
                        <wp:inline distT="0" distB="0" distL="0" distR="0" wp14:anchorId="2DFBC3F7" wp14:editId="2E99B505">
                          <wp:extent cx="2339975" cy="1582834"/>
                          <wp:effectExtent l="0" t="0" r="0" b="0"/>
                          <wp:docPr id="4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VWS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6704" behindDoc="0" locked="1" layoutInCell="1" allowOverlap="1" wp14:anchorId="651DF812" wp14:editId="49C2B34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A1BA9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1DF812" id="Retourregel_2" o:spid="_x0000_s1031" type="#_x0000_t202" style="position:absolute;margin-left:79.35pt;margin-top:133.2pt;width:280.45pt;height:11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GwjH3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14:paraId="7C2A1BA9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7728" behindDoc="0" locked="1" layoutInCell="1" allowOverlap="1" wp14:anchorId="4D64F52C" wp14:editId="351E8A4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6BEFD4" w14:textId="77777777" w:rsidR="004A705B" w:rsidRDefault="00B838BB" w:rsidP="004A705B">
                          <w:r>
                            <w:t xml:space="preserve">VGP – lääketieteellisestä hoidosta vastaavan ministerin asetus</w:t>
                          </w:r>
                        </w:p>
                        <w:p w14:paraId="6DDC92F8" w14:textId="77777777" w:rsidR="001D3DA3" w:rsidRDefault="00AD598F">
                          <w:r>
                            <w:t xml:space="preserve">Nutri-Scoren nimeämisestä elintarvikevalintalogoksi ja sen käyttöedellytyksistä (asetus elintarvikevalintalogon nimeämisestä)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64F52C" id="Toezendgegevens_2" o:spid="_x0000_s1032" type="#_x0000_t202" style="position:absolute;margin-left:79.35pt;margin-top:153.05pt;width:274.95pt;height: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" filled="f" stroked="f">
              <v:textbox inset="0,0,0,0">
                <w:txbxContent>
                  <w:p w14:paraId="5E6BEFD4" w14:textId="77777777" w:rsidR="004A705B" w:rsidRDefault="00B838BB" w:rsidP="004A705B">
                    <w:r>
                      <w:t xml:space="preserve">VGP – lääketieteellisestä hoidosta vastaavan ministerin asetus</w:t>
                    </w:r>
                  </w:p>
                  <w:p w14:paraId="6DDC92F8" w14:textId="77777777" w:rsidR="001D3DA3" w:rsidRDefault="00AD598F">
                    <w:r>
                      <w:t xml:space="preserve">Nutri-Scoren nimeämisestä elintarvikevalintalogoksi ja sen käyttöedellytyksistä (asetus elintarvikevalintalogon nimeämisestä)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8752" behindDoc="0" locked="1" layoutInCell="1" allowOverlap="1" wp14:anchorId="6FAB91D8" wp14:editId="2406F35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0747E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AB91D8" id="Colofon_2" o:spid="_x0000_s1033" type="#_x0000_t202" style="position:absolute;margin-left:466.25pt;margin-top:153.05pt;width:99.2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Dz456z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76F0747E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776" behindDoc="0" locked="1" layoutInCell="1" allowOverlap="1" wp14:anchorId="39B16156" wp14:editId="64F0043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8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038BD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16156" id="Documentgegevens" o:spid="_x0000_s1034" type="#_x0000_t202" style="position:absolute;margin-left:79.35pt;margin-top:286.25pt;width:323.25pt;height:49.6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BurUUe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p w14:paraId="25B038BD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800" behindDoc="0" locked="1" layoutInCell="1" allowOverlap="1" wp14:anchorId="66DDD7D7" wp14:editId="67AE3F9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3C5B1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DDD7D7" id="Rubricering onder vervolgpagina" o:spid="_x0000_s1035" type="#_x0000_t202" style="position:absolute;margin-left:79.35pt;margin-top:805pt;width:141.7pt;height:14.1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2C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GvOvHTUou+7&#10;FokVkp0MfG4P9XcPdghyMF5my6YQG6p8DlSb5g8wU+uXfKRkdmLu0eUvaWR0TuYfzobrOTGVi27X&#10;65s7elnRGW1u65sMU71VB4zpSYNjORAcqaHFZ7n/HNPx6nIlP+bh0Vib85nikUqO0tzOJ5Un+i10&#10;B2JP0gh2BPzJ2URjIHh83UnUnNlPnnzOM7MEuATtEkivqFTwxNkx/JjKbC0EqGlFzWnA8lT8vi80&#10;336D7S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gFL9g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14:paraId="0C03C5B1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824" behindDoc="0" locked="1" layoutInCell="1" allowOverlap="1" wp14:anchorId="22CAD163" wp14:editId="59CF7FA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994F7" w14:textId="3F98A9E6" w:rsidR="001D3DA3" w:rsidRDefault="00AD598F">
                          <w:pPr>
                            <w:pStyle w:val="StandaardReferentiegegevens"/>
                          </w:pPr>
                          <w:r>
                            <w:t xml:space="preserve">Sivu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4E62"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/</w:t>
                          </w:r>
                          <w:r>
                            <w:fldChar w:fldCharType="begin" w:dirty="true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4E62"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CAD163" id="Paginanummer_2" o:spid="_x0000_s1036" type="#_x0000_t202" style="position:absolute;margin-left:466.25pt;margin-top:805pt;width:99.2pt;height:14.1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" filled="f" stroked="f">
              <v:textbox inset="0,0,0,0">
                <w:txbxContent>
                  <w:p w14:paraId="7BF994F7" w14:textId="3F98A9E6" w:rsidR="001D3DA3" w:rsidRDefault="00AD598F">
                    <w:pPr>
                      <w:pStyle w:val="StandaardReferentiegegevens"/>
                    </w:pPr>
                    <w:r>
                      <w:t xml:space="preserve">Sivu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4E62">
                      <w:t>1</w:t>
                    </w:r>
                    <w:r>
                      <w:fldChar w:fldCharType="end"/>
                    </w:r>
                    <w:r>
                      <w:t xml:space="preserve">/</w:t>
                    </w:r>
                    <w:r>
                      <w:fldChar w:fldCharType="begin" w:dirty="true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4E62"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98EB1"/>
    <w:multiLevelType w:val="multilevel"/>
    <w:tmpl w:val="B68C1749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9F78B0"/>
    <w:multiLevelType w:val="multilevel"/>
    <w:tmpl w:val="056E134F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F67178F"/>
    <w:multiLevelType w:val="multilevel"/>
    <w:tmpl w:val="0D384133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B4F845B"/>
    <w:multiLevelType w:val="multilevel"/>
    <w:tmpl w:val="5975836F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B326273"/>
    <w:multiLevelType w:val="multilevel"/>
    <w:tmpl w:val="0F4DEF7B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CB0576"/>
    <w:multiLevelType w:val="hybridMultilevel"/>
    <w:tmpl w:val="A568F126"/>
    <w:lvl w:ilvl="0" w:tplc="F8242666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4F02C"/>
    <w:multiLevelType w:val="multilevel"/>
    <w:tmpl w:val="4D06B33C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21354C"/>
    <w:multiLevelType w:val="multilevel"/>
    <w:tmpl w:val="CC22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6A485"/>
    <w:multiLevelType w:val="multilevel"/>
    <w:tmpl w:val="626A65D8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2628A"/>
    <w:multiLevelType w:val="hybridMultilevel"/>
    <w:tmpl w:val="A1EEB4C2"/>
    <w:lvl w:ilvl="0" w:tplc="06B0CA34">
      <w:start w:val="20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3AE8"/>
    <w:multiLevelType w:val="multilevel"/>
    <w:tmpl w:val="2D22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A0500"/>
    <w:multiLevelType w:val="multilevel"/>
    <w:tmpl w:val="DE04C887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4C4937"/>
    <w:multiLevelType w:val="multilevel"/>
    <w:tmpl w:val="120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184E59"/>
    <w:multiLevelType w:val="multilevel"/>
    <w:tmpl w:val="B6BE33F7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D6F5C"/>
    <w:multiLevelType w:val="multilevel"/>
    <w:tmpl w:val="F54C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30F6E"/>
    <w:multiLevelType w:val="multilevel"/>
    <w:tmpl w:val="ECC4E471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D0AE5"/>
    <w:multiLevelType w:val="hybridMultilevel"/>
    <w:tmpl w:val="E3E8E01A"/>
    <w:lvl w:ilvl="0" w:tplc="25048684">
      <w:start w:val="1"/>
      <w:numFmt w:val="decimal"/>
      <w:lvlText w:val="%1."/>
      <w:lvlJc w:val="left"/>
      <w:pPr>
        <w:ind w:left="720" w:hanging="360"/>
      </w:pPr>
      <w:rPr>
        <w:rFonts w:eastAsia="DejaVu Sans" w:cs="Lohit Hindi" w:hint="default"/>
        <w:i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44B0"/>
    <w:multiLevelType w:val="hybridMultilevel"/>
    <w:tmpl w:val="9496EB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2754F"/>
    <w:multiLevelType w:val="multilevel"/>
    <w:tmpl w:val="345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808F8"/>
    <w:multiLevelType w:val="multilevel"/>
    <w:tmpl w:val="A8C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5CA64"/>
    <w:multiLevelType w:val="multilevel"/>
    <w:tmpl w:val="B34E25D5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BB521B"/>
    <w:multiLevelType w:val="hybridMultilevel"/>
    <w:tmpl w:val="36CEC976"/>
    <w:lvl w:ilvl="0" w:tplc="4EF20B6A">
      <w:start w:val="1"/>
      <w:numFmt w:val="decimal"/>
      <w:lvlText w:val="%1."/>
      <w:lvlJc w:val="left"/>
      <w:pPr>
        <w:ind w:left="720" w:hanging="360"/>
      </w:pPr>
      <w:rPr>
        <w:rFonts w:eastAsia="DejaVu Sans" w:cs="Lohit Hindi" w:hint="default"/>
        <w:i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F0370"/>
    <w:multiLevelType w:val="hybridMultilevel"/>
    <w:tmpl w:val="41C45572"/>
    <w:lvl w:ilvl="0" w:tplc="DCECCE5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DD7643"/>
    <w:multiLevelType w:val="multilevel"/>
    <w:tmpl w:val="4E55278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640978"/>
    <w:multiLevelType w:val="multilevel"/>
    <w:tmpl w:val="FD5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7E5FB6"/>
    <w:multiLevelType w:val="multilevel"/>
    <w:tmpl w:val="29F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23"/>
  </w:num>
  <w:num w:numId="9">
    <w:abstractNumId w:val="3"/>
  </w:num>
  <w:num w:numId="10">
    <w:abstractNumId w:val="0"/>
  </w:num>
  <w:num w:numId="11">
    <w:abstractNumId w:val="13"/>
  </w:num>
  <w:num w:numId="12">
    <w:abstractNumId w:val="11"/>
  </w:num>
  <w:num w:numId="13">
    <w:abstractNumId w:val="5"/>
  </w:num>
  <w:num w:numId="14">
    <w:abstractNumId w:val="10"/>
  </w:num>
  <w:num w:numId="15">
    <w:abstractNumId w:val="7"/>
  </w:num>
  <w:num w:numId="16">
    <w:abstractNumId w:val="14"/>
  </w:num>
  <w:num w:numId="17">
    <w:abstractNumId w:val="12"/>
  </w:num>
  <w:num w:numId="18">
    <w:abstractNumId w:val="24"/>
  </w:num>
  <w:num w:numId="19">
    <w:abstractNumId w:val="25"/>
  </w:num>
  <w:num w:numId="20">
    <w:abstractNumId w:val="9"/>
  </w:num>
  <w:num w:numId="21">
    <w:abstractNumId w:val="18"/>
  </w:num>
  <w:num w:numId="22">
    <w:abstractNumId w:val="19"/>
  </w:num>
  <w:num w:numId="23">
    <w:abstractNumId w:val="16"/>
  </w:num>
  <w:num w:numId="24">
    <w:abstractNumId w:val="21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5B"/>
    <w:rsid w:val="00002054"/>
    <w:rsid w:val="0000238B"/>
    <w:rsid w:val="00003D21"/>
    <w:rsid w:val="000069F4"/>
    <w:rsid w:val="000201E5"/>
    <w:rsid w:val="00032061"/>
    <w:rsid w:val="00056E4F"/>
    <w:rsid w:val="00073CDC"/>
    <w:rsid w:val="00087490"/>
    <w:rsid w:val="00091CAD"/>
    <w:rsid w:val="00092AD0"/>
    <w:rsid w:val="00093790"/>
    <w:rsid w:val="000B6DD5"/>
    <w:rsid w:val="000C0D4F"/>
    <w:rsid w:val="000C20F0"/>
    <w:rsid w:val="000C3C08"/>
    <w:rsid w:val="000C5F37"/>
    <w:rsid w:val="000E5170"/>
    <w:rsid w:val="000F3600"/>
    <w:rsid w:val="000F7DA6"/>
    <w:rsid w:val="001110B2"/>
    <w:rsid w:val="001138E4"/>
    <w:rsid w:val="00125CD6"/>
    <w:rsid w:val="00130455"/>
    <w:rsid w:val="001318E0"/>
    <w:rsid w:val="001411A4"/>
    <w:rsid w:val="0015731D"/>
    <w:rsid w:val="0016417C"/>
    <w:rsid w:val="001645BA"/>
    <w:rsid w:val="00173BE7"/>
    <w:rsid w:val="001773F0"/>
    <w:rsid w:val="0018665B"/>
    <w:rsid w:val="001926CF"/>
    <w:rsid w:val="001A6DE3"/>
    <w:rsid w:val="001D3DA3"/>
    <w:rsid w:val="001E6094"/>
    <w:rsid w:val="001F7164"/>
    <w:rsid w:val="002137C3"/>
    <w:rsid w:val="00222C7D"/>
    <w:rsid w:val="00225B04"/>
    <w:rsid w:val="00234127"/>
    <w:rsid w:val="0029125D"/>
    <w:rsid w:val="00295818"/>
    <w:rsid w:val="002A0E04"/>
    <w:rsid w:val="002A1E8B"/>
    <w:rsid w:val="002A39A6"/>
    <w:rsid w:val="002A4E62"/>
    <w:rsid w:val="002A6EAE"/>
    <w:rsid w:val="002A729E"/>
    <w:rsid w:val="002B5B58"/>
    <w:rsid w:val="002C14F0"/>
    <w:rsid w:val="002C2BDC"/>
    <w:rsid w:val="002E406B"/>
    <w:rsid w:val="002E6BBA"/>
    <w:rsid w:val="002F452C"/>
    <w:rsid w:val="002F7161"/>
    <w:rsid w:val="00311799"/>
    <w:rsid w:val="0032000B"/>
    <w:rsid w:val="00342B94"/>
    <w:rsid w:val="00354642"/>
    <w:rsid w:val="00356387"/>
    <w:rsid w:val="003670DB"/>
    <w:rsid w:val="003764D1"/>
    <w:rsid w:val="00380B6B"/>
    <w:rsid w:val="003A1990"/>
    <w:rsid w:val="003B6D53"/>
    <w:rsid w:val="0040278F"/>
    <w:rsid w:val="00410870"/>
    <w:rsid w:val="0041194B"/>
    <w:rsid w:val="004126C3"/>
    <w:rsid w:val="00417775"/>
    <w:rsid w:val="004336A6"/>
    <w:rsid w:val="00442EB9"/>
    <w:rsid w:val="0044500C"/>
    <w:rsid w:val="00445B54"/>
    <w:rsid w:val="004A4147"/>
    <w:rsid w:val="004A6521"/>
    <w:rsid w:val="004A705B"/>
    <w:rsid w:val="004C6188"/>
    <w:rsid w:val="004D1294"/>
    <w:rsid w:val="004E6CE8"/>
    <w:rsid w:val="004F13EE"/>
    <w:rsid w:val="004F54A5"/>
    <w:rsid w:val="004F6FBB"/>
    <w:rsid w:val="00515A37"/>
    <w:rsid w:val="0054329A"/>
    <w:rsid w:val="00550565"/>
    <w:rsid w:val="005539D0"/>
    <w:rsid w:val="00583A2E"/>
    <w:rsid w:val="005853E0"/>
    <w:rsid w:val="005854A3"/>
    <w:rsid w:val="0059735F"/>
    <w:rsid w:val="005B411C"/>
    <w:rsid w:val="005C164B"/>
    <w:rsid w:val="005C3011"/>
    <w:rsid w:val="005E020A"/>
    <w:rsid w:val="005E0A76"/>
    <w:rsid w:val="005E6870"/>
    <w:rsid w:val="005F7494"/>
    <w:rsid w:val="00602B7B"/>
    <w:rsid w:val="0060779A"/>
    <w:rsid w:val="00631A11"/>
    <w:rsid w:val="006343E2"/>
    <w:rsid w:val="00647286"/>
    <w:rsid w:val="006500B2"/>
    <w:rsid w:val="00657D09"/>
    <w:rsid w:val="00672904"/>
    <w:rsid w:val="0068359E"/>
    <w:rsid w:val="0069144E"/>
    <w:rsid w:val="006A1888"/>
    <w:rsid w:val="006B58CF"/>
    <w:rsid w:val="006C4D06"/>
    <w:rsid w:val="00722709"/>
    <w:rsid w:val="0073118A"/>
    <w:rsid w:val="007374B7"/>
    <w:rsid w:val="007410CE"/>
    <w:rsid w:val="007477D4"/>
    <w:rsid w:val="007B2222"/>
    <w:rsid w:val="007C5CEB"/>
    <w:rsid w:val="007E23BC"/>
    <w:rsid w:val="007E7AA4"/>
    <w:rsid w:val="00820C71"/>
    <w:rsid w:val="00825935"/>
    <w:rsid w:val="00827498"/>
    <w:rsid w:val="00832798"/>
    <w:rsid w:val="0084066C"/>
    <w:rsid w:val="00844C95"/>
    <w:rsid w:val="00847DB7"/>
    <w:rsid w:val="008540DE"/>
    <w:rsid w:val="0086208F"/>
    <w:rsid w:val="00865636"/>
    <w:rsid w:val="008819B1"/>
    <w:rsid w:val="008A1456"/>
    <w:rsid w:val="008C7083"/>
    <w:rsid w:val="008D3E19"/>
    <w:rsid w:val="008E00E1"/>
    <w:rsid w:val="008E3830"/>
    <w:rsid w:val="008E7EEA"/>
    <w:rsid w:val="008F7DC6"/>
    <w:rsid w:val="00903408"/>
    <w:rsid w:val="00912F2D"/>
    <w:rsid w:val="00915D8D"/>
    <w:rsid w:val="00922266"/>
    <w:rsid w:val="00960A53"/>
    <w:rsid w:val="00972418"/>
    <w:rsid w:val="0097542A"/>
    <w:rsid w:val="00975BC7"/>
    <w:rsid w:val="00985F0D"/>
    <w:rsid w:val="009A2163"/>
    <w:rsid w:val="009A2707"/>
    <w:rsid w:val="009B120B"/>
    <w:rsid w:val="009D0081"/>
    <w:rsid w:val="009D56E6"/>
    <w:rsid w:val="009D6971"/>
    <w:rsid w:val="009E2ED4"/>
    <w:rsid w:val="00A05B97"/>
    <w:rsid w:val="00A06BBD"/>
    <w:rsid w:val="00A17BBC"/>
    <w:rsid w:val="00A20C01"/>
    <w:rsid w:val="00A31F7A"/>
    <w:rsid w:val="00A478A5"/>
    <w:rsid w:val="00A5198C"/>
    <w:rsid w:val="00A55A02"/>
    <w:rsid w:val="00A80B59"/>
    <w:rsid w:val="00A81303"/>
    <w:rsid w:val="00A86455"/>
    <w:rsid w:val="00A92440"/>
    <w:rsid w:val="00A978BD"/>
    <w:rsid w:val="00AB3C6B"/>
    <w:rsid w:val="00AB4316"/>
    <w:rsid w:val="00AB690C"/>
    <w:rsid w:val="00AD0F88"/>
    <w:rsid w:val="00AD13A3"/>
    <w:rsid w:val="00AD598F"/>
    <w:rsid w:val="00AE3978"/>
    <w:rsid w:val="00AF381B"/>
    <w:rsid w:val="00AF5380"/>
    <w:rsid w:val="00AF7CFF"/>
    <w:rsid w:val="00B0354D"/>
    <w:rsid w:val="00B06D38"/>
    <w:rsid w:val="00B26812"/>
    <w:rsid w:val="00B318C5"/>
    <w:rsid w:val="00B4164D"/>
    <w:rsid w:val="00B4175F"/>
    <w:rsid w:val="00B47EB5"/>
    <w:rsid w:val="00B51511"/>
    <w:rsid w:val="00B551A8"/>
    <w:rsid w:val="00B658D6"/>
    <w:rsid w:val="00B722CE"/>
    <w:rsid w:val="00B73326"/>
    <w:rsid w:val="00B838BB"/>
    <w:rsid w:val="00B8560F"/>
    <w:rsid w:val="00B942E3"/>
    <w:rsid w:val="00BA4030"/>
    <w:rsid w:val="00BB27FD"/>
    <w:rsid w:val="00BC191E"/>
    <w:rsid w:val="00BD77BD"/>
    <w:rsid w:val="00BF0CBB"/>
    <w:rsid w:val="00C17BC6"/>
    <w:rsid w:val="00C21A25"/>
    <w:rsid w:val="00C34790"/>
    <w:rsid w:val="00C37714"/>
    <w:rsid w:val="00C45077"/>
    <w:rsid w:val="00C46947"/>
    <w:rsid w:val="00C6036F"/>
    <w:rsid w:val="00CA0B75"/>
    <w:rsid w:val="00CA72B7"/>
    <w:rsid w:val="00CB0E9D"/>
    <w:rsid w:val="00CE56A3"/>
    <w:rsid w:val="00CE650A"/>
    <w:rsid w:val="00D075B6"/>
    <w:rsid w:val="00D308B3"/>
    <w:rsid w:val="00D40FA0"/>
    <w:rsid w:val="00D4113B"/>
    <w:rsid w:val="00D8085E"/>
    <w:rsid w:val="00D83FCC"/>
    <w:rsid w:val="00DA7887"/>
    <w:rsid w:val="00DB0C47"/>
    <w:rsid w:val="00DC7A50"/>
    <w:rsid w:val="00DD19AA"/>
    <w:rsid w:val="00DE13B4"/>
    <w:rsid w:val="00DF62F0"/>
    <w:rsid w:val="00E12674"/>
    <w:rsid w:val="00E3309F"/>
    <w:rsid w:val="00E8090B"/>
    <w:rsid w:val="00E9001A"/>
    <w:rsid w:val="00EA0AE5"/>
    <w:rsid w:val="00EB0438"/>
    <w:rsid w:val="00ED4A6F"/>
    <w:rsid w:val="00EE25A3"/>
    <w:rsid w:val="00EF18D5"/>
    <w:rsid w:val="00F00BDC"/>
    <w:rsid w:val="00F46049"/>
    <w:rsid w:val="00F71B2E"/>
    <w:rsid w:val="00F74B52"/>
    <w:rsid w:val="00F81810"/>
    <w:rsid w:val="00F86F42"/>
    <w:rsid w:val="00F92495"/>
    <w:rsid w:val="00F95E33"/>
    <w:rsid w:val="00F97220"/>
    <w:rsid w:val="00FB1A2B"/>
    <w:rsid w:val="00FB514C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6798DB"/>
  <w15:docId w15:val="{AA7816C2-04C9-4FE6-92AD-B47609E9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fi-FI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BGAdviesaanvraagLijst">
    <w:name w:val="CIBG Adviesaanvraag Lijst"/>
    <w:basedOn w:val="Normal"/>
    <w:next w:val="Normal"/>
    <w:pPr>
      <w:spacing w:after="60"/>
    </w:pPr>
    <w:rPr>
      <w:b/>
    </w:rPr>
  </w:style>
  <w:style w:type="paragraph" w:customStyle="1" w:styleId="CIBGAdviesaanvraagLijstKop1">
    <w:name w:val="CIBG Adviesaanvraag Lijst Kop 1"/>
    <w:basedOn w:val="Normal"/>
    <w:next w:val="Normal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Normal"/>
    <w:next w:val="Normal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Normal"/>
    <w:next w:val="Normal"/>
    <w:pPr>
      <w:spacing w:before="240"/>
    </w:pPr>
  </w:style>
  <w:style w:type="paragraph" w:customStyle="1" w:styleId="CIBGBezwaarschriftenbrief">
    <w:name w:val="CIBG Bezwaarschriftenbrief"/>
    <w:basedOn w:val="Normal"/>
    <w:next w:val="Normal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Normal"/>
    <w:next w:val="Normal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Normal"/>
    <w:next w:val="Normal"/>
    <w:rPr>
      <w:color w:val="EF0A0A"/>
    </w:rPr>
  </w:style>
  <w:style w:type="paragraph" w:customStyle="1" w:styleId="CIBGVoorlegmemoitalicV10">
    <w:name w:val="CIBG Voorlegmemo italic V10"/>
    <w:basedOn w:val="Normal"/>
    <w:next w:val="Normal"/>
    <w:rPr>
      <w:i/>
      <w:sz w:val="20"/>
      <w:szCs w:val="20"/>
    </w:rPr>
  </w:style>
  <w:style w:type="paragraph" w:customStyle="1" w:styleId="CIBGVoorlegmemoTitel">
    <w:name w:val="CIBG Voorlegmemo Titel"/>
    <w:basedOn w:val="Normal"/>
    <w:next w:val="Normal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Normal"/>
    <w:next w:val="Normal"/>
    <w:rPr>
      <w:b/>
      <w:i/>
      <w:sz w:val="13"/>
      <w:szCs w:val="13"/>
    </w:rPr>
  </w:style>
  <w:style w:type="paragraph" w:customStyle="1" w:styleId="CIBGDocumentnaamv14vet">
    <w:name w:val="CIBG_Documentnaam v14 vet"/>
    <w:basedOn w:val="Normal"/>
    <w:next w:val="Normal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Normal"/>
    <w:next w:val="Normal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Normal"/>
    <w:next w:val="Normal"/>
    <w:pPr>
      <w:spacing w:after="720" w:line="300" w:lineRule="exact"/>
    </w:p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Normal"/>
    <w:next w:val="Normal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Normal"/>
    <w:next w:val="Normal"/>
  </w:style>
  <w:style w:type="paragraph" w:customStyle="1" w:styleId="Huisstijlnummering">
    <w:name w:val="Huisstijl nummering"/>
    <w:basedOn w:val="Normal"/>
    <w:next w:val="Normal"/>
    <w:pPr>
      <w:tabs>
        <w:tab w:val="left" w:pos="0"/>
      </w:tabs>
      <w:ind w:left="-1120"/>
    </w:pPr>
  </w:style>
  <w:style w:type="paragraph" w:customStyle="1" w:styleId="IGJAgenda">
    <w:name w:val="IGJ Agenda"/>
    <w:basedOn w:val="Normal"/>
    <w:next w:val="Normal"/>
  </w:style>
  <w:style w:type="paragraph" w:customStyle="1" w:styleId="IGJMinuteVerdana7">
    <w:name w:val="IGJ Minute Verdana 7"/>
    <w:basedOn w:val="Normal"/>
    <w:next w:val="Normal"/>
    <w:rPr>
      <w:sz w:val="14"/>
      <w:szCs w:val="14"/>
    </w:rPr>
  </w:style>
  <w:style w:type="paragraph" w:customStyle="1" w:styleId="IGJNotaterbesluitvorming">
    <w:name w:val="IGJ Nota ter besluitvorming"/>
    <w:basedOn w:val="Normal"/>
    <w:next w:val="Normal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Normal"/>
    <w:next w:val="Normal"/>
    <w:pPr>
      <w:numPr>
        <w:numId w:val="5"/>
      </w:numPr>
    </w:pPr>
  </w:style>
  <w:style w:type="paragraph" w:customStyle="1" w:styleId="IGJNotaterbesluitvorminglijst">
    <w:name w:val="IGJ Nota ter besluitvorming lijst"/>
    <w:basedOn w:val="Normal"/>
    <w:next w:val="Normal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Normal"/>
    <w:next w:val="Normal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Normal"/>
    <w:next w:val="Normal"/>
  </w:style>
  <w:style w:type="paragraph" w:customStyle="1" w:styleId="IGJVoorhangv7">
    <w:name w:val="IGJ Voorhang v7"/>
    <w:basedOn w:val="Normal"/>
    <w:next w:val="Normal"/>
    <w:rPr>
      <w:sz w:val="14"/>
      <w:szCs w:val="14"/>
    </w:rPr>
  </w:style>
  <w:style w:type="paragraph" w:customStyle="1" w:styleId="IGJVoorhangv7b">
    <w:name w:val="IGJ Voorhang v7 b"/>
    <w:basedOn w:val="Normal"/>
    <w:next w:val="Normal"/>
    <w:rPr>
      <w:b/>
      <w:sz w:val="14"/>
      <w:szCs w:val="14"/>
    </w:rPr>
  </w:style>
  <w:style w:type="paragraph" w:customStyle="1" w:styleId="IGJVoorhangnota">
    <w:name w:val="IGJ Voorhangnota"/>
    <w:basedOn w:val="Normal"/>
    <w:next w:val="Normal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Normal"/>
    <w:next w:val="Normal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Normal"/>
    <w:next w:val="Normal"/>
    <w:pPr>
      <w:spacing w:before="200"/>
    </w:pPr>
    <w:rPr>
      <w:b/>
    </w:rPr>
  </w:style>
  <w:style w:type="paragraph" w:customStyle="1" w:styleId="IJZPlanvanAanpaknummer">
    <w:name w:val="IJZ Plan van Aanpak nummer"/>
    <w:basedOn w:val="Normal"/>
    <w:next w:val="Normal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Normal"/>
    <w:next w:val="Normal"/>
    <w:pPr>
      <w:spacing w:before="240"/>
    </w:pPr>
    <w:rPr>
      <w:b/>
    </w:rPr>
  </w:style>
  <w:style w:type="paragraph" w:customStyle="1" w:styleId="IJZRapportA">
    <w:name w:val="IJZ Rapport A"/>
    <w:basedOn w:val="Normal"/>
    <w:next w:val="Normal"/>
    <w:pPr>
      <w:spacing w:before="240"/>
    </w:pPr>
    <w:rPr>
      <w:b/>
    </w:rPr>
  </w:style>
  <w:style w:type="paragraph" w:customStyle="1" w:styleId="IJZUitvoeringsplan">
    <w:name w:val="IJZ Uitvoeringsplan"/>
    <w:basedOn w:val="Normal"/>
    <w:next w:val="Normal"/>
    <w:pPr>
      <w:numPr>
        <w:ilvl w:val="1"/>
        <w:numId w:val="7"/>
      </w:numPr>
      <w:spacing w:before="240"/>
    </w:pPr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ind w:left="-1120"/>
    </w:pPr>
  </w:style>
  <w:style w:type="paragraph" w:styleId="TOC2">
    <w:name w:val="toc 2"/>
    <w:basedOn w:val="TOC1"/>
    <w:next w:val="Normal"/>
    <w:pPr>
      <w:spacing w:before="240"/>
    </w:pPr>
    <w:rPr>
      <w:b/>
    </w:rPr>
  </w:style>
  <w:style w:type="paragraph" w:styleId="TOC3">
    <w:name w:val="toc 3"/>
    <w:basedOn w:val="TOC2"/>
    <w:next w:val="Normal"/>
    <w:pPr>
      <w:spacing w:before="0"/>
    </w:pPr>
    <w:rPr>
      <w:b w:val="0"/>
    </w:rPr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Lijstniveau1">
    <w:name w:val="Lijst niveau 1"/>
    <w:basedOn w:val="Normal"/>
    <w:pPr>
      <w:numPr>
        <w:numId w:val="8"/>
      </w:numPr>
    </w:pPr>
  </w:style>
  <w:style w:type="paragraph" w:customStyle="1" w:styleId="Lijstniveau2">
    <w:name w:val="Lijst niveau 2"/>
    <w:basedOn w:val="Normal"/>
    <w:pPr>
      <w:numPr>
        <w:ilvl w:val="1"/>
        <w:numId w:val="8"/>
      </w:numPr>
    </w:pPr>
  </w:style>
  <w:style w:type="paragraph" w:customStyle="1" w:styleId="Lijstniveau3">
    <w:name w:val="Lijst niveau 3"/>
    <w:basedOn w:val="Normal"/>
    <w:pPr>
      <w:numPr>
        <w:ilvl w:val="2"/>
        <w:numId w:val="8"/>
      </w:numPr>
    </w:p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Normal"/>
    <w:next w:val="Normal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Normal"/>
    <w:next w:val="Normal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Normal"/>
    <w:next w:val="Normal"/>
    <w:pPr>
      <w:spacing w:before="100" w:after="240"/>
    </w:pPr>
  </w:style>
  <w:style w:type="paragraph" w:customStyle="1" w:styleId="StandaardAfzendgegevens">
    <w:name w:val="Standaard_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Normal"/>
    <w:next w:val="Normal"/>
    <w:rPr>
      <w:i/>
      <w:sz w:val="13"/>
      <w:szCs w:val="13"/>
    </w:rPr>
  </w:style>
  <w:style w:type="paragraph" w:customStyle="1" w:styleId="StandaardAfzendgegevenskop">
    <w:name w:val="Standaard_Afzend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Normal"/>
    <w:next w:val="Normal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Normal"/>
    <w:rPr>
      <w:i/>
    </w:rPr>
  </w:style>
  <w:style w:type="paragraph" w:customStyle="1" w:styleId="StandaardReferentiegegevenskop">
    <w:name w:val="Standaard_Referentiegegevens_kop"/>
    <w:basedOn w:val="Normal"/>
    <w:next w:val="Normal"/>
    <w:rPr>
      <w:b/>
      <w:sz w:val="13"/>
      <w:szCs w:val="13"/>
    </w:rPr>
  </w:style>
  <w:style w:type="paragraph" w:customStyle="1" w:styleId="StandaardSlotzin">
    <w:name w:val="Standaard_Slotzin"/>
    <w:basedOn w:val="Normal"/>
    <w:next w:val="Normal"/>
    <w:pPr>
      <w:spacing w:before="240"/>
    </w:pPr>
  </w:style>
  <w:style w:type="paragraph" w:customStyle="1" w:styleId="StandaardV9Italic">
    <w:name w:val="Standaard_V9_Italic"/>
    <w:basedOn w:val="Normal"/>
    <w:next w:val="Normal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Normal"/>
    <w:next w:val="Normal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Normal"/>
    <w:next w:val="Normal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Normal"/>
    <w:next w:val="Normal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Normal"/>
    <w:next w:val="Normal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Normal"/>
    <w:next w:val="Normal"/>
    <w:rPr>
      <w:b/>
    </w:rPr>
  </w:style>
  <w:style w:type="paragraph" w:customStyle="1" w:styleId="VWSAMvB">
    <w:name w:val="VWS AMvB"/>
    <w:basedOn w:val="Normal"/>
    <w:next w:val="Normal"/>
    <w:pPr>
      <w:spacing w:before="480"/>
    </w:pPr>
  </w:style>
  <w:style w:type="paragraph" w:customStyle="1" w:styleId="VWSBlauweBrief">
    <w:name w:val="VWS Blauwe Brief"/>
    <w:basedOn w:val="Normal"/>
    <w:next w:val="Normal"/>
    <w:pPr>
      <w:spacing w:before="760" w:after="240"/>
    </w:pPr>
  </w:style>
  <w:style w:type="paragraph" w:customStyle="1" w:styleId="VWSColofonItalic65Bold">
    <w:name w:val="VWS Colofon Italic 6;5 Bold"/>
    <w:basedOn w:val="Normal"/>
    <w:next w:val="Normal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Normal"/>
    <w:next w:val="Normal"/>
    <w:pPr>
      <w:jc w:val="right"/>
    </w:pPr>
  </w:style>
  <w:style w:type="paragraph" w:customStyle="1" w:styleId="VWSNtb">
    <w:name w:val="VWS Ntb"/>
    <w:basedOn w:val="Normal"/>
    <w:next w:val="Normal"/>
    <w:pPr>
      <w:numPr>
        <w:ilvl w:val="1"/>
        <w:numId w:val="11"/>
      </w:numPr>
    </w:pPr>
  </w:style>
  <w:style w:type="paragraph" w:customStyle="1" w:styleId="VWSNtb-inspringen">
    <w:name w:val="VWS Ntb - inspringen"/>
    <w:basedOn w:val="Normal"/>
    <w:next w:val="Normal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Normal"/>
    <w:next w:val="Normal"/>
  </w:style>
  <w:style w:type="paragraph" w:customStyle="1" w:styleId="VWSNtbinspringenklik">
    <w:name w:val="VWS Ntb inspringen klik"/>
    <w:basedOn w:val="Normal"/>
    <w:next w:val="Normal"/>
    <w:pPr>
      <w:numPr>
        <w:numId w:val="10"/>
      </w:numPr>
    </w:pPr>
  </w:style>
  <w:style w:type="paragraph" w:customStyle="1" w:styleId="VWSNtbKop">
    <w:name w:val="VWS Ntb Kop"/>
    <w:basedOn w:val="Normal"/>
    <w:next w:val="Normal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Normal"/>
    <w:next w:val="Normal"/>
  </w:style>
  <w:style w:type="paragraph" w:customStyle="1" w:styleId="VWSStartnota">
    <w:name w:val="VWS Startnota"/>
    <w:basedOn w:val="Normal"/>
    <w:next w:val="Normal"/>
  </w:style>
  <w:style w:type="paragraph" w:customStyle="1" w:styleId="VWSStartnotaKop1">
    <w:name w:val="VWS Startnota Kop 1"/>
    <w:basedOn w:val="Normal"/>
    <w:next w:val="Normal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Normal"/>
    <w:next w:val="Normal"/>
    <w:rPr>
      <w:sz w:val="20"/>
      <w:szCs w:val="20"/>
    </w:rPr>
  </w:style>
  <w:style w:type="paragraph" w:customStyle="1" w:styleId="VWSStartnotaV8italic">
    <w:name w:val="VWS Startnota V8 italic"/>
    <w:basedOn w:val="Normal"/>
    <w:next w:val="Normal"/>
    <w:rPr>
      <w:i/>
      <w:sz w:val="16"/>
      <w:szCs w:val="16"/>
    </w:rPr>
  </w:style>
  <w:style w:type="paragraph" w:customStyle="1" w:styleId="VWSToespraakbodytekstV14">
    <w:name w:val="VWS Toespraak bodytekst V14"/>
    <w:basedOn w:val="Normal"/>
    <w:next w:val="Normal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Normal"/>
    <w:next w:val="Normal"/>
    <w:rPr>
      <w:sz w:val="13"/>
      <w:szCs w:val="13"/>
    </w:rPr>
  </w:style>
  <w:style w:type="paragraph" w:customStyle="1" w:styleId="VWSVoordrachtDatum">
    <w:name w:val="VWS Voordracht Datum"/>
    <w:basedOn w:val="Normal"/>
    <w:next w:val="Normal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A705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5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705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5B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5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887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8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498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498"/>
    <w:rPr>
      <w:rFonts w:ascii="Verdana" w:hAnsi="Verdana"/>
      <w:b/>
      <w:bCs/>
      <w:color w:val="000000"/>
    </w:rPr>
  </w:style>
  <w:style w:type="character" w:styleId="Emphasis">
    <w:name w:val="Emphasis"/>
    <w:basedOn w:val="DefaultParagraphFont"/>
    <w:uiPriority w:val="20"/>
    <w:qFormat/>
    <w:rsid w:val="008F7DC6"/>
    <w:rPr>
      <w:i/>
      <w:iCs/>
    </w:rPr>
  </w:style>
  <w:style w:type="paragraph" w:styleId="NormalWeb">
    <w:name w:val="Normal (Web)"/>
    <w:basedOn w:val="Normal"/>
    <w:uiPriority w:val="99"/>
    <w:unhideWhenUsed/>
    <w:rsid w:val="008F7DC6"/>
    <w:pPr>
      <w:autoSpaceDN/>
      <w:spacing w:after="15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658D6"/>
    <w:pPr>
      <w:autoSpaceDN/>
      <w:spacing w:line="240" w:lineRule="auto"/>
      <w:textAlignment w:val="auto"/>
    </w:pPr>
    <w:rPr>
      <w:rFonts w:ascii="Univers" w:eastAsia="Times New Roman" w:hAnsi="Univers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8D6"/>
    <w:rPr>
      <w:rFonts w:ascii="Univers" w:eastAsia="Times New Roman" w:hAnsi="Univers" w:cs="Times New Roman"/>
    </w:rPr>
  </w:style>
  <w:style w:type="character" w:styleId="FootnoteReference">
    <w:name w:val="footnote reference"/>
    <w:basedOn w:val="DefaultParagraphFont"/>
    <w:uiPriority w:val="99"/>
    <w:semiHidden/>
    <w:rsid w:val="00B658D6"/>
    <w:rPr>
      <w:vertAlign w:val="superscript"/>
    </w:rPr>
  </w:style>
  <w:style w:type="character" w:styleId="Strong">
    <w:name w:val="Strong"/>
    <w:basedOn w:val="DefaultParagraphFont"/>
    <w:uiPriority w:val="22"/>
    <w:qFormat/>
    <w:rsid w:val="002A729E"/>
    <w:rPr>
      <w:b/>
      <w:bCs/>
    </w:rPr>
  </w:style>
  <w:style w:type="paragraph" w:customStyle="1" w:styleId="tussenkop">
    <w:name w:val="tussenkop"/>
    <w:basedOn w:val="Normal"/>
    <w:rsid w:val="002A729E"/>
    <w:pPr>
      <w:autoSpaceDN/>
      <w:spacing w:after="15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21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2137C3"/>
    <w:pPr>
      <w:autoSpaceDN/>
      <w:spacing w:before="120" w:after="120" w:line="240" w:lineRule="auto"/>
      <w:jc w:val="both"/>
      <w:textAlignment w:val="auto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Marker">
    <w:name w:val="Marker"/>
    <w:basedOn w:val="DefaultParagraphFont"/>
    <w:rsid w:val="002137C3"/>
    <w:rPr>
      <w:color w:val="0000FF"/>
      <w:shd w:val="clear" w:color="auto" w:fill="auto"/>
    </w:rPr>
  </w:style>
  <w:style w:type="paragraph" w:customStyle="1" w:styleId="Default">
    <w:name w:val="Default"/>
    <w:rsid w:val="00672904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8E7EEA"/>
    <w:rPr>
      <w:rFonts w:ascii="Verdana" w:hAnsi="Verdana"/>
      <w:color w:val="000000"/>
      <w:sz w:val="18"/>
      <w:szCs w:val="18"/>
    </w:rPr>
  </w:style>
  <w:style w:type="paragraph" w:customStyle="1" w:styleId="ti-art">
    <w:name w:val="ti-art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i-art">
    <w:name w:val="sti-art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ard1">
    <w:name w:val="Standaard1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0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5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&#65279;<?xml version="1.0" encoding="UTF-8" standalone="yes"?>
<Relationships xmlns="http://schemas.openxmlformats.org/package/2006/relationships"><Relationship Id="rId2" Type="http://schemas.openxmlformats.org/officeDocument/2006/relationships/hyperlink" Target="https://www.rijksoverheid.nl/" TargetMode="External"/><Relationship Id="rId1" Type="http://schemas.openxmlformats.org/officeDocument/2006/relationships/hyperlink" Target="https://www.rijksoverheid.n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EMSGJJ\AppData\Local\Microsoft\Windows\INetCache\IE\BUYRAFI3\Beslui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2307-48C5-4E10-9E1E-10B17B6F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Besluit.dotx</Template>
  <TotalTime>5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Willems, G.J.J. (Anna)</dc:creator>
  <cp:lastModifiedBy>Liana Brili</cp:lastModifiedBy>
  <cp:revision>4</cp:revision>
  <cp:lastPrinted>2019-05-15T13:40:00Z</cp:lastPrinted>
  <dcterms:created xsi:type="dcterms:W3CDTF">2021-07-27T20:03:00Z</dcterms:created>
  <dcterms:modified xsi:type="dcterms:W3CDTF">2021-08-07T09:14:00Z</dcterms:modified>
</cp:coreProperties>
</file>