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982" w:type="dxa"/>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5F5078" w14:paraId="2EF49194" w14:textId="77777777">
        <w:trPr>
          <w:cantSplit/>
        </w:trPr>
        <w:tc>
          <w:tcPr>
            <w:tcW w:w="3982" w:type="dxa"/>
            <w:gridSpan w:val="3"/>
          </w:tcPr>
          <w:p w14:paraId="142A1F04" w14:textId="77777777" w:rsidR="005F5078" w:rsidRDefault="00731862">
            <w:pPr>
              <w:pStyle w:val="SNREPUBLIQUE"/>
              <w:widowControl w:val="0"/>
            </w:pPr>
            <w:r>
              <w:t xml:space="preserve">REPUBLICA FRANCEZĂ</w:t>
            </w:r>
          </w:p>
        </w:tc>
      </w:tr>
      <w:tr w:rsidR="005F5078" w14:paraId="327BF3FE" w14:textId="77777777">
        <w:trPr>
          <w:cantSplit/>
          <w:trHeight w:hRule="exact" w:val="113"/>
        </w:trPr>
        <w:tc>
          <w:tcPr>
            <w:tcW w:w="1527" w:type="dxa"/>
          </w:tcPr>
          <w:p w14:paraId="7781AC49" w14:textId="77777777" w:rsidR="005F5078" w:rsidRDefault="005F5078">
            <w:pPr>
              <w:widowControl w:val="0"/>
            </w:pPr>
          </w:p>
        </w:tc>
        <w:tc>
          <w:tcPr>
            <w:tcW w:w="968" w:type="dxa"/>
            <w:tcBorders>
              <w:bottom w:val="single" w:sz="2" w:space="0" w:color="000000"/>
            </w:tcBorders>
          </w:tcPr>
          <w:p w14:paraId="44BB5E56" w14:textId="77777777" w:rsidR="005F5078" w:rsidRDefault="005F5078">
            <w:pPr>
              <w:widowControl w:val="0"/>
            </w:pPr>
          </w:p>
        </w:tc>
        <w:tc>
          <w:tcPr>
            <w:tcW w:w="1487" w:type="dxa"/>
          </w:tcPr>
          <w:p w14:paraId="631EDFC8" w14:textId="77777777" w:rsidR="005F5078" w:rsidRDefault="005F5078">
            <w:pPr>
              <w:widowControl w:val="0"/>
            </w:pPr>
          </w:p>
        </w:tc>
      </w:tr>
      <w:tr w:rsidR="005F5078" w14:paraId="7C614A16" w14:textId="77777777">
        <w:trPr>
          <w:cantSplit/>
        </w:trPr>
        <w:tc>
          <w:tcPr>
            <w:tcW w:w="3982" w:type="dxa"/>
            <w:gridSpan w:val="3"/>
          </w:tcPr>
          <w:p w14:paraId="584C262C" w14:textId="77777777" w:rsidR="005F5078" w:rsidRDefault="00731862" w:rsidP="009154B2">
            <w:pPr>
              <w:pStyle w:val="SNTimbre"/>
            </w:pPr>
            <w:r>
              <w:t xml:space="preserve">Ministerul Economiei, Finanțelor și Suveranității Industriale și Digitale</w:t>
            </w:r>
          </w:p>
        </w:tc>
      </w:tr>
      <w:tr w:rsidR="005F5078" w14:paraId="72A0FA66" w14:textId="77777777">
        <w:trPr>
          <w:cantSplit/>
          <w:trHeight w:hRule="exact" w:val="227"/>
        </w:trPr>
        <w:tc>
          <w:tcPr>
            <w:tcW w:w="1527" w:type="dxa"/>
          </w:tcPr>
          <w:p w14:paraId="3B64219B" w14:textId="77777777" w:rsidR="005F5078" w:rsidRDefault="005F5078">
            <w:pPr>
              <w:widowControl w:val="0"/>
            </w:pPr>
          </w:p>
        </w:tc>
        <w:tc>
          <w:tcPr>
            <w:tcW w:w="968" w:type="dxa"/>
            <w:tcBorders>
              <w:bottom w:val="single" w:sz="2" w:space="0" w:color="000000"/>
            </w:tcBorders>
          </w:tcPr>
          <w:p w14:paraId="0B6A1BA4" w14:textId="77777777" w:rsidR="005F5078" w:rsidRDefault="005F5078">
            <w:pPr>
              <w:widowControl w:val="0"/>
            </w:pPr>
          </w:p>
        </w:tc>
        <w:tc>
          <w:tcPr>
            <w:tcW w:w="1487" w:type="dxa"/>
          </w:tcPr>
          <w:p w14:paraId="00B31E60" w14:textId="77777777" w:rsidR="005F5078" w:rsidRDefault="005F5078">
            <w:pPr>
              <w:widowControl w:val="0"/>
            </w:pPr>
          </w:p>
        </w:tc>
      </w:tr>
      <w:tr w:rsidR="005F5078" w14:paraId="4D905DBE" w14:textId="77777777">
        <w:trPr>
          <w:cantSplit/>
          <w:trHeight w:hRule="exact" w:val="227"/>
        </w:trPr>
        <w:tc>
          <w:tcPr>
            <w:tcW w:w="1527" w:type="dxa"/>
          </w:tcPr>
          <w:p w14:paraId="24B31DBC" w14:textId="77777777" w:rsidR="005F5078" w:rsidRDefault="005F5078">
            <w:pPr>
              <w:widowControl w:val="0"/>
            </w:pPr>
          </w:p>
        </w:tc>
        <w:tc>
          <w:tcPr>
            <w:tcW w:w="968" w:type="dxa"/>
          </w:tcPr>
          <w:p w14:paraId="06886BEC" w14:textId="77777777" w:rsidR="005F5078" w:rsidRDefault="005F5078">
            <w:pPr>
              <w:widowControl w:val="0"/>
            </w:pPr>
          </w:p>
        </w:tc>
        <w:tc>
          <w:tcPr>
            <w:tcW w:w="1487" w:type="dxa"/>
          </w:tcPr>
          <w:p w14:paraId="3AA1002C" w14:textId="77777777" w:rsidR="005F5078" w:rsidRDefault="005F5078">
            <w:pPr>
              <w:widowControl w:val="0"/>
            </w:pPr>
          </w:p>
        </w:tc>
      </w:tr>
    </w:tbl>
    <w:p w14:paraId="36691FFC" w14:textId="77777777" w:rsidR="005F5078" w:rsidRDefault="00731862">
      <w:pPr>
        <w:pStyle w:val="SNNature"/>
      </w:pPr>
      <w:r>
        <w:t xml:space="preserve">Decretul nr.                           din</w:t>
      </w:r>
    </w:p>
    <w:p w14:paraId="79FCD7D7" w14:textId="20F1CEA7" w:rsidR="005F5078" w:rsidRDefault="001C1031">
      <w:pPr>
        <w:pStyle w:val="SNtitre"/>
      </w:pPr>
      <w:r>
        <w:t xml:space="preserve">de stabilire a listei de produse pentru care vânzarea în vrac este interzisă din motive de sănătate publică</w:t>
      </w:r>
    </w:p>
    <w:p w14:paraId="73F15661" w14:textId="77777777" w:rsidR="005F5078" w:rsidRDefault="00731862">
      <w:pPr>
        <w:pStyle w:val="SNNORCentr"/>
      </w:pPr>
      <w:r>
        <w:t xml:space="preserve">NR.:</w:t>
      </w:r>
      <w:r>
        <w:t xml:space="preserve"> </w:t>
      </w:r>
      <w:r>
        <w:t xml:space="preserve">[…]</w:t>
      </w:r>
    </w:p>
    <w:p w14:paraId="0C8BAA12" w14:textId="77777777" w:rsidR="005F5078" w:rsidRDefault="00731862">
      <w:pPr>
        <w:pStyle w:val="SNVisa"/>
        <w:jc w:val="both"/>
        <w:rPr>
          <w:i/>
        </w:rPr>
      </w:pPr>
      <w:r>
        <w:rPr>
          <w:b/>
          <w:i/>
        </w:rPr>
        <w:t xml:space="preserve">Publicul vizat:</w:t>
      </w:r>
      <w:r>
        <w:t xml:space="preserve">:</w:t>
      </w:r>
      <w:r>
        <w:t xml:space="preserve"> </w:t>
      </w:r>
      <w:r>
        <w:rPr>
          <w:i/>
        </w:rPr>
        <w:t xml:space="preserve">puncte de vânzare cu amănuntul accesibile consumatorilor, care sunt susceptibile de a practica vânzarea în vrac, inclusiv vânzarea la distanță și punctele de vânzare ambulante.</w:t>
      </w:r>
    </w:p>
    <w:p w14:paraId="65083E7E" w14:textId="77777777" w:rsidR="005F5078" w:rsidRDefault="00731862">
      <w:pPr>
        <w:pStyle w:val="SNVisa"/>
        <w:jc w:val="both"/>
        <w:rPr>
          <w:i/>
        </w:rPr>
      </w:pPr>
      <w:r>
        <w:rPr>
          <w:b/>
          <w:i/>
        </w:rPr>
        <w:t xml:space="preserve">Obiectul</w:t>
      </w:r>
      <w:r>
        <w:t xml:space="preserve">:</w:t>
      </w:r>
      <w:r>
        <w:t xml:space="preserve"> </w:t>
      </w:r>
      <w:r>
        <w:rPr>
          <w:i/>
        </w:rPr>
        <w:t xml:space="preserve">lista produselor pentru care vânzarea în vrac este autorizată în anumite condiții sau este interzisă din motive de sănătate publică</w:t>
      </w:r>
    </w:p>
    <w:p w14:paraId="08524C55" w14:textId="77777777" w:rsidR="005F5078" w:rsidRDefault="00731862">
      <w:pPr>
        <w:pStyle w:val="SNVisa"/>
        <w:jc w:val="both"/>
      </w:pPr>
      <w:r>
        <w:rPr>
          <w:b/>
          <w:i/>
        </w:rPr>
        <w:t xml:space="preserve">Intrare în vigoare</w:t>
      </w:r>
      <w:r>
        <w:t xml:space="preserve">:</w:t>
      </w:r>
      <w:r>
        <w:t xml:space="preserve"> </w:t>
      </w:r>
      <w:r>
        <w:rPr>
          <w:i/>
        </w:rPr>
        <w:t xml:space="preserve">decretul va intra în vigoare la</w:t>
      </w:r>
      <w:r>
        <w:t xml:space="preserve"> </w:t>
      </w:r>
    </w:p>
    <w:p w14:paraId="58470336" w14:textId="460E7DB9" w:rsidR="005F5078" w:rsidRDefault="00731862">
      <w:pPr>
        <w:pStyle w:val="SNVisa"/>
        <w:jc w:val="both"/>
        <w:rPr>
          <w:i/>
        </w:rPr>
      </w:pPr>
      <w:r>
        <w:rPr>
          <w:b/>
        </w:rPr>
        <w:t xml:space="preserve">Observație</w:t>
      </w:r>
      <w:r>
        <w:t xml:space="preserve">:</w:t>
      </w:r>
      <w:r>
        <w:t xml:space="preserve"> </w:t>
      </w:r>
      <w:r>
        <w:rPr>
          <w:i/>
        </w:rPr>
        <w:t xml:space="preserve">decretul prevede, în vederea clarificării standardului și a lizibilității acestuia, o serie de definiții.</w:t>
      </w:r>
      <w:r>
        <w:rPr>
          <w:i/>
        </w:rPr>
        <w:t xml:space="preserve"> </w:t>
      </w:r>
      <w:r>
        <w:rPr>
          <w:i/>
        </w:rPr>
        <w:t xml:space="preserve">Acesta prevede o listă de produse pentru care vânzarea în vrac este permisă numai în anumite condiții sau este interzisă din motive de siguranță sau de sănătate publică, ținând seama de legislația în vigoare care interzice vânzarea în vrac, de dispozițiile dreptului Uniunii, în special în ceea ce privește igiena, ceea ce face imposibilă vânzarea în vrac, precum și de recomandările Agenției naționale de securitate sanitară a alimentației, a mediului și a muncii, în nota sa de sprijin științific și tehnic din 15 noiembrie 2021.</w:t>
      </w:r>
      <w:r>
        <w:rPr>
          <w:i/>
        </w:rPr>
        <w:t xml:space="preserve"> </w:t>
      </w:r>
    </w:p>
    <w:p w14:paraId="37532082" w14:textId="1AA39CF8" w:rsidR="005F5078" w:rsidRDefault="00731862">
      <w:pPr>
        <w:pStyle w:val="SNVisa"/>
        <w:jc w:val="both"/>
        <w:rPr>
          <w:i/>
        </w:rPr>
      </w:pPr>
      <w:r>
        <w:rPr>
          <w:i/>
        </w:rPr>
        <w:t xml:space="preserve">În cele din urmă, decretul prevede că un ordin al ministrului consumului și al miniștrilor competenți din punct de vedere sectorial poate, dacă este cazul, să precizeze modalitățile de vânzare în vrac a anumitor produse, în special din motive de siguranță.</w:t>
      </w:r>
      <w:r>
        <w:rPr>
          <w:i/>
        </w:rPr>
        <w:t xml:space="preserve">  </w:t>
      </w:r>
    </w:p>
    <w:p w14:paraId="0B12F8AA" w14:textId="77777777" w:rsidR="005F5078" w:rsidRDefault="00731862">
      <w:pPr>
        <w:pStyle w:val="SNVisa"/>
        <w:jc w:val="both"/>
      </w:pPr>
      <w:r>
        <w:rPr>
          <w:b/>
          <w:i/>
        </w:rPr>
        <w:t xml:space="preserve">Referințe</w:t>
      </w:r>
      <w:r>
        <w:t xml:space="preserve">: codul consumului, astfel cum a fost modificat prin prezentul decret, poate fi consultat pe site-ul web Légifrance (www.legifrance.gouv.fr).</w:t>
      </w:r>
    </w:p>
    <w:p w14:paraId="71DA58A3" w14:textId="77777777" w:rsidR="005F5078" w:rsidRDefault="009154B2">
      <w:pPr>
        <w:pStyle w:val="SNAutorit"/>
      </w:pPr>
      <w:r>
        <w:t xml:space="preserve">Prim-ministrul,</w:t>
      </w:r>
    </w:p>
    <w:p w14:paraId="60875EF9" w14:textId="77777777" w:rsidR="005F5078" w:rsidRDefault="00731862">
      <w:pPr>
        <w:pStyle w:val="SNRapport"/>
        <w:jc w:val="both"/>
      </w:pPr>
      <w:r>
        <w:t xml:space="preserve">referitor la raportul ministrului economiei, finanțelor și suveranității industriale și digitale,</w:t>
      </w:r>
    </w:p>
    <w:p w14:paraId="445356BD" w14:textId="77777777" w:rsidR="005F5078" w:rsidRDefault="00731862">
      <w:pPr>
        <w:pStyle w:val="SNVisa"/>
        <w:jc w:val="both"/>
      </w:pPr>
      <w:r>
        <w:t xml:space="preserve">având în vedere Regulamentul (CE) nr. 1831/2003 al Parlamentului European și al Consiliului din 22 septembrie 2003, astfel cum a fost modificat, privind aditivii din hrana animalelor,</w:t>
      </w:r>
    </w:p>
    <w:p w14:paraId="4C337A29" w14:textId="77777777" w:rsidR="005F5078" w:rsidRDefault="00731862">
      <w:pPr>
        <w:pStyle w:val="SNVisa"/>
        <w:jc w:val="both"/>
      </w:pPr>
      <w:r>
        <w:t xml:space="preserve">având în vedere Regulamentul (CE) nr. 648/2004 al Parlamentului European și al Consiliului din 31 martie 2004 privind detergenții,</w:t>
      </w:r>
    </w:p>
    <w:p w14:paraId="6DE24724" w14:textId="77777777" w:rsidR="005F5078" w:rsidRDefault="00731862">
      <w:pPr>
        <w:pStyle w:val="SNVisa"/>
        <w:jc w:val="both"/>
      </w:pPr>
      <w:r>
        <w:t xml:space="preserve">având în vedere Regulamentul (CE) nr. 852/2004 al Parlamentului European și al Consiliului din 29 aprilie 2004, astfel cum a fost modificat, privind igiena produselor alimentare,</w:t>
      </w:r>
    </w:p>
    <w:p w14:paraId="1CD01E86" w14:textId="77777777" w:rsidR="005F5078" w:rsidRDefault="00731862">
      <w:pPr>
        <w:pStyle w:val="SNVisa"/>
        <w:jc w:val="both"/>
      </w:pPr>
      <w:r>
        <w:t xml:space="preserve">având în vedere Regulamentul (CE) nr. 853/2004 al Parlamentului European și al Consiliului din 29 aprilie 2004 de stabilire a unor norme specifice de igienă care se aplică alimentelor de origine animală,</w:t>
      </w:r>
    </w:p>
    <w:p w14:paraId="772FCAA0" w14:textId="77777777" w:rsidR="005F5078" w:rsidRDefault="00731862">
      <w:pPr>
        <w:pStyle w:val="SNVisa"/>
        <w:jc w:val="both"/>
      </w:pPr>
      <w:r>
        <w:t xml:space="preserve">având în vedere Regulamentul (CE) nr. 1272/2008 al Parlamentului European și al Consiliului din 16 decembrie 2008, astfel cum a fost modificat, privind clasificarea, etichetarea și ambalarea substanțelor și a amestecurilor, astfel cum a fost modificat, de modificare și de abrogare a Directivelor 67/548/CEE și 1999/45/CE, precum și de modificare a Regulamentului (CE) nr. 1907/2006,</w:t>
      </w:r>
    </w:p>
    <w:p w14:paraId="7F7D550E" w14:textId="77777777" w:rsidR="005F5078" w:rsidRDefault="00731862">
      <w:pPr>
        <w:pStyle w:val="SNVisa"/>
        <w:jc w:val="both"/>
      </w:pPr>
      <w:r>
        <w:t xml:space="preserve">având în vedere Regulamentul (CE) nr. 767/2009 al Parlamentului European și al Consiliului din 13 iulie 2009, astfel cum a fost modificat, privind introducerea pe piață și utilizarea furajelor, de modificare a Regulamentului (CE) nr. 1831/2003 al Parlamentului European și al Consiliului și de abrogare a Directivei 79/373/CEE a Consiliului, a Directivei 80/511/CEE a Comisiei, a Directivelor 82/471/CEE, 83/228/CEE, 93/74/CEE, 93/113/CE și 96/25/CE ale Consiliului și a Deciziei 2004/217/CE a Comisiei,</w:t>
      </w:r>
    </w:p>
    <w:p w14:paraId="063500E3" w14:textId="77777777" w:rsidR="005F5078" w:rsidRDefault="00731862">
      <w:pPr>
        <w:pStyle w:val="SNVisa"/>
        <w:jc w:val="both"/>
      </w:pPr>
      <w:r>
        <w:t xml:space="preserve">având în vedere Regulamentul (CE) nr. 1069/2009 al Parlamentului European și al Consiliului din 21 octombrie 2009, astfel cum a fost modificat, de stabilire a unor norme sanitare privind subprodusele de origine animală și produsele derivate care nu sunt destinate consumului uman și de abrogare a Regulamentului (CE) nr. 1774/2002,</w:t>
      </w:r>
    </w:p>
    <w:p w14:paraId="3A6FAF40" w14:textId="77777777" w:rsidR="005F5078" w:rsidRDefault="00731862">
      <w:pPr>
        <w:pStyle w:val="SNVisa"/>
        <w:jc w:val="both"/>
      </w:pPr>
      <w:r>
        <w:t xml:space="preserve">având în vedere Regulamentul (CE) nr. 1107/2009 al Parlamentului European și al Consiliului din 21 octombrie 2009, astfel cum a fost modificat, privind introducerea pe piață a produselor fitosanitare și de abrogare a Directivelor 79/117/CEE și 91/414/CEE ale Consiliului,</w:t>
      </w:r>
    </w:p>
    <w:p w14:paraId="69A2F939" w14:textId="77777777" w:rsidR="005F5078" w:rsidRDefault="00731862">
      <w:pPr>
        <w:pStyle w:val="SNVisa"/>
        <w:jc w:val="both"/>
      </w:pPr>
      <w:r>
        <w:t xml:space="preserve">având în vedere Regulamentul (CE) nr. 1223/2009 al Parlamentului European și al Consiliului modificat, astfel cum a fost modificat, privind produsele cosmetice,</w:t>
      </w:r>
    </w:p>
    <w:p w14:paraId="2C3FEAC8" w14:textId="77777777" w:rsidR="005F5078" w:rsidRDefault="00731862">
      <w:pPr>
        <w:pStyle w:val="SNVisa"/>
        <w:jc w:val="both"/>
      </w:pPr>
      <w:r>
        <w:t xml:space="preserve">având în vedere Regulamentul (UE) nr. 142/2011 al Comisiei din 25 februarie 2011, astfel cum a fost modificat, de punere în aplicare a Regulamentului (CE) nr. 1069/2009 al Parlamentului European și al Consiliului de stabilire a unor norme sanitare privind subprodusele de origine animală și produsele derivate care nu sunt destinate consumului uman și de punere în aplicare a Directivei 97/78/CE a Consiliului în ceea ce privește anumite probe și produse care sunt scutite de la controalele sanitar-veterinare la frontieră în conformitate cu directiva menționată,</w:t>
      </w:r>
    </w:p>
    <w:p w14:paraId="2B1EC3CA" w14:textId="77777777" w:rsidR="005F5078" w:rsidRDefault="00731862">
      <w:pPr>
        <w:pStyle w:val="SNVisa"/>
        <w:jc w:val="both"/>
      </w:pPr>
      <w:r>
        <w:t xml:space="preserve">având în vedere Regulamentul (UE) nr. 528/2012 al Parlamentului European și al Consiliului din 22 mai 2012, astfel cum a fost modificat, de stabilire a unor condiții armonizate pentru comercializarea produselor pentru construcții,</w:t>
      </w:r>
    </w:p>
    <w:p w14:paraId="5649DAA6" w14:textId="77777777" w:rsidR="005F5078" w:rsidRDefault="00731862">
      <w:pPr>
        <w:pStyle w:val="SNVisa"/>
        <w:jc w:val="both"/>
      </w:pPr>
      <w:r>
        <w:t xml:space="preserve">având în vedere Regulamentul (UE) nr. 609/2013 al Parlamentului European și al Consiliului din 12 iunie 2013, astfel cum a fost modificat, privind alimentele destinate sugarilor și copiilor de vârstă mică, alimentele destinate unor scopuri medicale speciale și înlocuitorii unei diete totale pentru controlul greutății și de abrogare a Directivei 92/52/CEE a Consiliului, a Directivelor 96/8/CE, 1999/21/CE, 2006/125/CE și 2006/141/CE ale Comisiei, a Directivei 2009/39/CE a Parlamentului European și a Consiliului și a Regulamentelor (CE) nr. 41/2009 și (CE) nr. 953/2009 ale Comisiei,</w:t>
      </w:r>
    </w:p>
    <w:p w14:paraId="6A55E9F8" w14:textId="77777777" w:rsidR="005F5078" w:rsidRDefault="00731862">
      <w:pPr>
        <w:pStyle w:val="SNVisa"/>
        <w:jc w:val="both"/>
      </w:pPr>
      <w:r>
        <w:t xml:space="preserve">având în vedere Directiva (UE) 2015/1535 a Parlamentului European și a Consiliului din 9 septembrie 2015, astfel cum a fost modificată, referitoare la procedura de furnizare de informații în domeniul reglementărilor tehnice și al normelor privind serviciile societății informaționale, în special notificarea nr. </w:t>
      </w:r>
      <w:r>
        <w:rPr>
          <w:highlight w:val="yellow"/>
        </w:rPr>
        <w:t xml:space="preserve">………………..</w:t>
      </w:r>
      <w:r>
        <w:t xml:space="preserve"> </w:t>
      </w:r>
      <w:r>
        <w:t xml:space="preserve">,</w:t>
      </w:r>
    </w:p>
    <w:p w14:paraId="7CFDBCDC" w14:textId="77777777" w:rsidR="005F5078" w:rsidRDefault="00731862">
      <w:pPr>
        <w:pStyle w:val="SNVisa"/>
        <w:jc w:val="both"/>
      </w:pPr>
      <w:r>
        <w:t xml:space="preserve">având în vedere Codul consumului, în special articolul L. 120-1, </w:t>
      </w:r>
      <w:r>
        <w:rPr>
          <w:i/>
        </w:rPr>
        <w:t xml:space="preserve">, astfel cum a fost modificat prin articolul 41 din Legea nr. 020-105 din 10 februarie 2020 privind combaterea deșeurilor și economia circulară</w:t>
      </w:r>
      <w:r>
        <w:t xml:space="preserve">,</w:t>
      </w:r>
    </w:p>
    <w:p w14:paraId="2D434819" w14:textId="77777777" w:rsidR="005F5078" w:rsidRDefault="00731862">
      <w:pPr>
        <w:pStyle w:val="SNVisa"/>
        <w:jc w:val="both"/>
      </w:pPr>
      <w:r>
        <w:t xml:space="preserve">având în vedere Codul mediului, în special articolul R. 557-6-1,</w:t>
      </w:r>
    </w:p>
    <w:p w14:paraId="0931AA72" w14:textId="77777777" w:rsidR="005F5078" w:rsidRDefault="00731862">
      <w:pPr>
        <w:ind w:left="708" w:firstLine="1"/>
        <w:jc w:val="both"/>
      </w:pPr>
      <w:r>
        <w:t xml:space="preserve">având în vedere Codul rural și al pescuitului maritim, în special articolele L. 253-1 și R. 253-43,</w:t>
      </w:r>
    </w:p>
    <w:p w14:paraId="51649634" w14:textId="77777777" w:rsidR="005F5078" w:rsidRDefault="00731862">
      <w:pPr>
        <w:pStyle w:val="SNVisa"/>
        <w:jc w:val="both"/>
      </w:pPr>
      <w:r>
        <w:t xml:space="preserve">având în vedere Decretul nr. 64-949 din 9 septembrie 1964 de punere în aplicare a articolului L. 214-1 din Codul consumului pentru produsele congelate,</w:t>
      </w:r>
    </w:p>
    <w:p w14:paraId="1AE32AF9" w14:textId="77777777" w:rsidR="005F5078" w:rsidRDefault="00731862">
      <w:pPr>
        <w:pStyle w:val="SNVisa"/>
        <w:jc w:val="both"/>
      </w:pPr>
      <w:r>
        <w:t xml:space="preserve">având în vedere Decretul nr. 91-827 din 29 august 1991 privind produsele alimentare destinate unei alimentații speciale,</w:t>
      </w:r>
    </w:p>
    <w:p w14:paraId="17F46362" w14:textId="77777777" w:rsidR="005F5078" w:rsidRDefault="00731862">
      <w:pPr>
        <w:pStyle w:val="SNVisa"/>
        <w:jc w:val="both"/>
      </w:pPr>
      <w:r>
        <w:t xml:space="preserve">având în vedere Decretul nr. 2006-352 din 20 martie 2006 privind suplimentele alimentare,</w:t>
      </w:r>
    </w:p>
    <w:p w14:paraId="159560AD" w14:textId="77777777" w:rsidR="005F5078" w:rsidRDefault="00731862">
      <w:pPr>
        <w:pStyle w:val="SNVisa"/>
        <w:jc w:val="both"/>
      </w:pPr>
      <w:r>
        <w:t xml:space="preserve">având în vedere nota de sprijin științific și tehnic a Agenției naționale de securitate sanitară a alimentației, a mediului și a muncii din 15 noiembrie 2021,</w:t>
      </w:r>
    </w:p>
    <w:p w14:paraId="1EAA778F" w14:textId="77777777" w:rsidR="005F5078" w:rsidRDefault="00731862">
      <w:pPr>
        <w:pStyle w:val="SNActe"/>
      </w:pPr>
      <w:r>
        <w:t xml:space="preserve">Dispune:</w:t>
      </w:r>
    </w:p>
    <w:p w14:paraId="0CB970F5" w14:textId="77777777" w:rsidR="005F5078" w:rsidRDefault="00731862">
      <w:pPr>
        <w:pStyle w:val="SNArticle"/>
      </w:pPr>
      <w:r>
        <w:t xml:space="preserve">Articolul 1</w:t>
      </w:r>
    </w:p>
    <w:p w14:paraId="412F2FD6" w14:textId="77777777" w:rsidR="005F5078" w:rsidRDefault="00731862">
      <w:pPr>
        <w:pStyle w:val="BodyText"/>
      </w:pPr>
      <w:r>
        <w:t xml:space="preserve">Înainte de capitolul 1 din titlul II din cartea 1 din Codul consumului, capitolul I A se introduce după cum urmează:</w:t>
      </w:r>
    </w:p>
    <w:p w14:paraId="4A4AED7F" w14:textId="77777777" w:rsidR="005F5078" w:rsidRDefault="00731862">
      <w:pPr>
        <w:pStyle w:val="BodyText"/>
        <w:jc w:val="center"/>
        <w:rPr>
          <w:i/>
        </w:rPr>
      </w:pPr>
      <w:r>
        <w:t xml:space="preserve">„</w:t>
      </w:r>
      <w:r>
        <w:rPr>
          <w:i/>
        </w:rPr>
        <w:t xml:space="preserve">Capitolul I A:</w:t>
      </w:r>
      <w:r>
        <w:rPr>
          <w:i/>
        </w:rPr>
        <w:t xml:space="preserve"> </w:t>
      </w:r>
      <w:r>
        <w:rPr>
          <w:i/>
        </w:rPr>
        <w:t xml:space="preserve">Practici comerciale încurajate</w:t>
      </w:r>
    </w:p>
    <w:p w14:paraId="3786094A" w14:textId="77777777" w:rsidR="005F5078" w:rsidRDefault="00731862">
      <w:pPr>
        <w:pStyle w:val="BodyText"/>
        <w:jc w:val="center"/>
        <w:rPr>
          <w:i/>
        </w:rPr>
      </w:pPr>
      <w:r>
        <w:rPr>
          <w:i/>
        </w:rPr>
        <w:t xml:space="preserve">Secțiunea 1:</w:t>
      </w:r>
      <w:r>
        <w:rPr>
          <w:i/>
        </w:rPr>
        <w:t xml:space="preserve"> </w:t>
      </w:r>
      <w:r>
        <w:rPr>
          <w:i/>
        </w:rPr>
        <w:t xml:space="preserve">Vânzarea de produse neambalate</w:t>
      </w:r>
    </w:p>
    <w:p w14:paraId="2C1F21CB" w14:textId="77777777" w:rsidR="005F5078" w:rsidRDefault="00731862">
      <w:pPr>
        <w:pStyle w:val="BodyText"/>
        <w:jc w:val="center"/>
      </w:pPr>
      <w:r>
        <w:rPr>
          <w:i/>
        </w:rPr>
        <w:t xml:space="preserve">Subsecțiunea 1:</w:t>
      </w:r>
      <w:r>
        <w:rPr>
          <w:i/>
        </w:rPr>
        <w:t xml:space="preserve"> </w:t>
      </w:r>
      <w:r>
        <w:rPr>
          <w:i/>
        </w:rPr>
        <w:t xml:space="preserve">Definiții</w:t>
      </w:r>
    </w:p>
    <w:p w14:paraId="41602E48" w14:textId="77777777" w:rsidR="002E171A" w:rsidRDefault="002E171A" w:rsidP="002E171A">
      <w:pPr>
        <w:pStyle w:val="BodyText"/>
      </w:pPr>
      <w:r>
        <w:rPr>
          <w:i/>
        </w:rPr>
        <w:t xml:space="preserve">Articolul D. 120-1.</w:t>
      </w:r>
      <w:r>
        <w:t xml:space="preserve"> </w:t>
      </w:r>
      <w:r>
        <w:t xml:space="preserve">–</w:t>
      </w:r>
      <w:r>
        <w:t xml:space="preserve"> </w:t>
      </w:r>
      <w:r>
        <w:t xml:space="preserve">Produsele de consum de zi cu zi, în sensul articolului L. 120-1, sunt bunuri de consum în sensul articolului D. 441-1 din Codul comercial.</w:t>
      </w:r>
    </w:p>
    <w:p w14:paraId="21DC4937" w14:textId="34FA0AE2" w:rsidR="005F5078" w:rsidRDefault="00731862">
      <w:pPr>
        <w:pStyle w:val="BodyText"/>
      </w:pPr>
      <w:r>
        <w:rPr>
          <w:i/>
        </w:rPr>
        <w:t xml:space="preserve">Articolul D. 120-2</w:t>
      </w:r>
      <w:r>
        <w:t xml:space="preserve">.</w:t>
      </w:r>
      <w:r>
        <w:t xml:space="preserve"> </w:t>
      </w:r>
      <w:r>
        <w:t xml:space="preserve">–</w:t>
      </w:r>
      <w:r>
        <w:t xml:space="preserve"> </w:t>
      </w:r>
      <w:r>
        <w:t xml:space="preserve">Serviciul asistat, în sensul articolului L. 120-1, este o metodă de vânzare în care ambalarea produsului și livrarea imediată a acestuia către consumator sunt efectuate de un operator la punctul de vânzare.</w:t>
      </w:r>
    </w:p>
    <w:p w14:paraId="1AF17A48" w14:textId="77777777" w:rsidR="005F5078" w:rsidRDefault="00731862">
      <w:pPr>
        <w:pStyle w:val="BodyText"/>
      </w:pPr>
      <w:r>
        <w:t xml:space="preserve">În cazul în care este probabil ca produsul să prezinte un risc pentru consumator, serviciul asistat trebuie să asigure o protecție suficientă a consumatorilor împotriva riscurilor specifice produsului.</w:t>
      </w:r>
      <w:r>
        <w:t xml:space="preserve"> </w:t>
      </w:r>
    </w:p>
    <w:p w14:paraId="3CECD195" w14:textId="7780506C" w:rsidR="005F5078" w:rsidRDefault="00731862">
      <w:pPr>
        <w:pStyle w:val="BodyText"/>
      </w:pPr>
      <w:r>
        <w:t xml:space="preserve"> </w:t>
      </w:r>
      <w:r>
        <w:rPr>
          <w:i/>
        </w:rPr>
        <w:t xml:space="preserve">Articolul D. 120-3</w:t>
      </w:r>
      <w:r>
        <w:t xml:space="preserve">.</w:t>
      </w:r>
      <w:r>
        <w:t xml:space="preserve"> </w:t>
      </w:r>
      <w:r>
        <w:t xml:space="preserve">–</w:t>
      </w:r>
      <w:r>
        <w:t xml:space="preserve"> </w:t>
      </w:r>
      <w:r>
        <w:t xml:space="preserve">O metodă de distribuție adecvată este aceea care, având în vedere caracteristicile produsului, permite menținerea integrității acestuia, asigurarea conservării acestuia, respectarea cerințelor specifice privind siguranța acestuia și respectarea cerințelor de igienă și siguranță ale zonei de vânzare.</w:t>
      </w:r>
    </w:p>
    <w:p w14:paraId="64310829" w14:textId="77777777" w:rsidR="005F5078" w:rsidRDefault="00731862">
      <w:pPr>
        <w:pStyle w:val="BodyText"/>
      </w:pPr>
      <w:r>
        <w:t xml:space="preserve">În cazul în care produsul este probabil ca produsul să prezinte un risc pentru consumator, metoda de distribuție adecvată trebuie să asigure o protecție suficientă a consumatorilor împotriva riscurilor specifice produsului.</w:t>
      </w:r>
      <w:r>
        <w:t xml:space="preserve"> </w:t>
      </w:r>
    </w:p>
    <w:p w14:paraId="4812EE3A" w14:textId="109A34A6" w:rsidR="005F5078" w:rsidRDefault="00731862">
      <w:pPr>
        <w:pStyle w:val="BodyText"/>
      </w:pPr>
      <w:r>
        <w:rPr>
          <w:i/>
        </w:rPr>
        <w:t xml:space="preserve">Articolul D. 120-4.</w:t>
      </w:r>
      <w:r>
        <w:t xml:space="preserve"> </w:t>
      </w:r>
      <w:r>
        <w:t xml:space="preserve">–</w:t>
      </w:r>
      <w:r>
        <w:t xml:space="preserve"> </w:t>
      </w:r>
      <w:r>
        <w:t xml:space="preserve">Vânzarea cu autoservire a alimentelor la pachet destinate consumului imediat nu este considerată un mijloc de vânzare în vrac în sensul articolului L. 120-1.</w:t>
      </w:r>
      <w:r>
        <w:t xml:space="preserve">  </w:t>
      </w:r>
    </w:p>
    <w:p w14:paraId="1949FF0A" w14:textId="77777777" w:rsidR="005F5078" w:rsidRDefault="005F5078">
      <w:pPr>
        <w:pStyle w:val="BodyText"/>
      </w:pPr>
    </w:p>
    <w:p w14:paraId="46C9DF8D" w14:textId="77777777" w:rsidR="005F5078" w:rsidRDefault="00731862">
      <w:pPr>
        <w:pStyle w:val="BodyText"/>
        <w:jc w:val="center"/>
        <w:rPr>
          <w:i/>
        </w:rPr>
      </w:pPr>
      <w:r>
        <w:rPr>
          <w:i/>
        </w:rPr>
        <w:t xml:space="preserve">Subsecțiunea 2:</w:t>
      </w:r>
      <w:r>
        <w:rPr>
          <w:i/>
        </w:rPr>
        <w:t xml:space="preserve"> </w:t>
      </w:r>
      <w:r>
        <w:rPr>
          <w:i/>
        </w:rPr>
        <w:t xml:space="preserve">Produse care pot fi vândute în vrac numai în anumite condiții</w:t>
      </w:r>
      <w:r>
        <w:rPr>
          <w:i/>
        </w:rPr>
        <w:t xml:space="preserve"> </w:t>
      </w:r>
    </w:p>
    <w:p w14:paraId="4991F18C" w14:textId="77777777" w:rsidR="005F5078" w:rsidRDefault="005F5078">
      <w:pPr>
        <w:pStyle w:val="BodyText"/>
      </w:pPr>
    </w:p>
    <w:p w14:paraId="7EEC7314" w14:textId="06E29010" w:rsidR="005F5078" w:rsidRDefault="00731862">
      <w:pPr>
        <w:pStyle w:val="BodyText"/>
      </w:pPr>
      <w:r>
        <w:rPr>
          <w:i/>
        </w:rPr>
        <w:t xml:space="preserve">Articolul D. 120-5</w:t>
      </w:r>
      <w:r>
        <w:t xml:space="preserve">.</w:t>
      </w:r>
      <w:r>
        <w:t xml:space="preserve"> </w:t>
      </w:r>
      <w:r>
        <w:t xml:space="preserve">–</w:t>
      </w:r>
      <w:r>
        <w:t xml:space="preserve"> </w:t>
      </w:r>
      <w:r>
        <w:t xml:space="preserve">Dispozițiile prezentei subsecțiuni privind autorizarea, în anumite condiții, a vânzării în vrac de produse nu aduc atingere aplicării normelor specifice aplicabile produselor, în special celor care impun profesioniștilor care comercializează astfel de produse să respecte obligațiile de a informa consumatorii cu privire la caracteristicile esențiale ale produselor, la precauțiile care trebuie luate pentru consumul sau utilizarea lor, la pericolele lor și la riscurile pe care le pot implica.</w:t>
      </w:r>
    </w:p>
    <w:p w14:paraId="5007C3B2" w14:textId="77777777" w:rsidR="005F5078" w:rsidRDefault="00731862">
      <w:pPr>
        <w:pStyle w:val="BodyText"/>
      </w:pPr>
      <w:r>
        <w:t xml:space="preserve"> </w:t>
      </w:r>
    </w:p>
    <w:p w14:paraId="54EB6033" w14:textId="3CBD5B6D" w:rsidR="005F5078" w:rsidRDefault="00731862">
      <w:pPr>
        <w:pStyle w:val="BodyText"/>
      </w:pPr>
      <w:r>
        <w:rPr>
          <w:i/>
        </w:rPr>
        <w:t xml:space="preserve">Articolul D. 120-6.</w:t>
      </w:r>
      <w:r>
        <w:t xml:space="preserve"> </w:t>
      </w:r>
      <w:r>
        <w:t xml:space="preserve">–</w:t>
      </w:r>
      <w:r>
        <w:t xml:space="preserve">  </w:t>
      </w:r>
      <w:r>
        <w:t xml:space="preserve">I. Dispozițiile prezentului articol se aplică următoarelor produse:</w:t>
      </w:r>
      <w:r>
        <w:t xml:space="preserve"> </w:t>
      </w:r>
    </w:p>
    <w:p w14:paraId="64D66AE1" w14:textId="77777777" w:rsidR="005F5078" w:rsidRDefault="00731862">
      <w:pPr>
        <w:pStyle w:val="BodyText"/>
      </w:pPr>
      <w:r>
        <w:t xml:space="preserve"> </w:t>
      </w:r>
      <w:r>
        <w:t xml:space="preserve">1.</w:t>
      </w:r>
      <w:r>
        <w:t xml:space="preserve"> </w:t>
      </w:r>
      <w:r>
        <w:t xml:space="preserve">materiale și obiecte de unică folosință destinate să vină în contact cu produsele alimentare care nu pot fi spălate înainte de utilizare;</w:t>
      </w:r>
    </w:p>
    <w:p w14:paraId="10CF183A" w14:textId="77777777" w:rsidR="005F5078" w:rsidRDefault="00731862">
      <w:pPr>
        <w:pStyle w:val="BodyText"/>
      </w:pPr>
      <w:r>
        <w:t xml:space="preserve">2.</w:t>
      </w:r>
      <w:r>
        <w:t xml:space="preserve"> </w:t>
      </w:r>
      <w:r>
        <w:t xml:space="preserve">scutece pentru copii de unică folosință și, printre produsele de protecție de igienă intimă de unică folosință: absorbante;</w:t>
      </w:r>
      <w:r>
        <w:t xml:space="preserve"> </w:t>
      </w:r>
    </w:p>
    <w:p w14:paraId="73E11E6B" w14:textId="77777777" w:rsidR="005F5078" w:rsidRDefault="00731862">
      <w:pPr>
        <w:pStyle w:val="BodyText"/>
      </w:pPr>
      <w:r>
        <w:t xml:space="preserve">3.</w:t>
      </w:r>
      <w:r>
        <w:t xml:space="preserve"> </w:t>
      </w:r>
      <w:r>
        <w:t xml:space="preserve">hârtie igienică, prosoape de uz casnic, prosoape de hârtie, batiste de hârtie, bumbac absorbant și alte articole sau articole din alte fibre vegetale de unică folosință, destinate spălării sau ștergerii feței și a corpului, bețișoare de urechi de unică folosință;</w:t>
      </w:r>
    </w:p>
    <w:p w14:paraId="1E58D54D" w14:textId="77777777" w:rsidR="005F5078" w:rsidRDefault="00731862">
      <w:pPr>
        <w:pStyle w:val="BodyText"/>
      </w:pPr>
      <w:r>
        <w:t xml:space="preserve">4.</w:t>
      </w:r>
      <w:r>
        <w:t xml:space="preserve"> </w:t>
      </w:r>
      <w:r>
        <w:t xml:space="preserve">produse alimentare perisabile care, după o perioadă scurtă de timp, pot prezenta un pericol pentru sănătatea umană;</w:t>
      </w:r>
    </w:p>
    <w:p w14:paraId="50FBAA23" w14:textId="4769457B" w:rsidR="005F5078" w:rsidRDefault="00731862">
      <w:pPr>
        <w:pStyle w:val="BodyText"/>
      </w:pPr>
      <w:r>
        <w:t xml:space="preserve">5.</w:t>
      </w:r>
      <w:r>
        <w:t xml:space="preserve"> </w:t>
      </w:r>
      <w:r>
        <w:t xml:space="preserve">produse alimentare, altele decât cele menționate la articolul D. 120-7 punctul 8, care sunt păstrate la o temperatură de -12 °C sau mai mică atunci când sunt vândute consumatorilor;</w:t>
      </w:r>
    </w:p>
    <w:p w14:paraId="61BADF46" w14:textId="77777777" w:rsidR="005F5078" w:rsidRDefault="00731862">
      <w:pPr>
        <w:pStyle w:val="BodyText"/>
      </w:pPr>
      <w:r>
        <w:t xml:space="preserve">6.</w:t>
      </w:r>
      <w:r>
        <w:t xml:space="preserve"> </w:t>
      </w:r>
      <w:r>
        <w:t xml:space="preserve">produse cosmetice pentru care nu este necesar un test de verificare a conservabilității și controale microbiologice ale produsului finit în temeiul Deciziei de punere în aplicare a Comisiei din 25 noiembrie 2013 privind orientările referitoare la anexa I la Regulamentul (CE) nr. 1223/2009 al Parlamentului European și al Consiliului privind produsele cosmetice;</w:t>
      </w:r>
    </w:p>
    <w:p w14:paraId="5914631C" w14:textId="77777777" w:rsidR="005F5078" w:rsidRDefault="00731862">
      <w:pPr>
        <w:pStyle w:val="BodyText"/>
      </w:pPr>
      <w:r>
        <w:t xml:space="preserve">7.</w:t>
      </w:r>
      <w:r>
        <w:t xml:space="preserve"> </w:t>
      </w:r>
      <w:r>
        <w:t xml:space="preserve">produse care îndeplinesc următoarele condiții cumulative:</w:t>
      </w:r>
    </w:p>
    <w:p w14:paraId="7E2B0B79" w14:textId="77777777" w:rsidR="005F5078" w:rsidRDefault="00731862">
      <w:pPr>
        <w:pStyle w:val="BodyText"/>
      </w:pPr>
      <w:r>
        <w:t xml:space="preserve">(a) sunt substanțe sau amestecuri care intră sub incidența Regulamentului (CE) nr. 1272/2008 al Parlamentului European și al Consiliului din 16 decembrie 2008 privind clasificarea, etichetarea și ambalarea substanțelor, a amestecurilor și a produselor reglementate de Regulamentul (CE) nr. 648/2004 al Parlamentului European și al Consiliului din 31 martie 2004 privind detergenții;</w:t>
      </w:r>
    </w:p>
    <w:p w14:paraId="54642D26" w14:textId="605866D9" w:rsidR="005F5078" w:rsidRDefault="00731862">
      <w:pPr>
        <w:pStyle w:val="BodyText"/>
      </w:pPr>
      <w:r>
        <w:t xml:space="preserve">(b) nu se încadrează în niciuna dintre categoriile de produse menționate la articolul D. 120-7 punctele 9 și 10.</w:t>
      </w:r>
      <w:r>
        <w:t xml:space="preserve"> </w:t>
      </w:r>
    </w:p>
    <w:p w14:paraId="2224DEF4" w14:textId="77777777" w:rsidR="005F5078" w:rsidRDefault="00731862">
      <w:pPr>
        <w:pStyle w:val="BodyText"/>
      </w:pPr>
      <w:r>
        <w:t xml:space="preserve">II. Produsele menționate la punctul I pot fi vândute în vrac numai atunci când sunt vândute în următoarele condiții, ținând seama de riscurile specifice asociate caracteristicilor lor:</w:t>
      </w:r>
    </w:p>
    <w:p w14:paraId="7B89E970" w14:textId="77777777" w:rsidR="005F5078" w:rsidRDefault="00731862">
      <w:pPr>
        <w:pStyle w:val="BodyText"/>
      </w:pPr>
      <w:r>
        <w:t xml:space="preserve">1.</w:t>
      </w:r>
      <w:r>
        <w:t xml:space="preserve"> </w:t>
      </w:r>
      <w:r>
        <w:t xml:space="preserve">fie în serviciul asistat;</w:t>
      </w:r>
    </w:p>
    <w:p w14:paraId="74CD73BB" w14:textId="77777777" w:rsidR="005F5078" w:rsidRDefault="00731862">
      <w:pPr>
        <w:pStyle w:val="BodyText"/>
      </w:pPr>
      <w:r>
        <w:t xml:space="preserve">2.</w:t>
      </w:r>
      <w:r>
        <w:t xml:space="preserve"> </w:t>
      </w:r>
      <w:r>
        <w:t xml:space="preserve">fie printr-o metodă de distribuție adecvată pentru vânzarea în vrac cu autoservire.</w:t>
      </w:r>
    </w:p>
    <w:p w14:paraId="08DDCB7E" w14:textId="77777777" w:rsidR="005F5078" w:rsidRDefault="005F5078">
      <w:pPr>
        <w:pStyle w:val="BodyText"/>
      </w:pPr>
    </w:p>
    <w:p w14:paraId="3FD44C4F" w14:textId="3A6E6CD2" w:rsidR="005F5078" w:rsidRDefault="00731862">
      <w:pPr>
        <w:pStyle w:val="BodyText"/>
        <w:jc w:val="center"/>
        <w:rPr>
          <w:i/>
        </w:rPr>
      </w:pPr>
      <w:r>
        <w:rPr>
          <w:i/>
        </w:rPr>
        <w:t xml:space="preserve">Subsecțiunea 3:</w:t>
      </w:r>
      <w:r>
        <w:rPr>
          <w:i/>
        </w:rPr>
        <w:t xml:space="preserve"> </w:t>
      </w:r>
      <w:r>
        <w:rPr>
          <w:i/>
        </w:rPr>
        <w:t xml:space="preserve">Produse pentru care este interzisă vânzarea în vrac</w:t>
      </w:r>
    </w:p>
    <w:p w14:paraId="4E803AA1" w14:textId="77777777" w:rsidR="005F5078" w:rsidRDefault="005F5078">
      <w:pPr>
        <w:pStyle w:val="BodyText"/>
      </w:pPr>
    </w:p>
    <w:p w14:paraId="28561AB7" w14:textId="395193E6" w:rsidR="005F5078" w:rsidRDefault="00731862">
      <w:pPr>
        <w:pStyle w:val="BodyText"/>
      </w:pPr>
      <w:r>
        <w:rPr>
          <w:i/>
        </w:rPr>
        <w:t xml:space="preserve">Articolul D. 120-7</w:t>
      </w:r>
      <w:r>
        <w:t xml:space="preserve">.</w:t>
      </w:r>
      <w:r>
        <w:t xml:space="preserve"> </w:t>
      </w:r>
      <w:r>
        <w:t xml:space="preserve">–</w:t>
      </w:r>
      <w:r>
        <w:t xml:space="preserve"> </w:t>
      </w:r>
      <w:r>
        <w:t xml:space="preserve">Orice formă de vânzare în vrac este interzisă pentru următoarele produse:</w:t>
      </w:r>
      <w:r>
        <w:t xml:space="preserve">  </w:t>
      </w:r>
    </w:p>
    <w:p w14:paraId="0A4BAB5C" w14:textId="77777777" w:rsidR="005F5078" w:rsidRDefault="00731862">
      <w:pPr>
        <w:pStyle w:val="BodyText"/>
      </w:pPr>
      <w:r>
        <w:t xml:space="preserve">1.</w:t>
      </w:r>
      <w:r>
        <w:t xml:space="preserve"> </w:t>
      </w:r>
      <w:r>
        <w:t xml:space="preserve">produsele lactate lichide tratate termic, în conformitate cu dispozițiile secțiunii IX capitolul III din anexa III la Regulamentul (CE) nr. 853/2004 al Parlamentului European și al Consiliului din 29 aprilie 2004 de stabilire a unor norme specifice de igienă care se aplică alimentelor de origine animală;</w:t>
      </w:r>
    </w:p>
    <w:p w14:paraId="13F9A9D6" w14:textId="09A3AFB5" w:rsidR="005F5078" w:rsidRDefault="00731862">
      <w:pPr>
        <w:pStyle w:val="BodyText"/>
      </w:pPr>
      <w:r>
        <w:t xml:space="preserve">2.</w:t>
      </w:r>
      <w:r>
        <w:t xml:space="preserve"> </w:t>
      </w:r>
      <w:r>
        <w:t xml:space="preserve">laptele crud, cu excepția cazului în care este livrat în vrac direct consumatorului final de către operatorul care efectuează ambalarea în fața consumatorului sau prin intermediul unui distribuitor automat de lichide, în conformitate cu articolul 7 din Decretul din 13 iulie 2012 privind condițiile de producție și introducere pe piață a laptelui crud de bovine, a rumegătoarelor mici și a solipedelor domestice predate consumatorului final;</w:t>
      </w:r>
    </w:p>
    <w:p w14:paraId="6BF5402B" w14:textId="77777777" w:rsidR="005F5078" w:rsidRDefault="00731862">
      <w:pPr>
        <w:pStyle w:val="BodyText"/>
      </w:pPr>
      <w:r>
        <w:t xml:space="preserve">3.</w:t>
      </w:r>
      <w:r>
        <w:t xml:space="preserve"> </w:t>
      </w:r>
      <w:r>
        <w:t xml:space="preserve">preparatele pentru sugari și formulele de continuare, preparate pe bază de cereale și alimentele pentru copii, alimente destinate unor scopuri medicale speciale, înlocuitorii totali ai dietei zilnice pentru controlul greutății, în conformitate cu articolul 4 din Regulamentul (UE) nr. 609/2013 al Parlamentului European și al Consiliului din 12 iunie 2013 privind alimentele destinate sugarilor și copiilor de vârstă mică, alimentele destinate unor scopuri medicale speciale și înlocuitorii unei diete totale pentru controlul greutății, precum și alimentele destinate unei alimentații speciale în conformitate cu dispozițiile articolului 6 din Decretul nr. 91-827 din 29 august 1991 privind alimentele destinate unor utilizări nutriționale speciale;</w:t>
      </w:r>
    </w:p>
    <w:p w14:paraId="3AABB220" w14:textId="77777777" w:rsidR="005F5078" w:rsidRDefault="00731862">
      <w:pPr>
        <w:jc w:val="both"/>
      </w:pPr>
      <w:r>
        <w:t xml:space="preserve">4.</w:t>
      </w:r>
      <w:r>
        <w:t xml:space="preserve"> </w:t>
      </w:r>
      <w:r>
        <w:t xml:space="preserve">materiile prime furajere și furaje combinate, cu excepția furajelor enumerate la articolul 23 alineatul (2) din Regulamentul (CE) nr. 767/2009 al Parlamentului European și al Consiliului din 13 iulie 2009 privind introducerea pe piață și utilizarea furajelor, introduse pe piață în condiții care îndeplinesc cerințele din anexa II la Regulamentul (CE) nr. 183/2005 de stabilire a cerințelor privind igiena furajelor și fără a aduce atingere punctului 5;</w:t>
      </w:r>
    </w:p>
    <w:p w14:paraId="67DD3CE1" w14:textId="77777777" w:rsidR="005F5078" w:rsidRDefault="00731862">
      <w:pPr>
        <w:pStyle w:val="BodyText"/>
      </w:pPr>
      <w:r>
        <w:t xml:space="preserve">5.</w:t>
      </w:r>
      <w:r>
        <w:t xml:space="preserve"> </w:t>
      </w:r>
      <w:r>
        <w:t xml:space="preserve">hrana brută pentru animale de companie, astfel cum este definită în anexa I la Regulamentul (UE) nr. 142/2011 al Comisiei din 25 februarie 2011 de punere în aplicare a Regulamentului (CE) nr. 1069/2009 al Parlamentului European și al Consiliului de stabilire a unor norme sanitare privind subprodusele de origine animală și produsele derivate care nu sunt destinate consumului uman și de punere în aplicare a Directivei 97/78/CE a Consiliului în ceea ce privește anumite probe și produse care sunt scutite de la controalele sanitar-veterinare la frontieră în conformitate cu directiva menționată, în conformitate cu dispozițiile punctului 1 din capitolul II din anexa XIII la regulamentul respectiv, cu excepția magazinelor de vânzare cu amănuntul în care tăierea și depozitarea se efectuează exclusiv în vederea vânzării directe la fața locului către consumator, în conformitate cu articolul 2 alineatul (2) litera (i) din Regulamentul (CE) nr. 1069/2009 al Parlamentului European și al Consiliului din 21 octombrie 2009 de stabilire a unor norme sanitare privind subprodusele de origine animală și produsele derivate care nu sunt destinate consumului uman, și fără a aduce atingere punctului 4;</w:t>
      </w:r>
      <w:r>
        <w:t xml:space="preserve"> </w:t>
      </w:r>
    </w:p>
    <w:p w14:paraId="2D7579FA" w14:textId="77777777" w:rsidR="005F5078" w:rsidRDefault="00731862">
      <w:pPr>
        <w:pStyle w:val="BodyText"/>
      </w:pPr>
      <w:r>
        <w:t xml:space="preserve">6.</w:t>
      </w:r>
      <w:r>
        <w:t xml:space="preserve"> </w:t>
      </w:r>
      <w:r>
        <w:t xml:space="preserve">aditivii și preamestecurile destinate utilizării în hrana animalelor, în conformitate cu dispozițiile articolului 16 alineatul (5) din Regulamentul (CE) nr. 1831/2003 al Parlamentului European și al Consiliului din 22 septembrie 2003 privind aditivii din hrana animalelor;</w:t>
      </w:r>
    </w:p>
    <w:p w14:paraId="0ED5376D" w14:textId="77777777" w:rsidR="005F5078" w:rsidRDefault="00731862">
      <w:pPr>
        <w:pStyle w:val="BodyText"/>
      </w:pPr>
      <w:r>
        <w:t xml:space="preserve">7.</w:t>
      </w:r>
      <w:r>
        <w:t xml:space="preserve"> </w:t>
      </w:r>
      <w:r>
        <w:t xml:space="preserve">suplimentele alimentare, în conformitate cu articolul 1 din Decretul nr. 2006-352 din 20 martie 2006 privind suplimentele alimentare;</w:t>
      </w:r>
    </w:p>
    <w:p w14:paraId="24BC0EA4" w14:textId="77777777" w:rsidR="005F5078" w:rsidRDefault="00731862">
      <w:pPr>
        <w:pStyle w:val="BodyText"/>
      </w:pPr>
      <w:r>
        <w:t xml:space="preserve">8.</w:t>
      </w:r>
      <w:r>
        <w:t xml:space="preserve"> </w:t>
      </w:r>
      <w:r>
        <w:t xml:space="preserve">produsele congelate, în conformitate cu dispozițiile articolului 4 din Decretul nr. 64-949 din 9 septembrie 1964 de punere în aplicare a articolului L. 214-1 din Codul consumului pentru produsele congelate;</w:t>
      </w:r>
    </w:p>
    <w:p w14:paraId="226B1961" w14:textId="146CE55B" w:rsidR="005F5078" w:rsidRDefault="00731862">
      <w:pPr>
        <w:pStyle w:val="BodyText"/>
      </w:pPr>
      <w:r>
        <w:t xml:space="preserve">9.</w:t>
      </w:r>
      <w:r>
        <w:t xml:space="preserve"> </w:t>
      </w:r>
      <w:r>
        <w:t xml:space="preserve">produsele biocide, astfel cum sunt definite la articolul 3 din Regulamentul (UE) nr. 528/2012 al Parlamentului European și al Consiliului din 22 mai 2012 privind punerea la dispoziție pe piață și utilizarea produselor biocide, în cazul în care vânzarea în vrac nu este prevăzută în mod explicit în autorizația de introducere pe piață, precum și produsele biocide care beneficiază de măsurile tranzitorii prevăzute la articolul 89 din Regulamentul (UE) nr. 528/2012;</w:t>
      </w:r>
    </w:p>
    <w:p w14:paraId="01B95491" w14:textId="06AB1D9D" w:rsidR="005F5078" w:rsidRDefault="00731862">
      <w:pPr>
        <w:pStyle w:val="BodyText"/>
      </w:pPr>
      <w:r>
        <w:t xml:space="preserve">10.</w:t>
      </w:r>
      <w:r>
        <w:t xml:space="preserve"> </w:t>
      </w:r>
      <w:r>
        <w:t xml:space="preserve">substanțele sau amestecurile al căror ambalaj este prevăzut cu un sistem de închidere securizat pentru copii sau care poartă o indicație de pericol detectabilă la atingere în temeiul articolului 35 din Regulamentul (CE) nr. 1272/2008, precum și detergenții de textile lichizi destinați consumatorilor și ambalate în ambalaje solubile de unică folosință în temeiul articolului respectiv;</w:t>
      </w:r>
    </w:p>
    <w:p w14:paraId="6AA68867" w14:textId="2F278FE3" w:rsidR="005F5078" w:rsidRDefault="002E171A">
      <w:pPr>
        <w:pStyle w:val="BodyText"/>
      </w:pPr>
      <w:r>
        <w:t xml:space="preserve"> </w:t>
      </w:r>
      <w:r>
        <w:t xml:space="preserve">11.</w:t>
      </w:r>
      <w:r>
        <w:t xml:space="preserve"> </w:t>
      </w:r>
      <w:r>
        <w:t xml:space="preserve">bateriile și acumulatorii electrici;</w:t>
      </w:r>
    </w:p>
    <w:p w14:paraId="5233166B" w14:textId="60635F85" w:rsidR="005F5078" w:rsidRDefault="002E171A">
      <w:pPr>
        <w:pStyle w:val="BodyText"/>
      </w:pPr>
      <w:r>
        <w:t xml:space="preserve"> </w:t>
      </w:r>
      <w:r>
        <w:t xml:space="preserve">12.</w:t>
      </w:r>
      <w:r>
        <w:t xml:space="preserve"> </w:t>
      </w:r>
      <w:r>
        <w:t xml:space="preserve">printre produsele de protecție de igienă intimă de unică folosință: tampoane;</w:t>
      </w:r>
    </w:p>
    <w:p w14:paraId="0CEFEA4E" w14:textId="5F545DA9" w:rsidR="005F5078" w:rsidRDefault="00731862">
      <w:pPr>
        <w:pStyle w:val="BodyText"/>
      </w:pPr>
      <w:r>
        <w:t xml:space="preserve">13.</w:t>
      </w:r>
      <w:r>
        <w:t xml:space="preserve"> </w:t>
      </w:r>
      <w:r>
        <w:t xml:space="preserve">orice produs a cărui vânzare în vrac este incompatibilă cu obligațiile de sănătate publică prevăzute de regulamentele și directivele adoptate în conformitate cu Tratatul privind funcționarea Uniunii Europene.</w:t>
      </w:r>
    </w:p>
    <w:p w14:paraId="6AFC673C" w14:textId="77777777" w:rsidR="005F5078" w:rsidRDefault="005F5078">
      <w:pPr>
        <w:pStyle w:val="BodyText"/>
      </w:pPr>
    </w:p>
    <w:p w14:paraId="70114BC6" w14:textId="429A0F43" w:rsidR="005F5078" w:rsidRDefault="00731862">
      <w:pPr>
        <w:pStyle w:val="BodyText"/>
        <w:jc w:val="center"/>
        <w:rPr>
          <w:i/>
        </w:rPr>
      </w:pPr>
      <w:r>
        <w:rPr>
          <w:i/>
        </w:rPr>
        <w:t xml:space="preserve">Subsecțiunea 4:</w:t>
      </w:r>
      <w:r>
        <w:rPr>
          <w:i/>
        </w:rPr>
        <w:t xml:space="preserve"> </w:t>
      </w:r>
      <w:r>
        <w:rPr>
          <w:i/>
        </w:rPr>
        <w:t xml:space="preserve">Condiții speciale de vânzare în vrac</w:t>
      </w:r>
    </w:p>
    <w:p w14:paraId="6294E92F" w14:textId="77777777" w:rsidR="005F5078" w:rsidRDefault="005F5078">
      <w:pPr>
        <w:pStyle w:val="BodyText"/>
        <w:jc w:val="center"/>
        <w:rPr>
          <w:b/>
        </w:rPr>
      </w:pPr>
    </w:p>
    <w:p w14:paraId="05C28C77" w14:textId="7C928E7E" w:rsidR="005F5078" w:rsidRDefault="00731862">
      <w:pPr>
        <w:pStyle w:val="BodyText"/>
      </w:pPr>
      <w:r>
        <w:rPr>
          <w:i/>
        </w:rPr>
        <w:t xml:space="preserve">Articolul D. 120-8</w:t>
      </w:r>
      <w:r>
        <w:t xml:space="preserve">.</w:t>
      </w:r>
      <w:r>
        <w:t xml:space="preserve"> </w:t>
      </w:r>
      <w:r>
        <w:t xml:space="preserve">–</w:t>
      </w:r>
      <w:r>
        <w:t xml:space="preserve">  </w:t>
      </w:r>
      <w:r>
        <w:t xml:space="preserve">Condițiile speciale, în special în ceea ce privește siguranța, cărora li se aplică vânzarea în masă a anumitor produse sunt specificate, dacă este cazul, printr-un ordin comun al ministrului consumatorilor și al ministrului responsabil cu produsele în cauză.”</w:t>
      </w:r>
    </w:p>
    <w:p w14:paraId="13936349" w14:textId="77777777" w:rsidR="005F5078" w:rsidRDefault="00731862">
      <w:pPr>
        <w:pStyle w:val="SNArticle"/>
      </w:pPr>
      <w:r>
        <w:t xml:space="preserve">Articolul 2</w:t>
      </w:r>
    </w:p>
    <w:p w14:paraId="1854A7E3" w14:textId="77777777" w:rsidR="005F5078" w:rsidRDefault="00731862">
      <w:pPr>
        <w:pStyle w:val="SNArticle"/>
        <w:jc w:val="left"/>
        <w:rPr>
          <w:b w:val="0"/>
        </w:rPr>
      </w:pPr>
      <w:r>
        <w:rPr>
          <w:b w:val="0"/>
        </w:rPr>
        <w:t xml:space="preserve">Prezentul decret intră în vigoare la xx xx 2022.</w:t>
      </w:r>
    </w:p>
    <w:p w14:paraId="02B96412" w14:textId="7C8C3B6D" w:rsidR="005F5078" w:rsidRDefault="00731862">
      <w:pPr>
        <w:pStyle w:val="SNArticle"/>
      </w:pPr>
      <w:r>
        <w:rPr>
          <w:b w:val="0"/>
        </w:rPr>
        <w:t xml:space="preserve"> </w:t>
      </w:r>
      <w:r>
        <w:t xml:space="preserve">Articolul 3</w:t>
      </w:r>
    </w:p>
    <w:p w14:paraId="1D40A749" w14:textId="77777777" w:rsidR="005F5078" w:rsidRDefault="00731862">
      <w:pPr>
        <w:pStyle w:val="BodyText"/>
      </w:pPr>
      <w:r>
        <w:t xml:space="preserve">Miniștrii economiei, finanțelor și suveranității industriale;</w:t>
      </w:r>
      <w:r>
        <w:t xml:space="preserve"> </w:t>
      </w:r>
      <w:r>
        <w:t xml:space="preserve">agriculturii și suveranității alimentare;</w:t>
      </w:r>
      <w:r>
        <w:t xml:space="preserve"> </w:t>
      </w:r>
      <w:r>
        <w:t xml:space="preserve">tranziției ecologice și coeziunii teritoriale;</w:t>
      </w:r>
      <w:r>
        <w:t xml:space="preserve"> </w:t>
      </w:r>
      <w:r>
        <w:t xml:space="preserve">și sănătății și prevenirii sunt responsabili, fiecare în sfera sa de competențe, de punerea în aplicare a prezentului decret, care va fi publicat în </w:t>
      </w:r>
      <w:r>
        <w:rPr>
          <w:i/>
        </w:rPr>
        <w:t xml:space="preserve">Jurnalul Oficial</w:t>
      </w:r>
      <w:r>
        <w:t xml:space="preserve"> al Republicii Franceze.</w:t>
      </w:r>
    </w:p>
    <w:p w14:paraId="545E5D75" w14:textId="77777777" w:rsidR="00F66D41" w:rsidRDefault="00F66D41" w:rsidP="00F66D41">
      <w:pPr>
        <w:pStyle w:val="SNDate"/>
      </w:pPr>
      <w:r>
        <w:t xml:space="preserve">Adoptat la</w:t>
      </w:r>
      <w:r>
        <w:t xml:space="preserve"> </w:t>
      </w:r>
    </w:p>
    <w:p w14:paraId="43343C5A" w14:textId="77777777" w:rsidR="00F66D41" w:rsidRDefault="00F66D41" w:rsidP="00F66D41">
      <w:pPr>
        <w:pStyle w:val="SNDate"/>
      </w:pPr>
      <w:r>
        <w:t xml:space="preserve">Élisabeth BORNE</w:t>
      </w:r>
    </w:p>
    <w:p w14:paraId="45FC2349" w14:textId="77777777" w:rsidR="00F66D41" w:rsidRDefault="00F66D41" w:rsidP="00F66D41">
      <w:pPr>
        <w:pStyle w:val="SNContreseing"/>
      </w:pPr>
      <w:r>
        <w:t xml:space="preserve">De către prim-ministru:</w:t>
      </w:r>
      <w:r>
        <w:t xml:space="preserve"> </w:t>
      </w:r>
    </w:p>
    <w:p w14:paraId="74E27225" w14:textId="77777777" w:rsidR="00F66D41" w:rsidRDefault="00F66D41" w:rsidP="00F66D41">
      <w:pPr>
        <w:pStyle w:val="SNSignatureDroite"/>
      </w:pPr>
      <w:r>
        <w:t xml:space="preserve">Ministrul Economiei, Finanțelor și Suveranității Industriale și Digitale,</w:t>
      </w:r>
    </w:p>
    <w:p w14:paraId="2E41F259" w14:textId="77777777" w:rsidR="00F66D41" w:rsidRDefault="00F66D41" w:rsidP="00F66D41">
      <w:pPr>
        <w:pStyle w:val="SNSignatureDroite"/>
      </w:pPr>
      <w:r>
        <w:t xml:space="preserve">Bruno LE MAIRE</w:t>
      </w:r>
    </w:p>
    <w:p w14:paraId="32FB1261" w14:textId="77777777" w:rsidR="00F66D41" w:rsidRDefault="00F66D41" w:rsidP="00F66D41">
      <w:pPr>
        <w:pStyle w:val="SNSignatureDroite"/>
      </w:pPr>
      <w:r>
        <w:t xml:space="preserve">Ministrul Agriculturii și Suveranității Alimentare</w:t>
      </w:r>
      <w:r>
        <w:t xml:space="preserve"> </w:t>
      </w:r>
    </w:p>
    <w:p w14:paraId="64FCE91B" w14:textId="77777777" w:rsidR="005F5078" w:rsidRDefault="00F66D41" w:rsidP="00F66D41">
      <w:pPr>
        <w:pStyle w:val="SNSignatureDroite"/>
      </w:pPr>
      <w:r>
        <w:t xml:space="preserve">Marc FESNEAU</w:t>
      </w:r>
    </w:p>
    <w:p w14:paraId="558790CA" w14:textId="77777777" w:rsidR="00F66D41" w:rsidRDefault="00F66D41" w:rsidP="00F66D41">
      <w:pPr>
        <w:pStyle w:val="SNSignatureDroite"/>
      </w:pPr>
      <w:r>
        <w:t xml:space="preserve">Ministrul Tranziției Ecologice și Coeziunii Teritoriale</w:t>
      </w:r>
    </w:p>
    <w:p w14:paraId="4CCA895F" w14:textId="77777777" w:rsidR="00F66D41" w:rsidRDefault="00F66D41" w:rsidP="00F66D41">
      <w:pPr>
        <w:pStyle w:val="SNContreseing"/>
        <w:jc w:val="right"/>
      </w:pPr>
      <w:r>
        <w:t xml:space="preserve">Christophe BÉCHU</w:t>
      </w:r>
    </w:p>
    <w:p w14:paraId="1104E23F" w14:textId="77777777" w:rsidR="00F66D41" w:rsidRPr="00F66D41" w:rsidRDefault="00F66D41" w:rsidP="00F66D41">
      <w:pPr>
        <w:pStyle w:val="SNSignatureGauche"/>
      </w:pPr>
    </w:p>
    <w:p w14:paraId="03685179" w14:textId="77777777" w:rsidR="00F66D41" w:rsidRDefault="00F66D41" w:rsidP="00F66D41">
      <w:pPr>
        <w:pStyle w:val="SNSignatureDroite"/>
      </w:pPr>
      <w:r>
        <w:t xml:space="preserve">Ministrul Sănătății și Prevenției,</w:t>
      </w:r>
    </w:p>
    <w:p w14:paraId="540A467A" w14:textId="77777777" w:rsidR="005F5078" w:rsidRDefault="00F66D41" w:rsidP="00F66D41">
      <w:pPr>
        <w:pStyle w:val="SNContreseing"/>
        <w:jc w:val="right"/>
      </w:pPr>
      <w:r>
        <w:t xml:space="preserve">François BRAUN</w:t>
      </w:r>
    </w:p>
    <w:p w14:paraId="293EA704" w14:textId="77777777" w:rsidR="00F66D41" w:rsidRPr="00F66D41" w:rsidRDefault="00F66D41" w:rsidP="00F66D41">
      <w:pPr>
        <w:pStyle w:val="SNSignatureGauche"/>
      </w:pPr>
    </w:p>
    <w:sectPr w:rsidR="00F66D41" w:rsidRPr="00F66D41">
      <w:pgSz w:w="11906" w:h="16838"/>
      <w:pgMar w:top="1134" w:right="1418" w:bottom="1418"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158B4" w14:textId="77777777" w:rsidR="006C37FB" w:rsidRDefault="006C37FB">
      <w:pPr>
        <w:spacing w:after="0" w:line="240" w:lineRule="auto"/>
      </w:pPr>
      <w:r>
        <w:separator/>
      </w:r>
    </w:p>
  </w:endnote>
  <w:endnote w:type="continuationSeparator" w:id="0">
    <w:p w14:paraId="05D2E9A9" w14:textId="77777777" w:rsidR="006C37FB" w:rsidRDefault="006C3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3DA20" w14:textId="77777777" w:rsidR="006C37FB" w:rsidRDefault="006C37FB">
      <w:pPr>
        <w:spacing w:after="0" w:line="240" w:lineRule="auto"/>
      </w:pPr>
      <w:r>
        <w:separator/>
      </w:r>
    </w:p>
  </w:footnote>
  <w:footnote w:type="continuationSeparator" w:id="0">
    <w:p w14:paraId="5A47CC3F" w14:textId="77777777" w:rsidR="006C37FB" w:rsidRDefault="006C37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078"/>
    <w:rsid w:val="000B51D1"/>
    <w:rsid w:val="001C1031"/>
    <w:rsid w:val="002E171A"/>
    <w:rsid w:val="005C7EF3"/>
    <w:rsid w:val="005F5078"/>
    <w:rsid w:val="006C37FB"/>
    <w:rsid w:val="006E603D"/>
    <w:rsid w:val="00731862"/>
    <w:rsid w:val="009154B2"/>
    <w:rsid w:val="0093040D"/>
    <w:rsid w:val="00A040C9"/>
    <w:rsid w:val="00C9285A"/>
    <w:rsid w:val="00D52C12"/>
    <w:rsid w:val="00E03AB7"/>
    <w:rsid w:val="00E4701B"/>
    <w:rsid w:val="00F1433B"/>
    <w:rsid w:val="00F66D41"/>
    <w:rsid w:val="00FC0A78"/>
    <w:rsid w:val="00FF3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DE4FA"/>
  <w15:docId w15:val="{EA1D06FE-9AE1-4E77-B740-6894B8B6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ro-RO" w:eastAsia="fr-FR" w:bidi="ar-SA"/>
      </w:rPr>
    </w:rPrDefault>
    <w:pPrDefault>
      <w:pPr>
        <w:pBdr>
          <w:top w:val="none" w:sz="4" w:space="0" w:color="000000"/>
          <w:left w:val="none" w:sz="4" w:space="0" w:color="000000"/>
          <w:bottom w:val="none" w:sz="4" w:space="0" w:color="000000"/>
          <w:right w:val="none" w:sz="4" w:space="0" w:color="000000"/>
          <w:between w:val="none" w:sz="4" w:space="0" w:color="000000"/>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sz w:val="24"/>
      <w:szCs w:val="24"/>
    </w:rPr>
  </w:style>
  <w:style w:type="paragraph" w:styleId="Heading1">
    <w:name w:val="heading 1"/>
    <w:basedOn w:val="Normal"/>
    <w:next w:val="Normal"/>
    <w:link w:val="Heading1Char"/>
    <w:qFormat/>
    <w:pPr>
      <w:keepNext/>
      <w:spacing w:before="240"/>
      <w:jc w:val="center"/>
      <w:outlineLvl w:val="0"/>
    </w:pPr>
    <w:rPr>
      <w:rFonts w:cs="Arial"/>
      <w:bCs/>
      <w:caps/>
    </w:rPr>
  </w:style>
  <w:style w:type="paragraph" w:styleId="Heading2">
    <w:name w:val="heading 2"/>
    <w:basedOn w:val="Normal"/>
    <w:next w:val="Normal"/>
    <w:link w:val="Heading2Char"/>
    <w:qFormat/>
    <w:pPr>
      <w:keepNext/>
      <w:spacing w:before="240"/>
      <w:jc w:val="center"/>
      <w:outlineLvl w:val="1"/>
    </w:pPr>
    <w:rPr>
      <w:bCs/>
      <w:iCs/>
      <w:smallCaps/>
    </w:rPr>
  </w:style>
  <w:style w:type="paragraph" w:styleId="Heading3">
    <w:name w:val="heading 3"/>
    <w:basedOn w:val="Normal"/>
    <w:next w:val="Normal"/>
    <w:link w:val="Heading3Char"/>
    <w:qFormat/>
    <w:pPr>
      <w:keepNext/>
      <w:spacing w:before="120"/>
      <w:jc w:val="center"/>
      <w:outlineLvl w:val="2"/>
    </w:pPr>
    <w:rPr>
      <w:rFonts w:cs="Arial"/>
      <w:bCs/>
      <w:szCs w:val="26"/>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line="240" w:lineRule="auto"/>
    </w:p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character" w:customStyle="1" w:styleId="FooterChar1">
    <w:name w:val="Footer Char1"/>
    <w:link w:val="Footer"/>
    <w:uiPriority w:val="99"/>
  </w:style>
  <w:style w:type="table" w:styleId="TableGrid">
    <w:name w:val="Table Grid"/>
    <w:basedOn w:val="TableNormal"/>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pPr>
      <w:spacing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pPr>
      <w:spacing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pPr>
      <w:spacing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pPr>
      <w:spacing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pPr>
      <w:spacing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pPr>
      <w:spacing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pPr>
      <w:spacing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pPr>
      <w:spacing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pPr>
      <w:spacing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pPr>
      <w:spacing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pPr>
      <w:spacing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pPr>
      <w:spacing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3">
    <w:name w:val="Grid Table 3"/>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pPr>
      <w:spacing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pPr>
      <w:spacing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pPr>
      <w:spacing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pPr>
      <w:spacing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pPr>
      <w:spacing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pPr>
      <w:spacing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4">
    <w:name w:val="Grid Table 4"/>
    <w:basedOn w:val="TableNormal"/>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pPr>
      <w:spacing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pPr>
      <w:spacing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pPr>
      <w:spacing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pPr>
      <w:spacing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pPr>
      <w:spacing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pPr>
      <w:spacing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5Dark">
    <w:name w:val="Grid Table 5 Dark"/>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ridTable6Colorful">
    <w:name w:val="Grid Table 6 Colorful"/>
    <w:basedOn w:val="TableNormal"/>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pPr>
      <w:spacing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pPr>
      <w:spacing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pPr>
      <w:spacing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pPr>
      <w:spacing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pPr>
      <w:spacing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pPr>
      <w:spacing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pPr>
      <w:spacing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pPr>
      <w:spacing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pPr>
      <w:spacing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Table2">
    <w:name w:val="List Table 2"/>
    <w:basedOn w:val="TableNormal"/>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pPr>
      <w:spacing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pPr>
      <w:spacing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pPr>
      <w:spacing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pPr>
      <w:spacing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pPr>
      <w:spacing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pPr>
      <w:spacing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3">
    <w:name w:val="List Table 3"/>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pPr>
      <w:spacing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pPr>
      <w:spacing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pPr>
      <w:spacing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pPr>
      <w:spacing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pPr>
      <w:spacing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pPr>
      <w:spacing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pPr>
      <w:spacing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pPr>
      <w:spacing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pPr>
      <w:spacing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pPr>
      <w:spacing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pPr>
      <w:spacing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5Dark">
    <w:name w:val="List Table 5 Dark"/>
    <w:basedOn w:val="TableNormal"/>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pPr>
      <w:spacing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pPr>
      <w:spacing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pPr>
      <w:spacing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pPr>
      <w:spacing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pPr>
      <w:spacing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pPr>
      <w:spacing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Table6Colorful">
    <w:name w:val="List Table 6 Colorful"/>
    <w:basedOn w:val="TableNormal"/>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pPr>
      <w:spacing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pPr>
      <w:spacing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pPr>
      <w:spacing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pPr>
      <w:spacing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pPr>
      <w:spacing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pPr>
      <w:spacing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pPr>
      <w:spacing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pPr>
      <w:spacing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pPr>
      <w:spacing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pPr>
      <w:spacing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pPr>
      <w:spacing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pPr>
      <w:spacing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pPr>
      <w:spacing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pPr>
      <w:spacing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pPr>
      <w:spacing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pPr>
      <w:spacing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pPr>
      <w:spacing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pPr>
      <w:spacing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character" w:customStyle="1" w:styleId="SNTimbreCar">
    <w:name w:val="SNTimbre Car"/>
    <w:basedOn w:val="DefaultParagraphFont"/>
    <w:qFormat/>
    <w:rPr>
      <w:rFonts w:eastAsia="Lucida Sans Unicode"/>
      <w:sz w:val="24"/>
      <w:szCs w:val="24"/>
      <w:lang w:val="ro-RO" w:bidi="ar-SA"/>
    </w:rPr>
  </w:style>
  <w:style w:type="character" w:customStyle="1" w:styleId="SNDateCar">
    <w:name w:val="SNDate Car"/>
    <w:basedOn w:val="DefaultParagraphFont"/>
    <w:qFormat/>
    <w:rPr>
      <w:sz w:val="24"/>
      <w:szCs w:val="24"/>
      <w:lang w:val="ro-RO" w:eastAsia="fr-FR" w:bidi="ar-SA"/>
    </w:rPr>
  </w:style>
  <w:style w:type="character" w:customStyle="1" w:styleId="SNArticleCar">
    <w:name w:val="SNArticle Car"/>
    <w:basedOn w:val="DefaultParagraphFont"/>
    <w:qFormat/>
    <w:rPr>
      <w:b/>
      <w:sz w:val="24"/>
      <w:szCs w:val="24"/>
      <w:lang w:val="ro-RO" w:eastAsia="fr-FR" w:bidi="ar-SA"/>
    </w:rPr>
  </w:style>
  <w:style w:type="character" w:customStyle="1" w:styleId="SNenProjet">
    <w:name w:val="SNenProjet"/>
    <w:basedOn w:val="DefaultParagraphFont"/>
    <w:qFormat/>
  </w:style>
  <w:style w:type="character" w:styleId="CommentReference">
    <w:name w:val="annotation reference"/>
    <w:basedOn w:val="DefaultParagraphFont"/>
    <w:uiPriority w:val="99"/>
    <w:semiHidden/>
    <w:unhideWhenUsed/>
    <w:qFormat/>
    <w:rPr>
      <w:sz w:val="16"/>
      <w:szCs w:val="16"/>
    </w:rPr>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basedOn w:val="CommentTextChar"/>
    <w:link w:val="CommentSubject"/>
    <w:uiPriority w:val="99"/>
    <w:semiHidden/>
    <w:qFormat/>
    <w:rPr>
      <w:b/>
      <w:bCs/>
    </w:rPr>
  </w:style>
  <w:style w:type="character" w:customStyle="1" w:styleId="BodyTextChar">
    <w:name w:val="Body Text Char"/>
    <w:basedOn w:val="DefaultParagraphFont"/>
    <w:link w:val="BodyText"/>
    <w:semiHidden/>
    <w:qFormat/>
    <w:rPr>
      <w:sz w:val="24"/>
      <w:szCs w:val="24"/>
    </w:rPr>
  </w:style>
  <w:style w:type="character" w:customStyle="1" w:styleId="LienInternet">
    <w:name w:val="Lien Internet"/>
    <w:basedOn w:val="DefaultParagraphFont"/>
    <w:uiPriority w:val="99"/>
    <w:unhideWhenUsed/>
    <w:rPr>
      <w:color w:val="0563C1"/>
      <w:u w:val="single"/>
    </w:rPr>
  </w:style>
  <w:style w:type="paragraph" w:styleId="Title">
    <w:name w:val="Title"/>
    <w:basedOn w:val="Normal"/>
    <w:next w:val="BodyText"/>
    <w:link w:val="TitleChar"/>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semiHidden/>
    <w:pPr>
      <w:spacing w:after="120"/>
      <w:jc w:val="both"/>
    </w:pPr>
  </w:style>
  <w:style w:type="paragraph" w:styleId="List">
    <w:name w:val="List"/>
    <w:basedOn w:val="BodyText"/>
    <w:rPr>
      <w:rFonts w:cs="Lucida Sans"/>
    </w:rPr>
  </w:style>
  <w:style w:type="paragraph" w:styleId="Caption">
    <w:name w:val="caption"/>
    <w:basedOn w:val="Normal"/>
    <w:qFormat/>
    <w:pPr>
      <w:spacing w:before="120" w:after="120"/>
    </w:pPr>
    <w:rPr>
      <w:rFonts w:cs="Lucida Sans"/>
      <w:i/>
      <w:iCs/>
    </w:rPr>
  </w:style>
  <w:style w:type="paragraph" w:customStyle="1" w:styleId="Index">
    <w:name w:val="Index"/>
    <w:basedOn w:val="Normal"/>
    <w:qFormat/>
    <w:rPr>
      <w:rFonts w:cs="Lucida Sans"/>
    </w:rPr>
  </w:style>
  <w:style w:type="paragraph" w:customStyle="1" w:styleId="SNREPUBLIQUE">
    <w:name w:val="SNREPUBLIQUE"/>
    <w:basedOn w:val="Normal"/>
    <w:qFormat/>
    <w:pPr>
      <w:jc w:val="center"/>
    </w:pPr>
    <w:rPr>
      <w:b/>
      <w:bCs/>
      <w:szCs w:val="20"/>
    </w:r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next w:val="SNtitre"/>
    <w:qFormat/>
    <w:pPr>
      <w:widowControl w:val="0"/>
      <w:spacing w:before="720" w:after="120"/>
      <w:jc w:val="center"/>
    </w:pPr>
    <w:rPr>
      <w:rFonts w:eastAsia="Lucida Sans Unicode"/>
      <w:b/>
      <w:bCs/>
    </w:rPr>
  </w:style>
  <w:style w:type="paragraph" w:customStyle="1" w:styleId="SNtitre">
    <w:name w:val="SNtitre"/>
    <w:basedOn w:val="Normal"/>
    <w:next w:val="SNNORCentr"/>
    <w:qFormat/>
    <w:pPr>
      <w:widowControl w:val="0"/>
      <w:spacing w:after="360"/>
      <w:jc w:val="center"/>
    </w:pPr>
    <w:rPr>
      <w:rFonts w:eastAsia="Lucida Sans Unicode"/>
      <w:b/>
    </w:rPr>
  </w:style>
  <w:style w:type="paragraph" w:customStyle="1" w:styleId="SNNORCentr">
    <w:name w:val="SNNOR+Centré"/>
    <w:next w:val="SNAutorit"/>
    <w:qFormat/>
    <w:pPr>
      <w:spacing w:after="200"/>
      <w:jc w:val="center"/>
    </w:pPr>
    <w:rPr>
      <w:bCs/>
      <w:sz w:val="24"/>
    </w:rPr>
  </w:style>
  <w:style w:type="paragraph" w:customStyle="1" w:styleId="SNAutorit">
    <w:name w:val="SNAutorité"/>
    <w:basedOn w:val="Normal"/>
    <w:qFormat/>
    <w:pPr>
      <w:spacing w:before="720" w:after="240"/>
      <w:ind w:firstLine="720"/>
    </w:pPr>
    <w:rPr>
      <w:b/>
    </w:rPr>
  </w:style>
  <w:style w:type="paragraph" w:customStyle="1" w:styleId="SNSignatureprnomnomDroite">
    <w:name w:val="SNSignature prénom+nom Droite"/>
    <w:basedOn w:val="SNSignatureDroite"/>
    <w:next w:val="SNSignatureGauche"/>
    <w:qFormat/>
    <w:pPr>
      <w:spacing w:before="0" w:after="120"/>
      <w:ind w:left="5041"/>
    </w:pPr>
  </w:style>
  <w:style w:type="paragraph" w:customStyle="1" w:styleId="SNSignatureDroite">
    <w:name w:val="SNSignatureDroite"/>
    <w:basedOn w:val="Normal"/>
    <w:next w:val="SNSignatureprnomnomDroite"/>
    <w:qFormat/>
    <w:pPr>
      <w:spacing w:before="120" w:after="1680"/>
      <w:ind w:left="5040"/>
      <w:jc w:val="right"/>
    </w:pPr>
    <w:rPr>
      <w:color w:val="000000"/>
    </w:r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Timbre">
    <w:name w:val="SNTimbre"/>
    <w:basedOn w:val="Normal"/>
    <w:qFormat/>
    <w:pPr>
      <w:widowControl w:val="0"/>
      <w:spacing w:before="120"/>
      <w:jc w:val="center"/>
    </w:pPr>
    <w:rPr>
      <w:rFonts w:eastAsia="Lucida Sans Unicode"/>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Date">
    <w:name w:val="SNDate"/>
    <w:basedOn w:val="Normal"/>
    <w:next w:val="SNContreseing"/>
    <w:qFormat/>
    <w:pPr>
      <w:spacing w:before="480" w:after="2760"/>
      <w:ind w:firstLine="720"/>
    </w:pPr>
  </w:style>
  <w:style w:type="paragraph" w:customStyle="1" w:styleId="SNContreseing">
    <w:name w:val="SNContreseing"/>
    <w:basedOn w:val="Normal"/>
    <w:next w:val="SNSignatureGauche"/>
    <w:qFormat/>
    <w:pPr>
      <w:spacing w:before="48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next w:val="BodyText"/>
    <w:qFormat/>
    <w:pPr>
      <w:spacing w:before="240" w:after="240"/>
      <w:jc w:val="center"/>
    </w:pPr>
    <w:rPr>
      <w:b/>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styleId="BalloonText">
    <w:name w:val="Balloon Text"/>
    <w:basedOn w:val="Normal"/>
    <w:semiHidden/>
    <w:qFormat/>
    <w:rPr>
      <w:rFonts w:ascii="Tahoma" w:hAnsi="Tahoma" w:cs="Tahoma"/>
      <w:sz w:val="16"/>
      <w:szCs w:val="16"/>
    </w:rPr>
  </w:style>
  <w:style w:type="paragraph" w:customStyle="1" w:styleId="Titre1objet">
    <w:name w:val="Titre 1 objet"/>
    <w:basedOn w:val="Heading1"/>
    <w:qFormat/>
    <w:pPr>
      <w:spacing w:before="0" w:after="120"/>
    </w:pPr>
    <w:rPr>
      <w:b/>
    </w:rPr>
  </w:style>
  <w:style w:type="paragraph" w:customStyle="1" w:styleId="Titre2objet">
    <w:name w:val="Titre 2 objet"/>
    <w:basedOn w:val="Heading2"/>
    <w:next w:val="Normal"/>
    <w:qFormat/>
    <w:pPr>
      <w:spacing w:before="0" w:after="120"/>
    </w:pPr>
    <w:rPr>
      <w:b/>
    </w:rPr>
  </w:style>
  <w:style w:type="paragraph" w:customStyle="1" w:styleId="titre3objet">
    <w:name w:val="titre 3 objet"/>
    <w:basedOn w:val="Heading3"/>
    <w:next w:val="Normal"/>
    <w:qFormat/>
    <w:pPr>
      <w:spacing w:before="0" w:after="120"/>
    </w:pPr>
    <w:rPr>
      <w:b/>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ListParagraph">
    <w:name w:val="List Paragraph"/>
    <w:basedOn w:val="Normal"/>
    <w:uiPriority w:val="34"/>
    <w:qFormat/>
    <w:pPr>
      <w:ind w:left="720"/>
    </w:pPr>
    <w:rPr>
      <w:rFonts w:eastAsia="Calibri"/>
      <w:color w:val="000000"/>
    </w:rPr>
  </w:style>
  <w:style w:type="paragraph" w:customStyle="1" w:styleId="western">
    <w:name w:val="western"/>
    <w:basedOn w:val="Normal"/>
    <w:qFormat/>
    <w:pPr>
      <w:spacing w:beforeAutospacing="1" w:after="119"/>
      <w:jc w:val="both"/>
    </w:pPr>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2595</Words>
  <Characters>14795</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REPUBLIQUE FRANCAISE</vt:lpstr>
    </vt:vector>
  </TitlesOfParts>
  <Company>SPM</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subject/>
  <dc:creator>Camille Massy</dc:creator>
  <dc:description/>
  <cp:lastModifiedBy>Dimitris Dimitriadis</cp:lastModifiedBy>
  <cp:revision>5</cp:revision>
  <dcterms:created xsi:type="dcterms:W3CDTF">2022-11-08T16:03:00Z</dcterms:created>
  <dcterms:modified xsi:type="dcterms:W3CDTF">2022-11-23T08:30:00Z</dcterms:modified>
  <dc:language>fr-FR</dc:language>
</cp:coreProperties>
</file>