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szCs w:val="20"/>
                <w:rFonts w:eastAsia="Times New Roman"/>
              </w:rPr>
            </w:pPr>
            <w:r>
              <w:t xml:space="preserve">РЕПУБЛИКА ФРАНЦИЯ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 xml:space="preserve">Министерство на екологичния преход</w:t>
            </w:r>
            <w:r>
              <w:br/>
            </w:r>
            <w:r>
              <w:t xml:space="preserve">и териториалното сближаване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b/>
          <w:rFonts w:eastAsia="Calibri"/>
        </w:rPr>
      </w:pPr>
      <w:r>
        <w:rPr>
          <w:b/>
        </w:rPr>
        <w:t xml:space="preserve">Указ №        от</w:t>
      </w:r>
      <w:r>
        <w:rPr>
          <w:b/>
        </w:rPr>
        <w:t xml:space="preserve">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</w:t>
      </w:r>
      <w:r>
        <w:rPr>
          <w:color w:val="000000"/>
        </w:rPr>
        <w:t xml:space="preserve">относно задължението за представяне на непреработени пресни плодове и зеленчуци за продажба без опаковки, направени изцяло или частично от пластмаса</w:t>
      </w:r>
      <w:r>
        <w:rPr>
          <w:color w:val="000000"/>
        </w:rPr>
        <w:t xml:space="preserve">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Реф. №:</w:t>
      </w:r>
      <w:r>
        <w:t xml:space="preserve">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i/>
          <w:b/>
        </w:rPr>
        <w:t xml:space="preserve">Целева аудитория:</w:t>
      </w:r>
      <w:r>
        <w:rPr>
          <w:i/>
        </w:rPr>
        <w:t xml:space="preserve"> търговски обекти, специализирани или неспециализирани в продажбата на плодове и зеленчуци в магазини и пазари.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Относно</w:t>
      </w:r>
      <w:r>
        <w:rPr>
          <w:i/>
        </w:rPr>
        <w:t xml:space="preserve">: условия за изпълнение на задължението за представяне за продажба на непреработени пресни плодове и зеленчуци без опаковки, изработени изцяло или частично от пластмаса.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Влизане в сила:</w:t>
      </w:r>
      <w:r>
        <w:rPr>
          <w:i/>
        </w:rPr>
        <w:t xml:space="preserve"> Указът влиза в сила в деня след публикуването му.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i/>
          <w:b/>
        </w:rPr>
        <w:t xml:space="preserve">Бележка</w:t>
      </w:r>
      <w:r>
        <w:rPr>
          <w:i/>
        </w:rPr>
        <w:t xml:space="preserve">: С указа се определят условията за прилагане на разпоредбата, установена със Закона от 10 февруари 2020 г. относно борбата с отпадъците и относно кръговата икономика, в който се посочва, че всеки търговец на дребно представя за продажба непреработени плодове и зеленчуци без пластмасова опаковка.</w:t>
      </w:r>
      <w:r>
        <w:rPr>
          <w:i/>
        </w:rPr>
        <w:t xml:space="preserve">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В него се уточнява, че разпоредбата се прилага за непреработени пресни плодове и зеленчуци, т.е. плодове и зеленчуци, които се продават в първоначалното си състояние или са били подложени на подготовка като почистване, подрязване, отцеждане или сушене.</w:t>
      </w:r>
      <w:r>
        <w:rPr>
          <w:i/>
        </w:rPr>
        <w:t xml:space="preserve">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 xml:space="preserve">В него също така се уточнява определението за пластмасови опаковки.</w:t>
      </w:r>
      <w:r>
        <w:rPr>
          <w:i/>
        </w:rPr>
        <w:t xml:space="preserve"> </w:t>
      </w:r>
      <w:r>
        <w:rPr>
          <w:i/>
        </w:rPr>
        <w:t xml:space="preserve">Той съдържа списък на пресните плодове и зеленчуци, които не са предмет на това задължение, тъй като при тях съществува риск от влошаване, когато се продават в насипно състояние.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i/>
          <w:b/>
        </w:rPr>
        <w:t xml:space="preserve">Позовавания:</w:t>
      </w:r>
      <w:r>
        <w:rPr>
          <w:i/>
        </w:rPr>
        <w:t xml:space="preserve"> справка с Кодекса за околната среда, изменен с настоящия указ, т.е. в неговата редакция, произтичаща от настоящото изменение, може да бъде направена на уебсайта на Légifrance (http://www.legifrance.gouv.fr).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 xml:space="preserve">Министър-председателят,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 xml:space="preserve">Относно доклада на министъра на екологичния преход и териториалното сближаване,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като взе предвид Регламент за изпълнение (ЕС) № 543/2011 на Комисията от 7 юни 2011 г. за определяне на подробни правила за прилагането на Регламент (ЕО) № 1234/2007 на Съвета по отношение на секторите на плодовете и зеленчуците и на преработените плодове и зеленчуци,</w:t>
      </w:r>
      <w:r>
        <w:t xml:space="preserve"> </w:t>
      </w:r>
    </w:p>
    <w:p w14:paraId="37F0C46A" w14:textId="434CC72A" w:rsidR="00A155FD" w:rsidRPr="00D61874" w:rsidRDefault="00A155FD" w:rsidP="005024FC">
      <w:pPr>
        <w:pStyle w:val="SNConsultation"/>
      </w:pPr>
      <w:r>
        <w:t xml:space="preserve">като взе предвид Регламент (ЕС) № 1333/2011 на Комисията от 19 декември 2011 г.  за определяне на пазарните стандарти за бананите, правилата за контрола по спазването на тези пазарни стандарти и изискванията за уведомленията в сектора на бананите,</w:t>
      </w:r>
      <w:r>
        <w:t xml:space="preserve">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като взе предвид Закон № 2020-105 от 10 февруари 2020 г. относно борбата с отпадъците и относно кръговата икономика, и по-специално член 77 от него,</w:t>
      </w:r>
      <w:r>
        <w:t xml:space="preserve">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като взе предвид Кодекса за околната среда, и по-специално член L. 541-15-10 от него,</w:t>
      </w:r>
      <w:r>
        <w:t xml:space="preserve">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като взе предвид Указ № 55-1126 от 19 август 1955 г. за прилагане на член L. 214-1 от Кодекса на потребителите по отношение на търговията с плодове и зеленчуци,</w:t>
      </w:r>
      <w:r>
        <w:t xml:space="preserve">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като взе предвид коментарите, направени по време на обществената консултация, проведена между </w:t>
      </w:r>
      <w:r>
        <w:rPr>
          <w:highlight w:val="yellow"/>
        </w:rPr>
        <w:t xml:space="preserve">XX</w:t>
      </w:r>
      <w:r>
        <w:t xml:space="preserve"> декември 2022 г. и </w:t>
      </w:r>
      <w:r>
        <w:rPr>
          <w:highlight w:val="yellow"/>
        </w:rPr>
        <w:t xml:space="preserve">XX </w:t>
      </w:r>
      <w:r>
        <w:t xml:space="preserve">януари 2023 г., в съответствие с член L. 123-19-1 от Кодекса за околната среда,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 xml:space="preserve">с настоящото реши: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 xml:space="preserve">Член 1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 xml:space="preserve">Книга V, Дял IV, глава I, раздел 10 на регулаторната част на Кодекса за околната среда се допълва с член Г. 541-334, както следва: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 xml:space="preserve">Член Г. 541-334.</w:t>
      </w:r>
      <w:r>
        <w:rPr>
          <w:i/>
        </w:rPr>
        <w:t xml:space="preserve"> </w:t>
      </w:r>
      <w:r>
        <w:rPr>
          <w:i/>
        </w:rPr>
        <w:t xml:space="preserve">–</w:t>
      </w:r>
      <w:r>
        <w:rPr>
          <w:i/>
        </w:rPr>
        <w:t xml:space="preserve"> </w:t>
      </w:r>
      <w:r>
        <w:rPr>
          <w:i/>
        </w:rPr>
        <w:t xml:space="preserve">I.</w:t>
      </w:r>
      <w:r>
        <w:t xml:space="preserve"> — За целите на член 541-15-10, III, параграф 16 се прилагат следните определения:</w:t>
      </w:r>
      <w:r>
        <w:t xml:space="preserve">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 xml:space="preserve">1.</w:t>
      </w:r>
      <w:r>
        <w:t xml:space="preserve"> </w:t>
      </w:r>
      <w:r>
        <w:t xml:space="preserve">„Плодове и зеленчуци“: растения или части от тях, като стъбла, корени, грудки, листа, плодове, семена, предназначени за консумация от човека, и гъби, годни за консумация от човека;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</w:t>
      </w:r>
      <w:r>
        <w:t xml:space="preserve"> </w:t>
      </w:r>
      <w:r>
        <w:t xml:space="preserve">„Непреработени пресни плодове и зеленчуци“: пресни плодове и зеленчуци, чието приготвяне е в съответствие със следните граници:</w:t>
      </w:r>
      <w:r>
        <w:t xml:space="preserve">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0E48098E" w:rsidR="005A05C8" w:rsidRDefault="005A05C8" w:rsidP="00FA2A1F">
      <w:pPr>
        <w:ind w:left="1134" w:hanging="425"/>
        <w:jc w:val="both"/>
      </w:pPr>
      <w:r>
        <w:t xml:space="preserve">— пазарните стандарти, посочени в Регламент за изпълнение (ЕС) № 543/2011 на Комисията от 7 юни 2011 г. за определяне на подробни правила за прилагането на Регламент (ЕО) № 1234/2007 на Съвета по отношение на секторите на плодовете и зеленчуците и на преработените плодове и зеленчуци,</w:t>
      </w:r>
      <w:r>
        <w:t xml:space="preserve"> </w:t>
      </w:r>
    </w:p>
    <w:p w14:paraId="4D8D69E8" w14:textId="7CA33917" w:rsidR="005A05C8" w:rsidRDefault="005A05C8" w:rsidP="00FA2A1F">
      <w:pPr>
        <w:ind w:left="1134" w:hanging="425"/>
        <w:jc w:val="both"/>
      </w:pPr>
      <w:r>
        <w:t xml:space="preserve">— пазарните стандарти, посочени в Регламент за изпълнение (ЕС) № 1333/2011 на Комисията от 19 декември 2011 г. за определяне на пазарните стандарти за бананите, правилата за контрола по спазването на тези пазарни стандарти и изискванията за уведомленията в сектора на бананите,</w:t>
      </w:r>
      <w:r>
        <w:t xml:space="preserve"> </w:t>
      </w:r>
    </w:p>
    <w:p w14:paraId="2C33E934" w14:textId="1CD22384" w:rsidR="005A05C8" w:rsidRPr="005A05C8" w:rsidRDefault="005A05C8" w:rsidP="00FA2A1F">
      <w:pPr>
        <w:ind w:left="1134" w:hanging="425"/>
        <w:jc w:val="both"/>
      </w:pPr>
      <w:r>
        <w:t xml:space="preserve">— заповедите, приети на основание член 4 от Указ № 55-1126 от 19 август 1955 г. за прилагане на член L. 214-1 от Кодекса на потребителите по отношение на търговията с плодове и зеленчуци;“</w:t>
      </w:r>
      <w:r>
        <w:t xml:space="preserve">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</w:t>
      </w:r>
      <w:r>
        <w:t xml:space="preserve"> </w:t>
      </w:r>
      <w:r>
        <w:t xml:space="preserve">„Опаковка“: съд, външно покритие или затварящо устройство, което обхваща изцяло или частично плодовете и зеленчуците, за да представлява единица за продажба на потребителя и да гарантира неговото представяне на мястото на продажба;</w:t>
      </w:r>
      <w:r>
        <w:t xml:space="preserve">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 xml:space="preserve">4.</w:t>
      </w:r>
      <w:r>
        <w:t xml:space="preserve"> </w:t>
      </w:r>
      <w:r>
        <w:t xml:space="preserve">„Пластмасов материал“: материал, както е определен в член Г. 541-330 от Кодекса за околната среда.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t xml:space="preserve">II. — Плодовете и зеленчуците, при които съществува риск от влошаване, когато се продават в насипно състояние, посочени в член L. 541-15-10, </w:t>
      </w:r>
      <w:r>
        <w:rPr>
          <w:i/>
          <w:iCs/>
        </w:rPr>
        <w:t xml:space="preserve">III</w:t>
      </w:r>
      <w:r>
        <w:t xml:space="preserve">, параграф 16, са:</w:t>
      </w:r>
      <w:r>
        <w:t xml:space="preserve">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 xml:space="preserve">— царевична салата, млади издънки, ароматни билки, ядливи цветя, кълнове на боб мунг;</w:t>
      </w:r>
    </w:p>
    <w:p w14:paraId="5844973D" w14:textId="0E1EB7B9" w:rsidR="00341726" w:rsidRDefault="00341726" w:rsidP="00341726">
      <w:pPr>
        <w:jc w:val="both"/>
      </w:pPr>
      <w:r>
        <w:t xml:space="preserve">— покълнали семена;</w:t>
      </w:r>
    </w:p>
    <w:p w14:paraId="0BB479B0" w14:textId="7F458C47" w:rsidR="0016162C" w:rsidRDefault="009B5670" w:rsidP="0016162C">
      <w:pPr>
        <w:jc w:val="both"/>
      </w:pPr>
      <w:r>
        <w:t xml:space="preserve">— узрели плодове;</w:t>
      </w:r>
    </w:p>
    <w:p w14:paraId="6024C5B2" w14:textId="4B7CC75D" w:rsidR="00B12D5E" w:rsidRDefault="0016162C" w:rsidP="00341726">
      <w:pPr>
        <w:jc w:val="both"/>
      </w:pPr>
      <w:r>
        <w:t xml:space="preserve">— различни видове боровинки, малини, ягоди, къпини, френско грозде, бъз, цариградско грозде, касис и киви;</w:t>
      </w:r>
    </w:p>
    <w:p w14:paraId="5ED21BA4" w14:textId="68ABC03B" w:rsidR="00B12D5E" w:rsidRDefault="00B12D5E" w:rsidP="00B12D5E">
      <w:pPr>
        <w:jc w:val="both"/>
      </w:pPr>
      <w:r>
        <w:t xml:space="preserve"> </w:t>
      </w:r>
      <w:r>
        <w:t xml:space="preserve">— ендивия;</w:t>
      </w:r>
    </w:p>
    <w:p w14:paraId="3D7B41BD" w14:textId="001F8026" w:rsidR="00B12D5E" w:rsidRDefault="009B5670" w:rsidP="00B12D5E">
      <w:pPr>
        <w:ind w:left="-5"/>
      </w:pPr>
      <w:r>
        <w:t xml:space="preserve">— гъби;</w:t>
      </w:r>
    </w:p>
    <w:p w14:paraId="3C95BD5D" w14:textId="56902FC7" w:rsidR="00B12D5E" w:rsidRDefault="009B5670" w:rsidP="00B12D5E">
      <w:pPr>
        <w:ind w:left="-5"/>
      </w:pPr>
      <w:r>
        <w:t xml:space="preserve">— малки моркови;</w:t>
      </w:r>
    </w:p>
    <w:p w14:paraId="578E5A1F" w14:textId="77777777" w:rsidR="00B12D5E" w:rsidRDefault="00B12D5E" w:rsidP="00B12D5E">
      <w:pPr>
        <w:ind w:left="-5"/>
      </w:pPr>
      <w:r>
        <w:t xml:space="preserve">— спанак и киселец.</w:t>
      </w:r>
      <w:r>
        <w:t xml:space="preserve">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 xml:space="preserve">Член 2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 xml:space="preserve">За да се даде възможност за пласирането на запасите от опаковки, следните плодове и зеленчуци могат да бъдат изложени за продажба в опаковки, произведени изцяло или частично от пластмаса, до 31 декември 2023 г.: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„оребрени“ домати, удължени сърцевидни домати, „чери“ домати или коктейлни домати (миниатюрни сортове);</w:t>
      </w:r>
      <w:r>
        <w:t xml:space="preserve">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 xml:space="preserve">аспержи;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 xml:space="preserve">броколи;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 xml:space="preserve">ранни картофи и ранни моркови;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 xml:space="preserve">салата;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зелен лук;</w:t>
      </w:r>
      <w:r>
        <w:t xml:space="preserve">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ранни ряпа;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Брюкселско зеле</w:t>
      </w:r>
      <w:r>
        <w:t xml:space="preserve">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зелен фасул;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 xml:space="preserve">череши;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грозде;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праскови, нектарини и кайсии.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 xml:space="preserve">Член 3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Министърът на икономиката, финансите, промишления и цифровия суверенитет, министърът на земеделието и продоволствения суверенитет, министърът на екологичния преход и териториалното сближаване и държавният секретар към министъра на екологичния преход и териториалното сближаване, отговарящ за екологията, отговарят за прилагането на настоящия указ, който ще бъде публикуван в </w:t>
      </w:r>
      <w:r>
        <w:rPr>
          <w:i/>
        </w:rPr>
        <w:t xml:space="preserve">Официален вестник</w:t>
      </w:r>
      <w:r>
        <w:t xml:space="preserve"> на Френската република.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Съставено на</w:t>
      </w:r>
      <w:r>
        <w:t xml:space="preserve">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198CB" w14:textId="77777777" w:rsidR="00B26342" w:rsidRDefault="00B26342" w:rsidP="00DA07F9">
      <w:r>
        <w:separator/>
      </w:r>
    </w:p>
  </w:endnote>
  <w:endnote w:type="continuationSeparator" w:id="0">
    <w:p w14:paraId="1DE9158E" w14:textId="77777777" w:rsidR="00B26342" w:rsidRDefault="00B26342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2D393" w14:textId="77777777" w:rsidR="00B26342" w:rsidRDefault="00B26342" w:rsidP="00DA07F9">
      <w:r>
        <w:separator/>
      </w:r>
    </w:p>
  </w:footnote>
  <w:footnote w:type="continuationSeparator" w:id="0">
    <w:p w14:paraId="74775357" w14:textId="77777777" w:rsidR="00B26342" w:rsidRDefault="00B26342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dirty" w:grammar="dirty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Liana Brili</cp:lastModifiedBy>
  <cp:revision>4</cp:revision>
  <cp:lastPrinted>2022-11-02T13:16:00Z</cp:lastPrinted>
  <dcterms:created xsi:type="dcterms:W3CDTF">2022-12-14T16:37:00Z</dcterms:created>
  <dcterms:modified xsi:type="dcterms:W3CDTF">2022-12-15T07:56:00Z</dcterms:modified>
</cp:coreProperties>
</file>