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r>
        <w:rPr>
          <w:rFonts w:ascii="Times New Roman" w:hAnsi="Times New Roman"/>
          <w:b/>
          <w:sz w:val="44"/>
        </w:rPr>
        <w:t>DRAFT LAW</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rFonts w:ascii="Times New Roman" w:hAnsi="Times New Roman" w:cs="Times New Roman"/>
          <w:i/>
          <w:iCs/>
          <w:sz w:val="28"/>
          <w:szCs w:val="28"/>
        </w:rPr>
      </w:pPr>
      <w:r>
        <w:rPr>
          <w:rFonts w:ascii="Times New Roman" w:hAnsi="Times New Roman"/>
          <w:i/>
          <w:sz w:val="28"/>
        </w:rPr>
        <w:t xml:space="preserve">to </w:t>
      </w:r>
      <w:r w:rsidR="000868C1">
        <w:rPr>
          <w:rFonts w:ascii="Times New Roman" w:hAnsi="Times New Roman"/>
          <w:b/>
          <w:sz w:val="28"/>
        </w:rPr>
        <w:t>strengthen</w:t>
      </w:r>
      <w:r>
        <w:rPr>
          <w:rFonts w:ascii="Times New Roman" w:hAnsi="Times New Roman"/>
          <w:i/>
          <w:sz w:val="28"/>
        </w:rPr>
        <w:t xml:space="preserve"> </w:t>
      </w:r>
      <w:r>
        <w:rPr>
          <w:rFonts w:ascii="Times New Roman" w:hAnsi="Times New Roman"/>
          <w:b/>
          <w:sz w:val="28"/>
        </w:rPr>
        <w:t xml:space="preserve">parental control </w:t>
      </w:r>
      <w:r>
        <w:rPr>
          <w:rFonts w:ascii="Times New Roman" w:hAnsi="Times New Roman"/>
          <w:i/>
          <w:sz w:val="28"/>
        </w:rPr>
        <w:t xml:space="preserve">over </w:t>
      </w:r>
      <w:r>
        <w:rPr>
          <w:rFonts w:ascii="Times New Roman" w:hAnsi="Times New Roman"/>
          <w:b/>
          <w:sz w:val="28"/>
        </w:rPr>
        <w:t xml:space="preserve">means </w:t>
      </w:r>
      <w:r>
        <w:rPr>
          <w:rFonts w:ascii="Times New Roman" w:hAnsi="Times New Roman"/>
          <w:i/>
          <w:sz w:val="28"/>
        </w:rPr>
        <w:t xml:space="preserve">of </w:t>
      </w:r>
      <w:r>
        <w:rPr>
          <w:rFonts w:ascii="Times New Roman" w:hAnsi="Times New Roman"/>
          <w:b/>
          <w:sz w:val="28"/>
        </w:rPr>
        <w:t>Internet access</w:t>
      </w:r>
      <w:r>
        <w:rPr>
          <w:rFonts w:ascii="Times New Roman" w:hAnsi="Times New Roman"/>
          <w:i/>
          <w:sz w:val="28"/>
        </w:rPr>
        <w:t>,</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b/>
          <w:sz w:val="28"/>
        </w:rPr>
        <w:t>Article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I. – Section 5 of Chapter II of Title I of Book II of the Postal and Electronic Communications Code is supplemented by Article L. 34-9-3 as follows:</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w:t>
      </w:r>
      <w:r>
        <w:rPr>
          <w:rFonts w:ascii="Times New Roman" w:hAnsi="Times New Roman"/>
          <w:i/>
          <w:sz w:val="28"/>
        </w:rPr>
        <w:t>Article L. 34-9-3</w:t>
      </w:r>
      <w:r>
        <w:rPr>
          <w:rFonts w:ascii="Times New Roman" w:hAnsi="Times New Roman"/>
          <w:sz w:val="28"/>
        </w:rPr>
        <w:t>. – I. – Terminal equipment intended for the use of online public communication services providing access to services and content likely to impair the physical, mental or moral development of minors shall be equipped with an easily accessible and comprehensible system enabling its users to restrict or control such persons’ access to those services and content.</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The activation of the system provided for in the first subparagraph of this I shall be offered to the user when the equipment is first put into service. The personal data of minors collected or generated during the activation of this system shall not, including after the interested parties become of age, be used for commercial purposes, such as direct marketing, profiling and behaviour-oriented advertising.</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Manufacturers shall ensure, when placing their terminal equipment on the market, that the operating systems installed on that equipment incorporate the system provided for in the first subparagraph. The activation, use and, where appropriate, uninstallation of this system shall be permitted at no additional cost to the user.</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Where applicable, the operating system provider shall guarantee and certify to the manufacturer, when so requested by the latter, that the operating system intended to be installed on the terminal equipment incorporates the system provided for in that first subparagraph.</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Manufacturers shall guarantee to importers, distributors and fulfilment service providers that terminal equipment placed on the market incorporates the system provided for in the first subparagraph. In the case mentioned in the fourth subparagraph of this I, the manufacturer shall transmit to those persons the certificate of the operating system supplier.</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 xml:space="preserve">Importers, distributors and fulfilment service providers shall verify that the terminal equipment is certified by the manufacturers or, where appropriate, by the </w:t>
      </w:r>
      <w:r>
        <w:rPr>
          <w:rFonts w:ascii="Times New Roman" w:hAnsi="Times New Roman"/>
          <w:sz w:val="28"/>
        </w:rPr>
        <w:lastRenderedPageBreak/>
        <w:t>operating system supplier under the conditions laid down in the fifth subparagraph of this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 xml:space="preserve"> The system provided for in the first subparagraph of this I shall not apply to equipment placed on the market without an operating system.</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The obligations laid down in the third and fifth subparagraphs of this I shall apply, where appropriate, to the manufacturer’s authorised representative.</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Persons who place on the market the terminal equipment referred to in the first subparagraph of this I, when it is used equipment as defined in the third paragraph of Article L. 321-1 of the Commercial Code, shall ensure that such equipment incorporates the system provided for in the first subparagraph of this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II. – A decree of the Council of State, issued after the opinion of the National Commission on Information Technology and Liberties, shall determine:</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“(1) The methods of implementation of I, including the minimum functions and technical characteristics of the system provided for in the first subparagraph of the same I, and the means used by the manufacturer to facilitate the use of that system;</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“(1)</w:t>
      </w:r>
      <w:r>
        <w:rPr>
          <w:rFonts w:ascii="Times New Roman" w:hAnsi="Times New Roman"/>
          <w:i/>
          <w:sz w:val="28"/>
        </w:rPr>
        <w:t xml:space="preserve">(a) </w:t>
      </w:r>
      <w:r>
        <w:rPr>
          <w:rFonts w:ascii="Times New Roman" w:hAnsi="Times New Roman"/>
          <w:sz w:val="28"/>
        </w:rPr>
        <w:t>The manner in which manufacturers and, where applicable, the operating system provider shall certify that the operating systems installed on the terminal equipment incorporate the system provided for in the first subparagraph;</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“(2) The conditions under which the competent authority may restrict or prohibit the placing on the market of the terminal equipment referred to in the first subparagraph which presents a risk or is not compliant, and the conditions under which the competent authority may have it recalled or withdrawn;</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“(3) The manner in which manufacturers contribute to the dissemination of available information on risks associated with the use of online public communication services by minors, the early exposure of children to screens and the means to prevent such risks.”</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II. – The last paragraph of I of Article L. 34-9-3 of the Postal and Electronic Communications Code applies to terminal equipment first placed on the market after the publication of the Decree of the Council of State provided for in Article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lastRenderedPageBreak/>
        <w:t>A Decree of the Council of State shall determine the conditions under which the persons referred to in the last paragraph of I of the aforesaid Article L. 34-9-3, as regards equipment first placed on the market prior to the publication of the Decree of the Council of State provided for in Article L. 34-9-3, shall inform the user of the existence of systems enabling him to restrict or control the access of minors to services and content likely to impair the physical, mental or moral development of minors.</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rFonts w:ascii="Times New Roman" w:hAnsi="Times New Roman" w:cs="Times New Roman"/>
          <w:b/>
          <w:bCs/>
          <w:i/>
          <w:iCs/>
          <w:sz w:val="28"/>
          <w:szCs w:val="28"/>
        </w:rPr>
      </w:pPr>
      <w:r>
        <w:rPr>
          <w:rFonts w:ascii="Times New Roman" w:hAnsi="Times New Roman"/>
          <w:b/>
          <w:sz w:val="28"/>
        </w:rPr>
        <w:t>Article 3</w:t>
      </w:r>
      <w:r>
        <w:rPr>
          <w:rFonts w:ascii="Times New Roman" w:hAnsi="Times New Roman"/>
          <w:b/>
          <w:i/>
          <w:iCs/>
          <w:sz w:val="28"/>
        </w:rPr>
        <w:t>(a)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rPr>
        <w:t>This Law shall enter into force on a date fixed by decree which shall not be more than three months later than the date of receipt by the Government of the European Commission’s reply enabling it to consider the legislative provisions notified to it as being in conformity with European Union law.</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