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8C258" w14:textId="77777777" w:rsidR="002D4E30" w:rsidRPr="002D4E30" w:rsidRDefault="002D4E30" w:rsidP="002D4E30">
      <w:pPr>
        <w:spacing w:before="100" w:beforeAutospacing="1" w:after="100" w:afterAutospacing="1" w:line="240" w:lineRule="auto"/>
        <w:outlineLvl w:val="1"/>
        <w:rPr>
          <w:b/>
          <w:bCs/>
          <w:color w:val="000000"/>
          <w:sz w:val="36"/>
          <w:szCs w:val="36"/>
          <w:rFonts w:ascii="Times New Roman" w:eastAsia="Times New Roman" w:hAnsi="Times New Roman" w:cs="Times New Roman"/>
        </w:rPr>
      </w:pPr>
      <w:r>
        <w:rPr>
          <w:b/>
          <w:color w:val="000000"/>
          <w:sz w:val="36"/>
          <w:rFonts w:ascii="Times New Roman" w:hAnsi="Times New Roman"/>
        </w:rPr>
        <w:t xml:space="preserve">Rozporządzenie z dnia 10 maja 2019 r. zmieniające rozporządzenie z dnia 30 grudnia 2011 r. w sprawie regulaminu bezpieczeństwa dotyczącego budowy wysokich budynków i ich ochrony przeciwpożarowej i przeciwdziałania panice</w:t>
      </w:r>
    </w:p>
    <w:p w14:paraId="3A3496B1" w14:textId="77777777" w:rsidR="002D4E30" w:rsidRPr="002D4E30" w:rsidRDefault="002D4E30" w:rsidP="002D4E30">
      <w:pPr>
        <w:spacing w:before="100" w:beforeAutospacing="1" w:after="100" w:afterAutospacing="1" w:line="240" w:lineRule="auto"/>
        <w:rPr>
          <w:color w:val="000000"/>
          <w:sz w:val="27"/>
          <w:szCs w:val="27"/>
          <w:rFonts w:ascii="Times New Roman" w:eastAsia="Times New Roman" w:hAnsi="Times New Roman" w:cs="Times New Roman"/>
        </w:rPr>
      </w:pP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Zainteresowane społeczności: podmioty eksploatujące i właściciele obiektów użyteczności publicznej, inwestorzy, wykonawcy, architekci, członkowie komisji bezpieczeństwa, inspektorzy techniczni, producenci i instalatorzy urządzeń wykorzystujących czynniki chłodnicze.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Przedmiot: zmiana przepisu dotyczącego cech urządzeń elektrycznych wytwarzających zimno w wysokich budynkach.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Wejście w życie: w dniu następującym po dacie opublikowania w Dzienniku Urzędowym Republiki Francuskiej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Uwaga: regulamin bezpieczeństwa przeciwpożarowego w obiektach użyteczności publicznej został zmieniony w celu dopuszczenia używania łatwopalnych czynników chłodniczych, które dotychczas były zabronione. Dotyczy to w szczególności art. CH 35.</w:t>
      </w:r>
      <w:r>
        <w:rPr>
          <w:color w:val="000000"/>
          <w:sz w:val="27"/>
          <w:rFonts w:ascii="Times New Roman" w:hAnsi="Times New Roman"/>
        </w:rPr>
        <w:t xml:space="preserve"> </w:t>
      </w:r>
      <w:r>
        <w:rPr>
          <w:color w:val="000000"/>
          <w:sz w:val="27"/>
          <w:rFonts w:ascii="Times New Roman" w:hAnsi="Times New Roman"/>
        </w:rPr>
        <w:t xml:space="preserve">Artykuł GH 37 § 2 regulaminu bezpieczeństwa przeciwpożarowego w wysokich budynkach odsyła do przepisów art. CH 35.</w:t>
      </w:r>
      <w:r>
        <w:rPr>
          <w:color w:val="000000"/>
          <w:sz w:val="27"/>
          <w:rFonts w:ascii="Times New Roman" w:hAnsi="Times New Roman"/>
        </w:rPr>
        <w:t xml:space="preserve"> </w:t>
      </w:r>
      <w:r>
        <w:rPr>
          <w:color w:val="000000"/>
          <w:sz w:val="27"/>
          <w:rFonts w:ascii="Times New Roman" w:hAnsi="Times New Roman"/>
        </w:rPr>
        <w:t xml:space="preserve">W oczekiwaniu na szczegółową ocenę ryzyka należy utrzymać ograniczenie używania łatwopalnych czynników chłodniczych w wysokich budynkach i unikać niepożądanego otwierania takiej możliwości przez odesłanie w art. GH 37 do art. CH 35.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Teksty podstawowe: z tekstem zmienionym niniejszym rozporządzeniem można zapoznać się, w brzmieniu będącym wynikiem zmiany, w serwisie internetowym Légifrance (http://legifrance.gouv.fr).</w:t>
      </w:r>
    </w:p>
    <w:p w14:paraId="0E85CD49" w14:textId="77777777" w:rsidR="002D4E30" w:rsidRPr="002D4E30" w:rsidRDefault="002D4E30" w:rsidP="002D4E30">
      <w:pPr>
        <w:spacing w:before="100" w:beforeAutospacing="1" w:after="100" w:afterAutospacing="1" w:line="240" w:lineRule="auto"/>
        <w:rPr>
          <w:color w:val="000000"/>
          <w:sz w:val="27"/>
          <w:szCs w:val="27"/>
          <w:rFonts w:ascii="Times New Roman" w:eastAsia="Times New Roman" w:hAnsi="Times New Roman" w:cs="Times New Roman"/>
        </w:rPr>
      </w:pP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Minister ds. Transformacji Ekologicznej i Solidarnej, Strażnik Pieczęci, Minister Sprawiedliwości, Minister Gospodarki i Finansów, Minister Pracy, Minister Spraw Wewnętrznych, Minister Szkolnictwa Wyższego, Badań i Innowacji, Minister Spójności Terytorialnej i Stosunków z Władzami Lokalnymi i Regionalnymi oraz Minister Kultury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uwzględniając dyrektywę Parlamentu Europejskiego i Rady (UE) 2015/1535 z dnia 9 września 2015 r. ustanawiającą procedurę udzielania informacji w dziedzinie przepisów technicznych oraz zasad dotyczących usług społeczeństwa informacyjnego, w szczególności powiadomienie nr 2018/469/F;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uwzględniając kodeks budowlany i mieszkaniowy, w szczególności art. R. 122-4    ,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uwzględniając rozporządzenie z dnia 30 grudnia 2011 r. w sprawie regulaminu bezpieczeństwa dotyczącego budowy wysokich budynków i ich ochrony przeciwpożarowej i przeciwdziałania panice,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uwzględniając opinię Wysokiej Rady Budownictwa i Efektywności Energetycznej, wydaną w dniu 16 października 2018 r;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Uwzględniając opinię Krajowej Rady ds. Oceny Norm z dnia 11 października 2018 r.,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niniejszym rozporządzają, co następuje:</w:t>
      </w:r>
    </w:p>
    <w:p w14:paraId="3E2119D9" w14:textId="77777777" w:rsidR="002D4E30" w:rsidRPr="002D4E30" w:rsidRDefault="002D4E30" w:rsidP="002D4E30">
      <w:pPr>
        <w:spacing w:before="100" w:beforeAutospacing="1" w:after="100" w:afterAutospacing="1" w:line="240" w:lineRule="auto"/>
        <w:ind w:left="450"/>
        <w:outlineLvl w:val="3"/>
        <w:rPr>
          <w:b/>
          <w:bCs/>
          <w:color w:val="000000"/>
          <w:sz w:val="27"/>
          <w:szCs w:val="27"/>
          <w:rFonts w:ascii="Times New Roman" w:eastAsia="Times New Roman" w:hAnsi="Times New Roman" w:cs="Times New Roman"/>
        </w:rPr>
      </w:pPr>
      <w:r>
        <w:rPr>
          <w:b/>
          <w:color w:val="000000"/>
          <w:sz w:val="27"/>
          <w:rFonts w:ascii="Times New Roman" w:hAnsi="Times New Roman"/>
        </w:rPr>
        <w:t xml:space="preserve">Artykuł 1</w:t>
      </w:r>
    </w:p>
    <w:p w14:paraId="16E979BE" w14:textId="77777777" w:rsidR="002D4E30" w:rsidRPr="002D4E30" w:rsidRDefault="002D4E30" w:rsidP="002D4E30">
      <w:pPr>
        <w:spacing w:before="100" w:beforeAutospacing="1" w:after="100" w:afterAutospacing="1" w:line="240" w:lineRule="auto"/>
        <w:ind w:left="450"/>
        <w:rPr>
          <w:color w:val="000000"/>
          <w:sz w:val="27"/>
          <w:szCs w:val="27"/>
          <w:rFonts w:ascii="Times New Roman" w:eastAsia="Times New Roman" w:hAnsi="Times New Roman" w:cs="Times New Roman"/>
        </w:rPr>
      </w:pP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W tytule 1 rozdział II sekcja VII regulaminu bezpieczeństwa dotyczącego budowy wysokich budynków i ich ochrony przeciwpożarowej i przeciwdziałania panice, zatwierdzonego rozporządzeniem z dnia 30 grudnia 2011 r., o którym mowa powyżej, wprowadza się zmiany zgodnie z art. 2.</w:t>
      </w:r>
    </w:p>
    <w:p w14:paraId="15F034AF" w14:textId="77777777" w:rsidR="002D4E30" w:rsidRPr="002D4E30" w:rsidRDefault="002D4E30" w:rsidP="002D4E30">
      <w:pPr>
        <w:spacing w:before="100" w:beforeAutospacing="1" w:after="100" w:afterAutospacing="1" w:line="240" w:lineRule="auto"/>
        <w:ind w:left="450"/>
        <w:outlineLvl w:val="3"/>
        <w:rPr>
          <w:b/>
          <w:bCs/>
          <w:color w:val="000000"/>
          <w:sz w:val="27"/>
          <w:szCs w:val="27"/>
          <w:rFonts w:ascii="Times New Roman" w:eastAsia="Times New Roman" w:hAnsi="Times New Roman" w:cs="Times New Roman"/>
        </w:rPr>
      </w:pPr>
      <w:r>
        <w:rPr>
          <w:b/>
          <w:color w:val="000000"/>
          <w:sz w:val="27"/>
          <w:rFonts w:ascii="Times New Roman" w:hAnsi="Times New Roman"/>
        </w:rPr>
        <w:t xml:space="preserve">Artykuł 2</w:t>
      </w:r>
    </w:p>
    <w:p w14:paraId="3B21DC11" w14:textId="77777777" w:rsidR="002D4E30" w:rsidRPr="002D4E30" w:rsidRDefault="002D4E30" w:rsidP="002D4E30">
      <w:pPr>
        <w:spacing w:before="100" w:beforeAutospacing="1" w:after="100" w:afterAutospacing="1" w:line="240" w:lineRule="auto"/>
        <w:ind w:left="450"/>
        <w:rPr>
          <w:color w:val="000000"/>
          <w:sz w:val="27"/>
          <w:szCs w:val="27"/>
          <w:rFonts w:ascii="Times New Roman" w:eastAsia="Times New Roman" w:hAnsi="Times New Roman" w:cs="Times New Roman"/>
        </w:rPr>
      </w:pP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W art. GH 37 po wyrazach:</w:t>
      </w:r>
      <w:r>
        <w:rPr>
          <w:color w:val="000000"/>
          <w:sz w:val="27"/>
          <w:rFonts w:ascii="Times New Roman" w:hAnsi="Times New Roman"/>
        </w:rPr>
        <w:t xml:space="preserve"> </w:t>
      </w:r>
      <w:r>
        <w:rPr>
          <w:color w:val="000000"/>
          <w:sz w:val="27"/>
          <w:rFonts w:ascii="Times New Roman" w:hAnsi="Times New Roman"/>
        </w:rPr>
        <w:t xml:space="preserve">„urządzenia elektryczne do wytwarzania zimna” dodaje się wyrazy:</w:t>
      </w:r>
      <w:r>
        <w:rPr>
          <w:color w:val="000000"/>
          <w:sz w:val="27"/>
          <w:rFonts w:ascii="Times New Roman" w:hAnsi="Times New Roman"/>
        </w:rPr>
        <w:t xml:space="preserve"> </w:t>
      </w:r>
      <w:r>
        <w:rPr>
          <w:color w:val="000000"/>
          <w:sz w:val="27"/>
          <w:rFonts w:ascii="Times New Roman" w:hAnsi="Times New Roman"/>
        </w:rPr>
        <w:t xml:space="preserve">„niewykorzystujące łatwopalnych czynników chłodniczych”.</w:t>
      </w:r>
    </w:p>
    <w:p w14:paraId="1D043E63" w14:textId="77777777" w:rsidR="002D4E30" w:rsidRPr="002D4E30" w:rsidRDefault="002D4E30" w:rsidP="002D4E30">
      <w:pPr>
        <w:spacing w:before="100" w:beforeAutospacing="1" w:after="100" w:afterAutospacing="1" w:line="240" w:lineRule="auto"/>
        <w:ind w:left="450"/>
        <w:outlineLvl w:val="3"/>
        <w:rPr>
          <w:b/>
          <w:bCs/>
          <w:color w:val="000000"/>
          <w:sz w:val="27"/>
          <w:szCs w:val="27"/>
          <w:rFonts w:ascii="Times New Roman" w:eastAsia="Times New Roman" w:hAnsi="Times New Roman" w:cs="Times New Roman"/>
        </w:rPr>
      </w:pPr>
      <w:r>
        <w:rPr>
          <w:b/>
          <w:color w:val="000000"/>
          <w:sz w:val="27"/>
          <w:rFonts w:ascii="Times New Roman" w:hAnsi="Times New Roman"/>
        </w:rPr>
        <w:t xml:space="preserve">Artykuł 3</w:t>
      </w:r>
    </w:p>
    <w:p w14:paraId="46DA1702" w14:textId="77777777" w:rsidR="002D4E30" w:rsidRPr="002D4E30" w:rsidRDefault="002D4E30" w:rsidP="002D4E30">
      <w:pPr>
        <w:spacing w:before="100" w:beforeAutospacing="1" w:after="100" w:afterAutospacing="1" w:line="240" w:lineRule="auto"/>
        <w:ind w:left="450"/>
        <w:rPr>
          <w:color w:val="000000"/>
          <w:sz w:val="27"/>
          <w:szCs w:val="27"/>
          <w:rFonts w:ascii="Times New Roman" w:eastAsia="Times New Roman" w:hAnsi="Times New Roman" w:cs="Times New Roman"/>
        </w:rPr>
      </w:pP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Niniejsze rozporządzenie wchodzi w życie z dniem następującym opublikowaniu w Dzienniku Urzędowym Republiki Francuskiej.</w:t>
      </w:r>
    </w:p>
    <w:p w14:paraId="37B186A9" w14:textId="77777777" w:rsidR="002D4E30" w:rsidRPr="002D4E30" w:rsidRDefault="002D4E30" w:rsidP="002D4E30">
      <w:pPr>
        <w:spacing w:before="100" w:beforeAutospacing="1" w:after="100" w:afterAutospacing="1" w:line="240" w:lineRule="auto"/>
        <w:rPr>
          <w:color w:val="000000"/>
          <w:sz w:val="27"/>
          <w:szCs w:val="27"/>
          <w:rFonts w:ascii="Times New Roman" w:eastAsia="Times New Roman" w:hAnsi="Times New Roman" w:cs="Times New Roman"/>
        </w:rPr>
      </w:pP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Sporządzono dnia 10 maja 2019 r.</w:t>
      </w:r>
    </w:p>
    <w:p w14:paraId="3087E08E" w14:textId="2E422699" w:rsidR="002D4E30" w:rsidRPr="002D4E30" w:rsidRDefault="002D4E30" w:rsidP="002D4E30">
      <w:pPr>
        <w:spacing w:before="100" w:beforeAutospacing="1" w:after="100" w:afterAutospacing="1" w:line="240" w:lineRule="auto"/>
        <w:rPr>
          <w:color w:val="000000"/>
          <w:sz w:val="27"/>
          <w:szCs w:val="27"/>
          <w:rFonts w:ascii="Times New Roman" w:eastAsia="Times New Roman" w:hAnsi="Times New Roman" w:cs="Times New Roman"/>
        </w:rPr>
      </w:pP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Minister Spraw Wewnętrznych,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w imieniu Ministra i z jego upoważnienia: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Szef Służby, Zastępca Dyrektora Generalnego ds. Bezpieczeństwa Cywilnego i Zarządzania Kryzysowego, odpowiedzialny za Dyrekcję Straży Pożarnej,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M. Marquer</w:t>
      </w:r>
    </w:p>
    <w:p w14:paraId="67BE7549" w14:textId="77777777" w:rsidR="002D4E30" w:rsidRPr="002D4E30" w:rsidRDefault="002D4E30" w:rsidP="002D4E30">
      <w:pPr>
        <w:spacing w:before="100" w:beforeAutospacing="1" w:after="100" w:afterAutospacing="1" w:line="240" w:lineRule="auto"/>
        <w:rPr>
          <w:color w:val="000000"/>
          <w:sz w:val="27"/>
          <w:szCs w:val="27"/>
          <w:rFonts w:ascii="Times New Roman" w:eastAsia="Times New Roman" w:hAnsi="Times New Roman" w:cs="Times New Roman"/>
        </w:rPr>
      </w:pP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Minister Stanu ds. Transformacji Ekologicznej i Solidarnej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W imieniu Ministra Stanu i z jego upoważnienia: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Dyrektor ds. Mieszkalnictwa, Urbanistyki i Krajobrazu,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F. Adam</w:t>
      </w:r>
    </w:p>
    <w:p w14:paraId="10A65939" w14:textId="77777777" w:rsidR="002D4E30" w:rsidRPr="002D4E30" w:rsidRDefault="002D4E30" w:rsidP="002D4E30">
      <w:pPr>
        <w:spacing w:before="100" w:beforeAutospacing="1" w:after="100" w:afterAutospacing="1" w:line="240" w:lineRule="auto"/>
        <w:rPr>
          <w:color w:val="000000"/>
          <w:sz w:val="27"/>
          <w:szCs w:val="27"/>
          <w:rFonts w:ascii="Times New Roman" w:eastAsia="Times New Roman" w:hAnsi="Times New Roman" w:cs="Times New Roman"/>
        </w:rPr>
      </w:pP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Strażnik Pieczęci, Minister Sprawiedliwości,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W imieniu Ministra i z jego upoważnienia: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Sekretarz generalny,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V. Malbec</w:t>
      </w:r>
    </w:p>
    <w:p w14:paraId="58B9A22B" w14:textId="77777777" w:rsidR="002D4E30" w:rsidRPr="002D4E30" w:rsidRDefault="002D4E30" w:rsidP="002D4E30">
      <w:pPr>
        <w:spacing w:before="100" w:beforeAutospacing="1" w:after="100" w:afterAutospacing="1" w:line="240" w:lineRule="auto"/>
        <w:rPr>
          <w:color w:val="000000"/>
          <w:sz w:val="27"/>
          <w:szCs w:val="27"/>
          <w:rFonts w:ascii="Times New Roman" w:eastAsia="Times New Roman" w:hAnsi="Times New Roman" w:cs="Times New Roman"/>
        </w:rPr>
      </w:pP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Minister Gospodarki i Finansów,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W imieniu Ministra i z jego upoważnienia: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Szef Departamentu Przemysłu,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J. Tognola</w:t>
      </w:r>
    </w:p>
    <w:p w14:paraId="648F29E1" w14:textId="77777777" w:rsidR="002D4E30" w:rsidRPr="002D4E30" w:rsidRDefault="002D4E30" w:rsidP="002D4E30">
      <w:pPr>
        <w:spacing w:before="100" w:beforeAutospacing="1" w:after="100" w:afterAutospacing="1" w:line="240" w:lineRule="auto"/>
        <w:rPr>
          <w:color w:val="000000"/>
          <w:sz w:val="27"/>
          <w:szCs w:val="27"/>
          <w:rFonts w:ascii="Times New Roman" w:eastAsia="Times New Roman" w:hAnsi="Times New Roman" w:cs="Times New Roman"/>
        </w:rPr>
      </w:pP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Minister Pracy,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W imieniu Minister i z jego upoważnienia: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Dyrektor Generalny ds. Pracy,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Y. Struillou</w:t>
      </w:r>
    </w:p>
    <w:p w14:paraId="634689E8" w14:textId="77777777" w:rsidR="002D4E30" w:rsidRPr="002D4E30" w:rsidRDefault="002D4E30" w:rsidP="002D4E30">
      <w:pPr>
        <w:spacing w:before="100" w:beforeAutospacing="1" w:after="100" w:afterAutospacing="1" w:line="240" w:lineRule="auto"/>
        <w:rPr>
          <w:color w:val="000000"/>
          <w:sz w:val="27"/>
          <w:szCs w:val="27"/>
          <w:rFonts w:ascii="Times New Roman" w:eastAsia="Times New Roman" w:hAnsi="Times New Roman" w:cs="Times New Roman"/>
        </w:rPr>
      </w:pP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Minister Szkolnictwa Wyższego,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Badań i Innowacji,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W imieniu Minister i z jego upoważnienia: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Dyrektor Generalny ds. Szkolnictwa Wyższego i Integracji Zawodowej,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B. Plateau</w:t>
      </w:r>
    </w:p>
    <w:p w14:paraId="24257C13" w14:textId="77777777" w:rsidR="002D4E30" w:rsidRPr="002D4E30" w:rsidRDefault="002D4E30" w:rsidP="002D4E30">
      <w:pPr>
        <w:spacing w:before="100" w:beforeAutospacing="1" w:after="100" w:afterAutospacing="1" w:line="240" w:lineRule="auto"/>
        <w:rPr>
          <w:color w:val="000000"/>
          <w:sz w:val="27"/>
          <w:szCs w:val="27"/>
          <w:rFonts w:ascii="Times New Roman" w:eastAsia="Times New Roman" w:hAnsi="Times New Roman" w:cs="Times New Roman"/>
        </w:rPr>
      </w:pP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Minister Spójności Terytorialnej i Stosunków z Władzami Lokalnymi i Regionalnymi,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w imieniu Ministra i z jego upoważnienia: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Dyrektor ds. Mieszkalnictwa, Urbanistyki i Krajobrazu,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F. Adam</w:t>
      </w:r>
    </w:p>
    <w:p w14:paraId="4D15A2DE" w14:textId="77777777" w:rsidR="002D4E30" w:rsidRPr="002D4E30" w:rsidRDefault="002D4E30" w:rsidP="002D4E30">
      <w:pPr>
        <w:spacing w:before="100" w:beforeAutospacing="1" w:after="100" w:afterAutospacing="1" w:line="240" w:lineRule="auto"/>
        <w:rPr>
          <w:color w:val="000000"/>
          <w:sz w:val="27"/>
          <w:szCs w:val="27"/>
          <w:rFonts w:ascii="Times New Roman" w:eastAsia="Times New Roman" w:hAnsi="Times New Roman" w:cs="Times New Roman"/>
        </w:rPr>
      </w:pP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Minister Kultury,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w imieniu Ministra i z jego upoważnienia: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Dyrektor Generalny ds. Dziedzictwa,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P. Barbat</w:t>
      </w:r>
    </w:p>
    <w:p w14:paraId="521600CE" w14:textId="77777777" w:rsidR="00A44B5B" w:rsidRDefault="00A44B5B"/>
    <w:sectPr w:rsidR="00A44B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E30"/>
    <w:rsid w:val="002D4E30"/>
    <w:rsid w:val="007A46F7"/>
    <w:rsid w:val="00A4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3D9E2"/>
  <w15:chartTrackingRefBased/>
  <w15:docId w15:val="{BDDE6BE2-9B6C-44E7-AEA4-892EE1BE8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3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Dimitris Dimitriadis</cp:lastModifiedBy>
  <cp:revision>2</cp:revision>
  <dcterms:created xsi:type="dcterms:W3CDTF">2021-08-25T12:30:00Z</dcterms:created>
  <dcterms:modified xsi:type="dcterms:W3CDTF">2021-11-21T13:25:00Z</dcterms:modified>
</cp:coreProperties>
</file>