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E64E0" w14:textId="70350B55" w:rsidR="0094645D" w:rsidRDefault="0094645D">
      <w:pPr>
        <w:rPr>
          <w:rFonts w:ascii="Verdana" w:hAnsi="Verdana"/>
        </w:rPr>
      </w:pPr>
      <w:bookmarkStart w:id="0" w:name="_Hlk66377407"/>
    </w:p>
    <w:p w14:paraId="3E00B0EB" w14:textId="77777777" w:rsidR="00905D0B" w:rsidRPr="003F6B93" w:rsidRDefault="00905D0B">
      <w:pPr>
        <w:rPr>
          <w:rFonts w:ascii="Verdana" w:hAnsi="Verdana"/>
        </w:rPr>
      </w:pPr>
    </w:p>
    <w:p w14:paraId="73062A11" w14:textId="77777777" w:rsidR="007879A9" w:rsidRPr="003F6B93" w:rsidRDefault="007879A9">
      <w:pPr>
        <w:rPr>
          <w:rFonts w:ascii="Verdana" w:hAnsi="Verdana"/>
        </w:rPr>
      </w:pPr>
      <w:r>
        <w:rPr>
          <w:rFonts w:ascii="Verdana" w:hAnsi="Verdana"/>
        </w:rPr>
        <w:t>Præambel</w:t>
      </w:r>
    </w:p>
    <w:p w14:paraId="46759D2E" w14:textId="77777777" w:rsidR="00D77E05" w:rsidRDefault="00D77E05" w:rsidP="007C0F01">
      <w:pPr>
        <w:ind w:left="426"/>
        <w:jc w:val="both"/>
        <w:rPr>
          <w:rFonts w:ascii="Verdana" w:hAnsi="Verdana" w:cs="EU Albertina"/>
        </w:rPr>
      </w:pPr>
    </w:p>
    <w:p w14:paraId="291BCB5F" w14:textId="77777777" w:rsidR="00D77E05" w:rsidRDefault="00D77E05" w:rsidP="00036184">
      <w:pPr>
        <w:jc w:val="both"/>
        <w:rPr>
          <w:rFonts w:ascii="Verdana" w:hAnsi="Verdana" w:cs="EU Albertina"/>
        </w:rPr>
      </w:pPr>
      <w:r>
        <w:rPr>
          <w:rFonts w:ascii="Verdana" w:hAnsi="Verdana"/>
        </w:rPr>
        <w:t xml:space="preserve">For at afgøre, om visse fødevarebeholdere i forbindelse med dette lovdekret skal betragtes som engangsplastprodukter, spiller tendensen for, at de bliver til affald på grund af deres omfang eller størrelse, især med hensyn til individuel servering, en afgørende rolle. I denne opfølgning og for at harmonisere med de antagelser, der er gjort på det indre marked, tages der hensyn til overvejelserne i de retningslinjer og forordninger, som Europa-Kommissionen specifikt har udarbejdet om dette emne, jf. Europa-Parlamentets og Rådets direktiv (EU) 2019/904 af 5. juni 2019 om reduktion af visse produkters miljøpåvirkning. </w:t>
      </w:r>
    </w:p>
    <w:p w14:paraId="4344E981" w14:textId="77777777" w:rsidR="007C0F01" w:rsidRPr="007C0F01" w:rsidRDefault="007C0F01" w:rsidP="00036184">
      <w:pPr>
        <w:jc w:val="both"/>
        <w:rPr>
          <w:rFonts w:ascii="Verdana" w:hAnsi="Verdana" w:cs="EU Albertina"/>
        </w:rPr>
      </w:pPr>
      <w:r>
        <w:rPr>
          <w:rFonts w:ascii="Verdana" w:hAnsi="Verdana"/>
        </w:rPr>
        <w:t xml:space="preserve">Eksempler på fødevarebeholdere, der bør betragtes som engangsplastprodukter i forbindelse med dette lovdekret, er beholdere til fastfood eller æsker til måltider såsom sandwich, </w:t>
      </w:r>
      <w:r>
        <w:rPr>
          <w:rFonts w:ascii="Verdana" w:hAnsi="Verdana"/>
          <w:i/>
        </w:rPr>
        <w:t>wraps</w:t>
      </w:r>
      <w:r>
        <w:rPr>
          <w:rFonts w:ascii="Verdana" w:hAnsi="Verdana"/>
        </w:rPr>
        <w:t xml:space="preserve"> og salater, der indeholder varme eller kolde fødevarer, og beholdere til friske eller forarbejdede fødevarer, der ikke kræver yderligere tilberedning, såsom frugt, grøntsager eller desserter. Eksempler på fødevarebeholdere, der ikke bør betragtes som engangsplastprodukter i forbindelse med dette direktiv, er fødevarebeholdere, der sælges med tørre eller kolde fødevarer, og som kræver flere tilberedninger, beholdere, der indeholder mere end én enkelt servering af fødevarer og fødevarebeholdere, der er dimensioneret til en individuel servering og sælges i mere end én enhed.</w:t>
      </w:r>
    </w:p>
    <w:p w14:paraId="061F5D98" w14:textId="77777777" w:rsidR="007C0F01" w:rsidRDefault="007C0F01" w:rsidP="00036184">
      <w:pPr>
        <w:jc w:val="both"/>
        <w:rPr>
          <w:rFonts w:ascii="Verdana" w:hAnsi="Verdana" w:cs="EU Albertina"/>
        </w:rPr>
      </w:pPr>
      <w:r>
        <w:rPr>
          <w:rFonts w:ascii="Verdana" w:hAnsi="Verdana"/>
        </w:rPr>
        <w:t>Eksempler på beholdere til drikkevarer, der bør betragtes som engangsprodukter af plast, er flasker til drikkevarer eller emballage til sammensatte drikkevarer, der anvendes til øl, vin, vand, flydende forfriskninger, safter og nektarer, instant drinks eller mælk, men ikke kopper til drikkevarer, da disse er en særskilt kategori af engangsplastprodukter i forbindelse med dette dekret.</w:t>
      </w:r>
    </w:p>
    <w:p w14:paraId="711CCE6E" w14:textId="77777777" w:rsidR="00036184" w:rsidRPr="00036184" w:rsidRDefault="00036184" w:rsidP="00036184">
      <w:pPr>
        <w:jc w:val="both"/>
        <w:rPr>
          <w:rFonts w:ascii="Verdana" w:hAnsi="Verdana"/>
        </w:rPr>
      </w:pPr>
      <w:r>
        <w:rPr>
          <w:rFonts w:ascii="Verdana" w:hAnsi="Verdana"/>
        </w:rPr>
        <w:t>Dette lovdekret indeholder foranstaltninger til forebyggelse og reduktion af visse plastprodukters og oxo-nedbrydelige plastprodukters indvirkning på miljøet, navnlig vandmiljøet og menneskers sundhed, samt fremme af overgangen til en cirkulær økonomi med innovative og bæredygtige forretningsmodeller, produkter og materialer, hvilket også bidrager til, at det indre marked kan fungere effektivt.</w:t>
      </w:r>
    </w:p>
    <w:p w14:paraId="79283FBA" w14:textId="76F47710" w:rsidR="00036184" w:rsidRDefault="00036184" w:rsidP="00036184">
      <w:pPr>
        <w:jc w:val="both"/>
        <w:rPr>
          <w:rFonts w:ascii="Verdana" w:hAnsi="Verdana"/>
        </w:rPr>
      </w:pPr>
      <w:r>
        <w:rPr>
          <w:rFonts w:ascii="Verdana" w:hAnsi="Verdana"/>
        </w:rPr>
        <w:lastRenderedPageBreak/>
        <w:t>Den fremmer også cirkulære tilgange, der prioriterer genanvendelige produkter og bæredygtige og ikke-toksiske genbrugssystemer frem for engangsprodukter, primært med henblik på at reducere mængden af produceret affald.</w:t>
      </w:r>
    </w:p>
    <w:p w14:paraId="2F500026" w14:textId="4E799E84" w:rsidR="00805BAF" w:rsidRPr="00036184" w:rsidRDefault="005D508B" w:rsidP="00036184">
      <w:pPr>
        <w:jc w:val="both"/>
        <w:rPr>
          <w:rFonts w:ascii="Verdana" w:hAnsi="Verdana"/>
        </w:rPr>
      </w:pPr>
      <w:r>
        <w:rPr>
          <w:rFonts w:ascii="Verdana" w:hAnsi="Verdana"/>
        </w:rPr>
        <w:t>Nærværende lovdekret blev underlagt informationsproceduren med hensyn til tekniske forskrifter samt forskrifter for informationssamfundets tjenester som fastsat i Europa-Parlamentets og Rådets direktiv (EU) nr. 2015/1535 af 9. september 2015.</w:t>
      </w:r>
    </w:p>
    <w:p w14:paraId="31EF75EF" w14:textId="77777777" w:rsidR="003B7AD3" w:rsidRPr="00953C37" w:rsidRDefault="003B7AD3" w:rsidP="003B7AD3">
      <w:pPr>
        <w:jc w:val="both"/>
        <w:rPr>
          <w:rFonts w:ascii="Verdana" w:hAnsi="Verdana"/>
        </w:rPr>
      </w:pPr>
      <w:r>
        <w:rPr>
          <w:rFonts w:ascii="Verdana" w:hAnsi="Verdana"/>
        </w:rPr>
        <w:t>Dette lovdekret har været genstand for offentlig høring mellem xxx og xxx og er underlagt den informationsprocedure vedrørende tekniske forskrifter og forskrifter om informationssamfundets tjenester, der er fastsat i Europa-Parlamentets og Rådets direktiv (EU) 2015/1535 af 9. september 2015.</w:t>
      </w:r>
    </w:p>
    <w:p w14:paraId="708F4727" w14:textId="0CEE0C54" w:rsidR="003B7AD3" w:rsidRPr="0030214C" w:rsidRDefault="003B7AD3" w:rsidP="003B7AD3">
      <w:pPr>
        <w:jc w:val="both"/>
        <w:rPr>
          <w:rFonts w:ascii="Verdana" w:hAnsi="Verdana"/>
        </w:rPr>
      </w:pPr>
      <w:r>
        <w:rPr>
          <w:rFonts w:ascii="Verdana" w:hAnsi="Verdana"/>
        </w:rPr>
        <w:t>De selvstyrende organer i de selvstyrende regioner er blevet hørt.</w:t>
      </w:r>
    </w:p>
    <w:p w14:paraId="4FAC9822" w14:textId="77777777" w:rsidR="003B7AD3" w:rsidRDefault="003B7AD3" w:rsidP="003B7AD3">
      <w:pPr>
        <w:jc w:val="both"/>
        <w:rPr>
          <w:rFonts w:ascii="Verdana" w:hAnsi="Verdana"/>
        </w:rPr>
      </w:pPr>
    </w:p>
    <w:p w14:paraId="6C6BB1FC" w14:textId="77777777" w:rsidR="00AA1E2E" w:rsidRPr="003B7AD3" w:rsidRDefault="00AA1E2E" w:rsidP="003B7AD3">
      <w:pPr>
        <w:jc w:val="both"/>
        <w:rPr>
          <w:rFonts w:ascii="Verdana" w:hAnsi="Verdana"/>
        </w:rPr>
      </w:pPr>
    </w:p>
    <w:p w14:paraId="4F6C7BF1" w14:textId="09BB8627" w:rsidR="00A172F1" w:rsidRPr="00C63B34" w:rsidRDefault="00975B2D" w:rsidP="00203CD4">
      <w:pPr>
        <w:pStyle w:val="Heading1"/>
        <w:ind w:firstLine="900"/>
      </w:pPr>
      <w:r>
        <w:br/>
        <w:t>Almindelige bestemmelser og principper</w:t>
      </w:r>
    </w:p>
    <w:p w14:paraId="7BDDF5B7" w14:textId="0ADC805D" w:rsidR="00A172F1" w:rsidRPr="00C63B34" w:rsidRDefault="009870C4" w:rsidP="009870C4">
      <w:pPr>
        <w:pStyle w:val="Heading2"/>
        <w:numPr>
          <w:ilvl w:val="0"/>
          <w:numId w:val="0"/>
        </w:numPr>
        <w:tabs>
          <w:tab w:val="clear" w:pos="1701"/>
          <w:tab w:val="left" w:pos="180"/>
        </w:tabs>
        <w:ind w:left="426"/>
      </w:pPr>
      <w:r>
        <w:t>Artikel 1</w:t>
      </w:r>
      <w:r>
        <w:br/>
        <w:t>Emne</w:t>
      </w:r>
    </w:p>
    <w:p w14:paraId="1B889421" w14:textId="77777777" w:rsidR="00036184" w:rsidRPr="00036184" w:rsidRDefault="00036184" w:rsidP="007E04D1">
      <w:pPr>
        <w:jc w:val="both"/>
        <w:rPr>
          <w:rFonts w:ascii="Verdana" w:hAnsi="Verdana"/>
        </w:rPr>
      </w:pPr>
    </w:p>
    <w:p w14:paraId="6C49FEDE" w14:textId="77777777" w:rsidR="00BC18BB" w:rsidRDefault="002F5931" w:rsidP="00C525D6">
      <w:pPr>
        <w:pStyle w:val="ListParagraph"/>
        <w:numPr>
          <w:ilvl w:val="0"/>
          <w:numId w:val="11"/>
        </w:numPr>
        <w:jc w:val="both"/>
        <w:rPr>
          <w:rFonts w:ascii="Verdana" w:hAnsi="Verdana"/>
        </w:rPr>
      </w:pPr>
      <w:r>
        <w:rPr>
          <w:rFonts w:ascii="Verdana" w:hAnsi="Verdana"/>
        </w:rPr>
        <w:t>Dette lovdekret gennemfører Europa-Parlamentets og Rådets direktiv (EU) 2019/904 af 5. juni 2019 om begrænsning af visse plastprodukters miljøpåvirkning i national ret.</w:t>
      </w:r>
    </w:p>
    <w:p w14:paraId="371AD20F" w14:textId="01DADD23" w:rsidR="00AA1E2E" w:rsidRPr="00BC18BB" w:rsidRDefault="009E5334" w:rsidP="00C525D6">
      <w:pPr>
        <w:pStyle w:val="ListParagraph"/>
        <w:numPr>
          <w:ilvl w:val="0"/>
          <w:numId w:val="11"/>
        </w:numPr>
        <w:jc w:val="both"/>
        <w:rPr>
          <w:rFonts w:ascii="Verdana" w:hAnsi="Verdana"/>
        </w:rPr>
      </w:pPr>
      <w:r>
        <w:rPr>
          <w:rFonts w:ascii="Verdana" w:hAnsi="Verdana"/>
        </w:rPr>
        <w:t>Dette udkast til lovdekret er også den første ændring af lov nr. 77/2019 af 2. september, som fastsætter forpligtelsen til at stille alternativer til rådighed for forbrugerne til distribution af ultralette plastposer og plastkuvetter på salgsstederne for brød, frugt og grøntsager.</w:t>
      </w:r>
    </w:p>
    <w:p w14:paraId="392CD894" w14:textId="77777777" w:rsidR="00A756A5" w:rsidRPr="00A756A5" w:rsidRDefault="00A756A5" w:rsidP="00A756A5">
      <w:pPr>
        <w:pStyle w:val="ListParagraph"/>
        <w:jc w:val="both"/>
        <w:rPr>
          <w:rFonts w:ascii="Verdana" w:hAnsi="Verdana"/>
        </w:rPr>
      </w:pPr>
    </w:p>
    <w:p w14:paraId="76115829" w14:textId="55137B83" w:rsidR="007879A9" w:rsidRPr="00C63B34" w:rsidRDefault="004D1142" w:rsidP="009870C4">
      <w:pPr>
        <w:pStyle w:val="Heading2"/>
        <w:numPr>
          <w:ilvl w:val="0"/>
          <w:numId w:val="0"/>
        </w:numPr>
        <w:tabs>
          <w:tab w:val="clear" w:pos="1701"/>
          <w:tab w:val="left" w:pos="1276"/>
        </w:tabs>
        <w:ind w:left="426"/>
      </w:pPr>
      <w:r>
        <w:t>Artikel 2</w:t>
      </w:r>
      <w:r>
        <w:br/>
      </w:r>
      <w:bookmarkStart w:id="1" w:name="_Ref66177877"/>
      <w:r>
        <w:t>Anvendelsesområde</w:t>
      </w:r>
      <w:bookmarkEnd w:id="1"/>
    </w:p>
    <w:p w14:paraId="640E56C9" w14:textId="77777777" w:rsidR="00036184" w:rsidRPr="00036184" w:rsidRDefault="00036184" w:rsidP="00036184">
      <w:pPr>
        <w:rPr>
          <w:rFonts w:ascii="Verdana" w:hAnsi="Verdana"/>
        </w:rPr>
      </w:pPr>
    </w:p>
    <w:p w14:paraId="31FE437E" w14:textId="3B1BD210" w:rsidR="008716CA" w:rsidRDefault="00A172F1" w:rsidP="00C525D6">
      <w:pPr>
        <w:pStyle w:val="ListParagraph"/>
        <w:numPr>
          <w:ilvl w:val="0"/>
          <w:numId w:val="18"/>
        </w:numPr>
        <w:jc w:val="both"/>
        <w:rPr>
          <w:rFonts w:ascii="Verdana" w:hAnsi="Verdana"/>
        </w:rPr>
      </w:pPr>
      <w:r>
        <w:lastRenderedPageBreak/>
        <w:t>Denne forordning finder anvendelse på plastprodukter til engangsbrug, der er opført i bilag I, produkter af oxo-nedbrydeligt plast og fiskeredskaber indeholdende plast.</w:t>
      </w:r>
    </w:p>
    <w:p w14:paraId="3AC71414" w14:textId="31EFFBEF" w:rsidR="008716CA" w:rsidRDefault="008716CA" w:rsidP="00C525D6">
      <w:pPr>
        <w:pStyle w:val="ListParagraph"/>
        <w:numPr>
          <w:ilvl w:val="0"/>
          <w:numId w:val="18"/>
        </w:numPr>
        <w:jc w:val="both"/>
        <w:rPr>
          <w:rFonts w:ascii="Verdana" w:hAnsi="Verdana"/>
        </w:rPr>
      </w:pPr>
      <w:r>
        <w:rPr>
          <w:rFonts w:ascii="Verdana" w:hAnsi="Verdana"/>
        </w:rPr>
        <w:t>For at harmonisere anvendelsen af denne lovgivning på EU-markedet og præcisere anvendelsesområdet i foregående afsnit er reglerne i retningslinjen om gennemførelse af Europa-Parlamentets og Rådets direktiv (EU) 2019/904 af 5. juni 2019 offentliggjort af Europa-Kommissionen og gjort tilgængelige på APAs websted, I.P, blevet fulgt.</w:t>
      </w:r>
    </w:p>
    <w:p w14:paraId="5EA0CD13" w14:textId="5455FE8B" w:rsidR="008A5EE0" w:rsidRPr="008716CA" w:rsidRDefault="008A5EE0" w:rsidP="00C525D6">
      <w:pPr>
        <w:pStyle w:val="ListParagraph"/>
        <w:numPr>
          <w:ilvl w:val="0"/>
          <w:numId w:val="18"/>
        </w:numPr>
        <w:jc w:val="both"/>
        <w:rPr>
          <w:rFonts w:ascii="Verdana" w:hAnsi="Verdana"/>
        </w:rPr>
      </w:pPr>
      <w:r>
        <w:t xml:space="preserve">Denne forordning finder også anvendelse på </w:t>
      </w:r>
      <w:bookmarkStart w:id="2" w:name="_Hlk66395090"/>
      <w:r>
        <w:t>engangsemballage fremstillet af materialer af enhver art.</w:t>
      </w:r>
      <w:r>
        <w:rPr>
          <w:rFonts w:ascii="Verdana" w:hAnsi="Verdana"/>
        </w:rPr>
        <w:t xml:space="preserve"> </w:t>
      </w:r>
    </w:p>
    <w:bookmarkEnd w:id="2"/>
    <w:p w14:paraId="6F41DA9F" w14:textId="059CEE77" w:rsidR="007879A9" w:rsidRPr="003F6B93" w:rsidRDefault="00B46206" w:rsidP="00C525D6">
      <w:pPr>
        <w:pStyle w:val="ListParagraph"/>
        <w:numPr>
          <w:ilvl w:val="0"/>
          <w:numId w:val="18"/>
        </w:numPr>
        <w:jc w:val="both"/>
        <w:rPr>
          <w:rFonts w:ascii="Verdana" w:hAnsi="Verdana"/>
        </w:rPr>
      </w:pPr>
      <w:r>
        <w:t xml:space="preserve">I tilfælde af konflikt mellem dette lovdekret og lovdekret nr. 152-D/2017 af 11. december, som ændret og genudgivet ved </w:t>
      </w:r>
      <w:bookmarkStart w:id="3" w:name="_Hlk65346660"/>
      <w:r>
        <w:t>lovdekret nr. 102-D/2020 af 10. december</w:t>
      </w:r>
      <w:bookmarkEnd w:id="3"/>
      <w:r>
        <w:t xml:space="preserve"> om indførelse af et system til forvaltning af bestemte affaldsstrømme (Unilex) og/eller det generelle system for affaldshåndtering (GSWM), der er godkendt ved bilag I til lovdekret nr. 102-D/2020 af 10. december, gælder dette dekret.</w:t>
      </w:r>
    </w:p>
    <w:p w14:paraId="4C6CF3E8" w14:textId="77777777" w:rsidR="00A172F1" w:rsidRPr="00A27EAE" w:rsidRDefault="00A172F1" w:rsidP="00A27EAE">
      <w:pPr>
        <w:pStyle w:val="ListParagraph"/>
        <w:shd w:val="clear" w:color="auto" w:fill="FFFFFF"/>
        <w:tabs>
          <w:tab w:val="left" w:pos="1134"/>
        </w:tabs>
        <w:spacing w:after="225" w:line="390" w:lineRule="atLeast"/>
        <w:ind w:left="284"/>
        <w:rPr>
          <w:rFonts w:ascii="Verdana" w:hAnsi="Verdana"/>
          <w:b/>
        </w:rPr>
      </w:pPr>
    </w:p>
    <w:p w14:paraId="57CBE0EB" w14:textId="0482498E" w:rsidR="00836720" w:rsidRPr="00C63B34" w:rsidRDefault="009870C4" w:rsidP="009870C4">
      <w:pPr>
        <w:pStyle w:val="Heading2"/>
        <w:numPr>
          <w:ilvl w:val="0"/>
          <w:numId w:val="0"/>
        </w:numPr>
        <w:tabs>
          <w:tab w:val="clear" w:pos="1701"/>
          <w:tab w:val="left" w:pos="1276"/>
        </w:tabs>
        <w:ind w:left="4050"/>
        <w:jc w:val="left"/>
      </w:pPr>
      <w:r>
        <w:t>Artikel 3</w:t>
      </w:r>
      <w:r>
        <w:br/>
        <w:t>Definitioner</w:t>
      </w:r>
    </w:p>
    <w:p w14:paraId="4736A397" w14:textId="77777777" w:rsidR="00A27EAE" w:rsidRDefault="00A27EAE" w:rsidP="007E04D1">
      <w:pPr>
        <w:jc w:val="both"/>
        <w:rPr>
          <w:rFonts w:ascii="Verdana" w:hAnsi="Verdana"/>
        </w:rPr>
      </w:pPr>
    </w:p>
    <w:p w14:paraId="11A02850" w14:textId="3CB0841A" w:rsidR="008A723D" w:rsidRPr="003F6B93" w:rsidRDefault="008A723D" w:rsidP="00C525D6">
      <w:pPr>
        <w:pStyle w:val="ListParagraph"/>
        <w:numPr>
          <w:ilvl w:val="0"/>
          <w:numId w:val="17"/>
        </w:numPr>
        <w:jc w:val="both"/>
        <w:rPr>
          <w:rFonts w:ascii="Verdana" w:hAnsi="Verdana"/>
        </w:rPr>
      </w:pPr>
      <w:r>
        <w:rPr>
          <w:rFonts w:ascii="Verdana" w:hAnsi="Verdana"/>
        </w:rPr>
        <w:t xml:space="preserve">I forbindelse med dette lovdekret gælder følgende definitioner: </w:t>
      </w:r>
    </w:p>
    <w:p w14:paraId="0D9166E3" w14:textId="50D2FAF7" w:rsidR="008A723D" w:rsidRDefault="008A723D" w:rsidP="00F7675E">
      <w:pPr>
        <w:pStyle w:val="ListParagraph"/>
        <w:numPr>
          <w:ilvl w:val="0"/>
          <w:numId w:val="1"/>
        </w:numPr>
        <w:jc w:val="both"/>
        <w:rPr>
          <w:rFonts w:ascii="Verdana" w:hAnsi="Verdana"/>
        </w:rPr>
      </w:pPr>
      <w:r>
        <w:rPr>
          <w:rFonts w:ascii="Verdana" w:hAnsi="Verdana"/>
        </w:rPr>
        <w:t xml:space="preserve">”fiskeredskaber”: enhver genstand eller udstyr, der anvendes i fiskeri eller akvakultur til at målrette, fange eller opdrætte marinebiologiske ressourcer, eller som flyder på havoverfladen, og som anvendes med henblik på at tiltrække og fange eller opdrætte sådanne marine biologiske ressourcer; </w:t>
      </w:r>
    </w:p>
    <w:p w14:paraId="48F2B6B0" w14:textId="7290CA2C" w:rsidR="006336DE" w:rsidRDefault="006336DE" w:rsidP="00F7675E">
      <w:pPr>
        <w:pStyle w:val="ListParagraph"/>
        <w:numPr>
          <w:ilvl w:val="0"/>
          <w:numId w:val="1"/>
        </w:numPr>
        <w:jc w:val="both"/>
        <w:rPr>
          <w:rFonts w:ascii="Verdana" w:hAnsi="Verdana"/>
        </w:rPr>
      </w:pPr>
      <w:r>
        <w:rPr>
          <w:rFonts w:ascii="Verdana" w:hAnsi="Verdana"/>
        </w:rPr>
        <w:t>”detailhandelsaktivitet”: enhver videresalgsaktivitet til en endelig forbruger, herunder erhvervsudøvere og institutioner, af nye eller brugte varer, efterhånden som de erhverves, eller efter at have gennemført visse detailrelaterede foranstaltninger, f.eks. udvælgelse, klassificering eller emballering i eller uden for handelsvirksomheder, på messer, kommunale markeder, omrejsende handel, på afstand, i hjemmet og gennem salgsautomater;</w:t>
      </w:r>
    </w:p>
    <w:p w14:paraId="37A90115" w14:textId="154AA067" w:rsidR="006336DE" w:rsidRPr="00E0517F" w:rsidRDefault="006336DE" w:rsidP="00F7675E">
      <w:pPr>
        <w:pStyle w:val="ListParagraph"/>
        <w:numPr>
          <w:ilvl w:val="0"/>
          <w:numId w:val="1"/>
        </w:numPr>
        <w:jc w:val="both"/>
        <w:rPr>
          <w:rFonts w:ascii="Verdana" w:hAnsi="Verdana"/>
        </w:rPr>
      </w:pPr>
      <w:r>
        <w:rPr>
          <w:rFonts w:ascii="Verdana" w:hAnsi="Verdana"/>
        </w:rPr>
        <w:t xml:space="preserve">”ikke-siddende restaurant eller aktiviteter af servering af drikkevarer”: levering af restaurationstjenester eller drikkevarer af sporadisk karakter, der er behørigt annonceret for offentligheden, uanset om de leveres i faste faciliteter eller transportable faciliteter, </w:t>
      </w:r>
      <w:r>
        <w:rPr>
          <w:rFonts w:ascii="Verdana" w:hAnsi="Verdana"/>
        </w:rPr>
        <w:lastRenderedPageBreak/>
        <w:t>der er placeret på steder, hvor der kan afholdes forestillinger, messer, udstillinger eller andre steder;</w:t>
      </w:r>
    </w:p>
    <w:p w14:paraId="614A6421" w14:textId="74BD997C" w:rsidR="006336DE" w:rsidRPr="00E0517F" w:rsidRDefault="006336DE" w:rsidP="00F7675E">
      <w:pPr>
        <w:pStyle w:val="ListParagraph"/>
        <w:numPr>
          <w:ilvl w:val="0"/>
          <w:numId w:val="1"/>
        </w:numPr>
        <w:jc w:val="both"/>
        <w:rPr>
          <w:rFonts w:ascii="Verdana" w:hAnsi="Verdana"/>
        </w:rPr>
      </w:pPr>
      <w:r>
        <w:rPr>
          <w:rFonts w:ascii="Verdana" w:hAnsi="Verdana"/>
        </w:rPr>
        <w:t xml:space="preserve">”catering- eller drikkevarevirksomhed”: virksomheder, hvis aktiviteter er bestemt til at levere fødevarer eller drikkevarer og cafétjenester i eller uden for selve virksomheden, uanset navnet; </w:t>
      </w:r>
    </w:p>
    <w:p w14:paraId="66433F7D" w14:textId="17EDCD7E" w:rsidR="00B46206" w:rsidRPr="00FD46D9" w:rsidRDefault="00036184" w:rsidP="00F7675E">
      <w:pPr>
        <w:pStyle w:val="ListParagraph"/>
        <w:numPr>
          <w:ilvl w:val="0"/>
          <w:numId w:val="1"/>
        </w:numPr>
        <w:jc w:val="both"/>
        <w:rPr>
          <w:rFonts w:ascii="Verdana" w:hAnsi="Verdana"/>
        </w:rPr>
      </w:pPr>
      <w:r>
        <w:rPr>
          <w:rFonts w:ascii="Verdana" w:hAnsi="Verdana"/>
        </w:rPr>
        <w:t>”markedsføring”: første tilgængeliggørelse af et produkt på hjemmemarkedet som erhvervsmæssig virksomhed;</w:t>
      </w:r>
    </w:p>
    <w:p w14:paraId="7D04A45F" w14:textId="3D4E5D72" w:rsidR="00EC283C" w:rsidRDefault="00EC283C" w:rsidP="00F7675E">
      <w:pPr>
        <w:pStyle w:val="ListParagraph"/>
        <w:numPr>
          <w:ilvl w:val="0"/>
          <w:numId w:val="1"/>
        </w:numPr>
        <w:jc w:val="both"/>
        <w:rPr>
          <w:rFonts w:ascii="Verdana" w:hAnsi="Verdana"/>
        </w:rPr>
      </w:pPr>
      <w:r>
        <w:rPr>
          <w:rFonts w:ascii="Verdana" w:hAnsi="Verdana"/>
        </w:rPr>
        <w:t>”gøre tilgængelig på markedet”: enhver levering af et produkt med henblik på distribution, forbrug eller anvendelse på Portugals marked som led i erhvervsvirksomhed mod eller uden vederlag;</w:t>
      </w:r>
    </w:p>
    <w:p w14:paraId="3CE3DCF0" w14:textId="77777777" w:rsidR="00BC18BB" w:rsidRDefault="00285B71" w:rsidP="00F7675E">
      <w:pPr>
        <w:pStyle w:val="ListParagraph"/>
        <w:numPr>
          <w:ilvl w:val="0"/>
          <w:numId w:val="1"/>
        </w:numPr>
        <w:jc w:val="both"/>
        <w:rPr>
          <w:rFonts w:ascii="Verdana" w:hAnsi="Verdana"/>
        </w:rPr>
      </w:pPr>
      <w:r>
        <w:rPr>
          <w:rFonts w:ascii="Verdana" w:hAnsi="Verdana"/>
        </w:rPr>
        <w:t xml:space="preserve">”packer”: en pakker som defineret i artikel 3, stk. 1, litra q), i Unilex; </w:t>
      </w:r>
    </w:p>
    <w:p w14:paraId="75FA7E25" w14:textId="77777777" w:rsidR="00BC18BB" w:rsidRDefault="003307FF" w:rsidP="00F7675E">
      <w:pPr>
        <w:pStyle w:val="ListParagraph"/>
        <w:numPr>
          <w:ilvl w:val="0"/>
          <w:numId w:val="1"/>
        </w:numPr>
        <w:jc w:val="both"/>
        <w:rPr>
          <w:rFonts w:ascii="Verdana" w:hAnsi="Verdana"/>
        </w:rPr>
      </w:pPr>
      <w:r>
        <w:rPr>
          <w:rFonts w:ascii="Verdana" w:hAnsi="Verdana"/>
        </w:rPr>
        <w:t xml:space="preserve">”emballage”: emballage som defineret i artikel 3, stk. 1, litra r), i Unilex; </w:t>
      </w:r>
    </w:p>
    <w:p w14:paraId="06F4B8DA" w14:textId="100831E2" w:rsidR="0091273F" w:rsidRPr="00BC18BB" w:rsidRDefault="0091273F" w:rsidP="00F7675E">
      <w:pPr>
        <w:pStyle w:val="ListParagraph"/>
        <w:numPr>
          <w:ilvl w:val="0"/>
          <w:numId w:val="1"/>
        </w:numPr>
        <w:jc w:val="both"/>
        <w:rPr>
          <w:rFonts w:ascii="Verdana" w:hAnsi="Verdana"/>
        </w:rPr>
      </w:pPr>
      <w:r>
        <w:rPr>
          <w:rFonts w:ascii="Verdana" w:hAnsi="Verdana"/>
        </w:rPr>
        <w:t xml:space="preserve">”engangsemballage”: ikke-genanvendelig emballage eller engangsemballage som defineret i artikel 3, stk. 1, litra u), Unilex; </w:t>
      </w:r>
    </w:p>
    <w:p w14:paraId="6165F5F7" w14:textId="6B369E32" w:rsidR="000F077F" w:rsidRDefault="000F077F" w:rsidP="00F7675E">
      <w:pPr>
        <w:pStyle w:val="ListParagraph"/>
        <w:numPr>
          <w:ilvl w:val="0"/>
          <w:numId w:val="1"/>
        </w:numPr>
        <w:jc w:val="both"/>
        <w:rPr>
          <w:rFonts w:ascii="Verdana" w:hAnsi="Verdana"/>
        </w:rPr>
      </w:pPr>
      <w:r>
        <w:rPr>
          <w:rFonts w:ascii="Verdana" w:hAnsi="Verdana"/>
        </w:rPr>
        <w:t xml:space="preserve">”genanvendelig emballage”: emballage som defineret i artikel 3, stk. 1, litra v), i Unilex; </w:t>
      </w:r>
    </w:p>
    <w:p w14:paraId="0A6FE340" w14:textId="6089B47D" w:rsidR="00C73230" w:rsidRDefault="00C73230" w:rsidP="00F7675E">
      <w:pPr>
        <w:pStyle w:val="ListParagraph"/>
        <w:numPr>
          <w:ilvl w:val="0"/>
          <w:numId w:val="1"/>
        </w:numPr>
        <w:jc w:val="both"/>
        <w:rPr>
          <w:rFonts w:ascii="Verdana" w:hAnsi="Verdana"/>
        </w:rPr>
      </w:pPr>
      <w:r>
        <w:rPr>
          <w:rFonts w:ascii="Verdana" w:hAnsi="Verdana"/>
        </w:rPr>
        <w:t>”genanvendeligt bordservice”: redskaber eller emballager, der anvendes til at servere og/eller bistå ved indtagelse af fødevarer eller drikkevarer, som er blevet udtænkt, konstrueret og markedsført med henblik på at udføre flere ture eller rotationer i deres levetid ved at blive genopfyldt eller genbrugt til samme formål, som de blev fremstillet til;</w:t>
      </w:r>
    </w:p>
    <w:p w14:paraId="5A147C8B" w14:textId="62F6B98B" w:rsidR="003307FF" w:rsidRPr="003F6B93" w:rsidRDefault="003307FF" w:rsidP="00F7675E">
      <w:pPr>
        <w:pStyle w:val="ListParagraph"/>
        <w:numPr>
          <w:ilvl w:val="0"/>
          <w:numId w:val="1"/>
        </w:numPr>
        <w:jc w:val="both"/>
        <w:rPr>
          <w:rFonts w:ascii="Verdana" w:hAnsi="Verdana"/>
        </w:rPr>
      </w:pPr>
      <w:r>
        <w:rPr>
          <w:rFonts w:ascii="Verdana" w:hAnsi="Verdana"/>
        </w:rPr>
        <w:t>”modtagelsesfaciliteter i havne” havnemodtagelsesfaciliteter som defineret i artikel 3, stk. 1, litra m), i lovdekret nr. 102/2020 af 9. december;</w:t>
      </w:r>
    </w:p>
    <w:p w14:paraId="420091DC" w14:textId="1E1FA71C" w:rsidR="00EC283C" w:rsidRDefault="00EC283C" w:rsidP="00F7675E">
      <w:pPr>
        <w:pStyle w:val="ListParagraph"/>
        <w:numPr>
          <w:ilvl w:val="0"/>
          <w:numId w:val="1"/>
        </w:numPr>
        <w:jc w:val="both"/>
        <w:rPr>
          <w:rFonts w:ascii="Verdana" w:hAnsi="Verdana"/>
        </w:rPr>
      </w:pPr>
      <w:r>
        <w:rPr>
          <w:rFonts w:ascii="Verdana" w:hAnsi="Verdana"/>
        </w:rPr>
        <w:t xml:space="preserve">”harmoniseret standard” en harmoniseret standard som defineret i artikel 2, stk. 1, litra c), i forordning (EU) nr. 1025/2012; </w:t>
      </w:r>
    </w:p>
    <w:p w14:paraId="3F5AA973" w14:textId="61A5681F" w:rsidR="00C73230" w:rsidRPr="00E0517F" w:rsidRDefault="00C73230" w:rsidP="00F7675E">
      <w:pPr>
        <w:pStyle w:val="ListParagraph"/>
        <w:numPr>
          <w:ilvl w:val="0"/>
          <w:numId w:val="1"/>
        </w:numPr>
        <w:jc w:val="both"/>
        <w:rPr>
          <w:rFonts w:ascii="Verdana" w:hAnsi="Verdana"/>
          <w:i/>
        </w:rPr>
      </w:pPr>
      <w:r>
        <w:rPr>
          <w:rFonts w:ascii="Verdana" w:hAnsi="Verdana"/>
        </w:rPr>
        <w:t>”andre catering- eller drikkevarevirksomheder”: steder, hvor catering- eller drikkevarer udføres gennem catering, banketter eller andre tjenester, forudsat at de udføres regelmæssigt, forstået som mindst 10 arrangementer om året i sådanne rum;</w:t>
      </w:r>
    </w:p>
    <w:p w14:paraId="197CE626" w14:textId="01DEE9CD" w:rsidR="008A723D" w:rsidRPr="003F6B93" w:rsidRDefault="008A723D" w:rsidP="00F7675E">
      <w:pPr>
        <w:pStyle w:val="ListParagraph"/>
        <w:numPr>
          <w:ilvl w:val="0"/>
          <w:numId w:val="1"/>
        </w:numPr>
        <w:jc w:val="both"/>
        <w:rPr>
          <w:rFonts w:ascii="Verdana" w:hAnsi="Verdana"/>
        </w:rPr>
      </w:pPr>
      <w:r>
        <w:rPr>
          <w:rFonts w:ascii="Verdana" w:hAnsi="Verdana"/>
        </w:rPr>
        <w:t xml:space="preserve">”plastik” består af et materiale bestående af polymer, som defineret i artikel 3, stk. 5, i forordning (EF) nr. 1907/2006, til hvilket der kan være tilsat tilsætningsstoffer eller andre stoffer, og som kan fungere som en primær strukturel komponent i slutprodukter med undtagelse af naturlige polymerer, der ikke er blevet kemisk modificeret; </w:t>
      </w:r>
    </w:p>
    <w:p w14:paraId="55AF46E6" w14:textId="50FF4EB6" w:rsidR="003307FF" w:rsidRPr="003F6B93" w:rsidRDefault="003307FF" w:rsidP="00F7675E">
      <w:pPr>
        <w:pStyle w:val="ListParagraph"/>
        <w:numPr>
          <w:ilvl w:val="0"/>
          <w:numId w:val="1"/>
        </w:numPr>
        <w:jc w:val="both"/>
        <w:rPr>
          <w:rFonts w:ascii="Verdana" w:hAnsi="Verdana"/>
        </w:rPr>
      </w:pPr>
      <w:r>
        <w:rPr>
          <w:rFonts w:ascii="Verdana" w:hAnsi="Verdana"/>
        </w:rPr>
        <w:lastRenderedPageBreak/>
        <w:t>”bionedbrydelig plast”: plast, der kan undergå fysisk og biologisk nedbrydning, således at det i sidste ende nedbrydes til kuldioxid (CO</w:t>
      </w:r>
      <w:r>
        <w:rPr>
          <w:rFonts w:ascii="Verdana" w:hAnsi="Verdana"/>
          <w:vertAlign w:val="subscript"/>
        </w:rPr>
        <w:t>2</w:t>
      </w:r>
      <w:r>
        <w:rPr>
          <w:rFonts w:ascii="Verdana" w:hAnsi="Verdana"/>
        </w:rPr>
        <w:t>), biomasse og vand og i overensstemmelse med europæiske standarder for emballage kan genvindes ved kompostering og anaerob fordøjelse;</w:t>
      </w:r>
    </w:p>
    <w:p w14:paraId="243D3CF3" w14:textId="064E6342" w:rsidR="008A723D" w:rsidRPr="003F6B93" w:rsidRDefault="008A723D" w:rsidP="00F7675E">
      <w:pPr>
        <w:pStyle w:val="ListParagraph"/>
        <w:numPr>
          <w:ilvl w:val="0"/>
          <w:numId w:val="1"/>
        </w:numPr>
        <w:jc w:val="both"/>
        <w:rPr>
          <w:rFonts w:ascii="Verdana" w:hAnsi="Verdana"/>
        </w:rPr>
      </w:pPr>
      <w:r>
        <w:rPr>
          <w:rFonts w:ascii="Verdana" w:hAnsi="Verdana"/>
        </w:rPr>
        <w:t xml:space="preserve">”oxonedbrydelig plast”: plastmaterialer, der inkluderer additiver, som ved hjælp af oxidering medfører fragmentering af plastmaterialet til mikrofragmenter eller kemisk nedbrydning; </w:t>
      </w:r>
    </w:p>
    <w:p w14:paraId="7BF28EB9" w14:textId="4F4AE25F" w:rsidR="008A723D" w:rsidRPr="003F6B93" w:rsidRDefault="008A723D" w:rsidP="00F7675E">
      <w:pPr>
        <w:pStyle w:val="ListParagraph"/>
        <w:numPr>
          <w:ilvl w:val="0"/>
          <w:numId w:val="1"/>
        </w:numPr>
        <w:jc w:val="both"/>
        <w:rPr>
          <w:rFonts w:ascii="Verdana" w:hAnsi="Verdana"/>
        </w:rPr>
      </w:pPr>
      <w:r>
        <w:rPr>
          <w:rFonts w:ascii="Verdana" w:hAnsi="Verdana"/>
        </w:rPr>
        <w:t xml:space="preserve">”engangsplastprodukt”: et produkt, der helt eller delvist er fremstillet af plast, og som ikke tiltænkes, designes eller markedsføres med henblik på flere ture eller rotationer inden for dets levetid ved at blive returneret til en producent med henblik på genopfyldning eller genanvendelse til samme formål, som det blev tiltænkt; </w:t>
      </w:r>
    </w:p>
    <w:p w14:paraId="3B015B5D" w14:textId="6D7B7308" w:rsidR="003307FF" w:rsidRPr="003F6B93" w:rsidRDefault="003307FF" w:rsidP="00F7675E">
      <w:pPr>
        <w:pStyle w:val="ListParagraph"/>
        <w:numPr>
          <w:ilvl w:val="0"/>
          <w:numId w:val="1"/>
        </w:numPr>
        <w:jc w:val="both"/>
        <w:rPr>
          <w:rFonts w:ascii="Verdana" w:hAnsi="Verdana"/>
        </w:rPr>
      </w:pPr>
      <w:r>
        <w:rPr>
          <w:rFonts w:ascii="Verdana" w:hAnsi="Verdana"/>
        </w:rPr>
        <w:t>”producent”: en producent af produktet som defineret i artikel 3, stk. 1, litra r), Unilex, der markedsfører plastprodukter til engangsbrug, fyldte plastprodukter til engangsbrug eller fiskeredskaber indeholdende plast, bortset fra personer, der udøver fiskeri som defineret i artikel 4, nr. 28), i Europa-Parlamentets og Rådets forordning (EU) nr. 1380/2013;</w:t>
      </w:r>
    </w:p>
    <w:p w14:paraId="6BD3956F" w14:textId="4A211B1E" w:rsidR="003307FF" w:rsidRDefault="003307FF" w:rsidP="00F7675E">
      <w:pPr>
        <w:pStyle w:val="ListParagraph"/>
        <w:numPr>
          <w:ilvl w:val="0"/>
          <w:numId w:val="1"/>
        </w:numPr>
        <w:jc w:val="both"/>
        <w:rPr>
          <w:rFonts w:ascii="Verdana" w:hAnsi="Verdana"/>
        </w:rPr>
      </w:pPr>
      <w:r>
        <w:rPr>
          <w:rFonts w:ascii="Verdana" w:hAnsi="Verdana"/>
        </w:rPr>
        <w:t>”tobaksprodukter”: tobaksvarer som defineret i artikel 2, litra e), i lov nr. 37/2007 af 14. august i dens nuværende form;</w:t>
      </w:r>
    </w:p>
    <w:p w14:paraId="6000B528" w14:textId="731A3572" w:rsidR="003A6EB6" w:rsidRPr="003F6B93" w:rsidRDefault="003A6EB6" w:rsidP="00F7675E">
      <w:pPr>
        <w:pStyle w:val="ListParagraph"/>
        <w:numPr>
          <w:ilvl w:val="0"/>
          <w:numId w:val="1"/>
        </w:numPr>
        <w:jc w:val="both"/>
        <w:rPr>
          <w:rFonts w:ascii="Verdana" w:hAnsi="Verdana"/>
        </w:rPr>
      </w:pPr>
      <w:r>
        <w:rPr>
          <w:rFonts w:ascii="Verdana" w:hAnsi="Verdana"/>
        </w:rPr>
        <w:t xml:space="preserve">”indsamling”: indsamling som defineret i artikel 3, stk. 1, litra x), i det generelle affaldssystem (GSWM); </w:t>
      </w:r>
    </w:p>
    <w:p w14:paraId="7203E680" w14:textId="77777777" w:rsidR="00397D00" w:rsidRDefault="003A6EB6" w:rsidP="00F7675E">
      <w:pPr>
        <w:pStyle w:val="ListParagraph"/>
        <w:numPr>
          <w:ilvl w:val="0"/>
          <w:numId w:val="1"/>
        </w:numPr>
        <w:jc w:val="both"/>
        <w:rPr>
          <w:rFonts w:ascii="Verdana" w:hAnsi="Verdana"/>
        </w:rPr>
      </w:pPr>
      <w:r>
        <w:rPr>
          <w:rFonts w:ascii="Verdana" w:hAnsi="Verdana"/>
        </w:rPr>
        <w:t>”selektiv indsamling”: selektiv indsamling som defineret i artikel 3, stk. 1, litra j), i GSWM;</w:t>
      </w:r>
    </w:p>
    <w:p w14:paraId="4F7991B3" w14:textId="1C62BF7C" w:rsidR="00397D00" w:rsidRPr="00397D00" w:rsidRDefault="00397D00" w:rsidP="00F7675E">
      <w:pPr>
        <w:pStyle w:val="ListParagraph"/>
        <w:numPr>
          <w:ilvl w:val="0"/>
          <w:numId w:val="1"/>
        </w:numPr>
        <w:jc w:val="both"/>
        <w:rPr>
          <w:rFonts w:ascii="Verdana" w:hAnsi="Verdana"/>
        </w:rPr>
      </w:pPr>
      <w:r>
        <w:rPr>
          <w:rFonts w:ascii="Verdana" w:hAnsi="Verdana"/>
        </w:rPr>
        <w:t>”spiseklare måltider beregnet til fortæring på stedet og take-away eller til levering i hjemmet”: spiseklare måltider, til fortæring på stedet og take-away eller til hjemlevering som defineret i artikel 3, stk. 1, litra s), i Unilex;</w:t>
      </w:r>
    </w:p>
    <w:p w14:paraId="4361DB13" w14:textId="755AE130" w:rsidR="00EC283C" w:rsidRPr="003F6B93" w:rsidRDefault="00EC283C" w:rsidP="00F7675E">
      <w:pPr>
        <w:pStyle w:val="ListParagraph"/>
        <w:numPr>
          <w:ilvl w:val="0"/>
          <w:numId w:val="1"/>
        </w:numPr>
        <w:jc w:val="both"/>
        <w:rPr>
          <w:rFonts w:ascii="Verdana" w:hAnsi="Verdana"/>
        </w:rPr>
      </w:pPr>
      <w:r>
        <w:rPr>
          <w:rFonts w:ascii="Verdana" w:hAnsi="Verdana"/>
        </w:rPr>
        <w:t>”udvidet producentansvarsordning”: en udvidet producentansvarsordning som defineret i artikel 12 i GSWM;</w:t>
      </w:r>
    </w:p>
    <w:p w14:paraId="52DDA252" w14:textId="1BBC69FE" w:rsidR="00EC283C" w:rsidRPr="003F6B93" w:rsidRDefault="00EC283C" w:rsidP="00F7675E">
      <w:pPr>
        <w:pStyle w:val="ListParagraph"/>
        <w:numPr>
          <w:ilvl w:val="0"/>
          <w:numId w:val="1"/>
        </w:numPr>
        <w:jc w:val="both"/>
        <w:rPr>
          <w:rFonts w:ascii="Verdana" w:hAnsi="Verdana"/>
        </w:rPr>
      </w:pPr>
      <w:r>
        <w:rPr>
          <w:rFonts w:ascii="Verdana" w:hAnsi="Verdana"/>
        </w:rPr>
        <w:t>”affald”: affald som defineret i artikel 3, stk. 1, litra aa), i GSWM;</w:t>
      </w:r>
    </w:p>
    <w:p w14:paraId="0AD5E5B9" w14:textId="244FF434" w:rsidR="00A172F1" w:rsidRDefault="008A723D" w:rsidP="00F7675E">
      <w:pPr>
        <w:pStyle w:val="ListParagraph"/>
        <w:numPr>
          <w:ilvl w:val="0"/>
          <w:numId w:val="1"/>
        </w:numPr>
        <w:jc w:val="both"/>
        <w:rPr>
          <w:rFonts w:ascii="Verdana" w:hAnsi="Verdana"/>
        </w:rPr>
      </w:pPr>
      <w:r>
        <w:rPr>
          <w:rFonts w:ascii="Verdana" w:hAnsi="Verdana"/>
        </w:rPr>
        <w:t>”affaldsfiskeriredskaber”: fiskeredskaber, der er omfattet af definitionen af ”affald” i artikel 3, stk. 1, litra aa), i GSWM, herunder alle separate komponenter, stoffer eller materialer, der var en del af eller fastgjort til sådanne fiskeredskaber, da det blev kasseret, herunder når det blev opgivet eller tabt;</w:t>
      </w:r>
    </w:p>
    <w:p w14:paraId="3E377B11" w14:textId="325D1AE1" w:rsidR="00A6504A" w:rsidRPr="003F6B93" w:rsidRDefault="00A6504A" w:rsidP="00F7675E">
      <w:pPr>
        <w:pStyle w:val="ListParagraph"/>
        <w:numPr>
          <w:ilvl w:val="0"/>
          <w:numId w:val="1"/>
        </w:numPr>
        <w:jc w:val="both"/>
        <w:rPr>
          <w:rFonts w:ascii="Verdana" w:hAnsi="Verdana"/>
        </w:rPr>
      </w:pPr>
      <w:r>
        <w:rPr>
          <w:rFonts w:ascii="Verdana" w:hAnsi="Verdana"/>
        </w:rPr>
        <w:t>”letvægtsække af plastbærer”: lette plastbærerposer som defineret i artikel 3, stk. 1, litra eee), Unilex;</w:t>
      </w:r>
    </w:p>
    <w:p w14:paraId="259D1820" w14:textId="46B99296" w:rsidR="00D30E28" w:rsidRPr="003F6B93" w:rsidRDefault="00D30E28" w:rsidP="00F7675E">
      <w:pPr>
        <w:pStyle w:val="ListParagraph"/>
        <w:numPr>
          <w:ilvl w:val="0"/>
          <w:numId w:val="1"/>
        </w:numPr>
        <w:jc w:val="both"/>
        <w:rPr>
          <w:rFonts w:ascii="Verdana" w:hAnsi="Verdana"/>
        </w:rPr>
      </w:pPr>
      <w:r>
        <w:rPr>
          <w:rFonts w:ascii="Verdana" w:hAnsi="Verdana"/>
        </w:rPr>
        <w:lastRenderedPageBreak/>
        <w:t>”behandling": behandling som defineret i artikel 3, stk. 1, litra n), i GSWM.</w:t>
      </w:r>
    </w:p>
    <w:p w14:paraId="4ADAA6E6" w14:textId="455D96C3" w:rsidR="00A172F1" w:rsidRDefault="00A172F1" w:rsidP="00A172F1">
      <w:pPr>
        <w:jc w:val="both"/>
        <w:rPr>
          <w:rFonts w:ascii="Verdana" w:hAnsi="Verdana"/>
        </w:rPr>
      </w:pPr>
    </w:p>
    <w:p w14:paraId="6B06554C" w14:textId="2B5F832E" w:rsidR="007B286C" w:rsidRPr="007B286C" w:rsidRDefault="004D1142" w:rsidP="00203CD4">
      <w:pPr>
        <w:pStyle w:val="Heading1"/>
        <w:tabs>
          <w:tab w:val="clear" w:pos="3969"/>
          <w:tab w:val="left" w:pos="2127"/>
        </w:tabs>
        <w:ind w:hanging="90"/>
      </w:pPr>
      <w:bookmarkStart w:id="4" w:name="_Ref63690309"/>
      <w:r>
        <w:t xml:space="preserve"> </w:t>
      </w:r>
      <w:r>
        <w:br/>
        <w:t>Forbud mod markedsføring</w:t>
      </w:r>
      <w:bookmarkEnd w:id="4"/>
    </w:p>
    <w:p w14:paraId="57C0FD44" w14:textId="6F99CF22" w:rsidR="00D27005" w:rsidRDefault="009870C4" w:rsidP="009870C4">
      <w:pPr>
        <w:pStyle w:val="Heading2"/>
        <w:numPr>
          <w:ilvl w:val="0"/>
          <w:numId w:val="0"/>
        </w:numPr>
        <w:tabs>
          <w:tab w:val="clear" w:pos="1701"/>
          <w:tab w:val="left" w:pos="1276"/>
        </w:tabs>
        <w:ind w:left="426"/>
      </w:pPr>
      <w:r>
        <w:t>Artikel 4</w:t>
      </w:r>
      <w:r>
        <w:br/>
      </w:r>
      <w:bookmarkStart w:id="5" w:name="_Ref63690312"/>
      <w:r>
        <w:t>Forbud mod markedsføring</w:t>
      </w:r>
      <w:bookmarkEnd w:id="5"/>
      <w:r>
        <w:t xml:space="preserve"> af plastprodukter til engangsbrug og produkter fremstillet af oxo-nedbrydelig plast</w:t>
      </w:r>
    </w:p>
    <w:p w14:paraId="2C461E0D" w14:textId="77777777" w:rsidR="007B286C" w:rsidRPr="007B286C" w:rsidRDefault="007B286C" w:rsidP="007B286C"/>
    <w:p w14:paraId="2713E414" w14:textId="77777777" w:rsidR="00D27005" w:rsidRPr="00371285" w:rsidRDefault="00D27005" w:rsidP="00C525D6">
      <w:pPr>
        <w:pStyle w:val="ListParagraph"/>
        <w:numPr>
          <w:ilvl w:val="3"/>
          <w:numId w:val="12"/>
        </w:numPr>
        <w:ind w:left="709"/>
        <w:jc w:val="both"/>
        <w:rPr>
          <w:rFonts w:ascii="Verdana" w:hAnsi="Verdana"/>
        </w:rPr>
      </w:pPr>
      <w:r>
        <w:rPr>
          <w:rFonts w:ascii="Verdana" w:hAnsi="Verdana"/>
        </w:rPr>
        <w:t xml:space="preserve">Markedsføring af følgende plastprodukter til engangsbrug er forbudt: </w:t>
      </w:r>
    </w:p>
    <w:p w14:paraId="4121AA08" w14:textId="09262A16" w:rsidR="00D27005" w:rsidRPr="00D7669C" w:rsidRDefault="00D27005" w:rsidP="00C525D6">
      <w:pPr>
        <w:pStyle w:val="ListParagraph"/>
        <w:numPr>
          <w:ilvl w:val="0"/>
          <w:numId w:val="2"/>
        </w:numPr>
        <w:ind w:left="1134" w:hanging="357"/>
        <w:jc w:val="both"/>
        <w:rPr>
          <w:rFonts w:ascii="Verdana" w:hAnsi="Verdana"/>
        </w:rPr>
      </w:pPr>
      <w:r>
        <w:t>bomuldsknopper, medmindre de falder ind under anvendelsesområdet for lovdekret nr. 145/2009 af 17. juni, berigtiget ved berigtigelseserklæringen nr. 60-A/2009 af 14. august og ændret ved lov nr. 21/2014 af 16. april og 51/2014 af 25. august og lovdekret nr. 5/2017 af 6. juni og 79/2018 af 15. oktober;</w:t>
      </w:r>
    </w:p>
    <w:p w14:paraId="4384DBC8" w14:textId="77777777" w:rsidR="00D27005" w:rsidRPr="00D7669C" w:rsidRDefault="00D27005" w:rsidP="00C525D6">
      <w:pPr>
        <w:pStyle w:val="ListParagraph"/>
        <w:numPr>
          <w:ilvl w:val="0"/>
          <w:numId w:val="2"/>
        </w:numPr>
        <w:ind w:left="1134" w:hanging="357"/>
        <w:rPr>
          <w:rFonts w:ascii="Verdana" w:hAnsi="Verdana"/>
        </w:rPr>
      </w:pPr>
      <w:r>
        <w:rPr>
          <w:rFonts w:ascii="Verdana" w:hAnsi="Verdana"/>
        </w:rPr>
        <w:t xml:space="preserve">bestik (gafler, knive, skeer, spisepinde); </w:t>
      </w:r>
    </w:p>
    <w:p w14:paraId="5AF0708E" w14:textId="77777777" w:rsidR="00D27005" w:rsidRPr="00D7669C" w:rsidRDefault="00D27005" w:rsidP="00C525D6">
      <w:pPr>
        <w:pStyle w:val="ListParagraph"/>
        <w:numPr>
          <w:ilvl w:val="0"/>
          <w:numId w:val="2"/>
        </w:numPr>
        <w:ind w:left="1134" w:hanging="357"/>
        <w:rPr>
          <w:rFonts w:ascii="Verdana" w:hAnsi="Verdana"/>
        </w:rPr>
      </w:pPr>
      <w:r>
        <w:rPr>
          <w:rFonts w:ascii="Verdana" w:hAnsi="Verdana"/>
        </w:rPr>
        <w:t xml:space="preserve">tallerkener; </w:t>
      </w:r>
    </w:p>
    <w:p w14:paraId="551ADCD0" w14:textId="6444964C" w:rsidR="00D27005" w:rsidRPr="00D7669C" w:rsidRDefault="00D27005" w:rsidP="00C525D6">
      <w:pPr>
        <w:pStyle w:val="ListParagraph"/>
        <w:numPr>
          <w:ilvl w:val="0"/>
          <w:numId w:val="2"/>
        </w:numPr>
        <w:ind w:left="1134" w:hanging="357"/>
        <w:jc w:val="both"/>
        <w:rPr>
          <w:rFonts w:ascii="Verdana" w:hAnsi="Verdana"/>
        </w:rPr>
      </w:pPr>
      <w:r>
        <w:t>strå, medmindre de er omfattet af anvendelsesområdet for lovdekret nr. 145/2009 af 17. juni, berigtiget ved erklæringen om berigtigelse nr. 60-A/2009 af 14. august og ændret ved lov nr. 21/2014 af 16. april og 51/2014 af 25. august og lovdekret nr. 5/2017 af 6. juni og 79/2018 af 15. oktober;</w:t>
      </w:r>
    </w:p>
    <w:p w14:paraId="0296009E" w14:textId="77777777" w:rsidR="00D27005" w:rsidRPr="00D7669C" w:rsidRDefault="00D27005" w:rsidP="00C525D6">
      <w:pPr>
        <w:pStyle w:val="ListParagraph"/>
        <w:numPr>
          <w:ilvl w:val="0"/>
          <w:numId w:val="2"/>
        </w:numPr>
        <w:ind w:left="1134" w:hanging="357"/>
        <w:rPr>
          <w:rFonts w:ascii="Verdana" w:hAnsi="Verdana"/>
        </w:rPr>
      </w:pPr>
      <w:r>
        <w:rPr>
          <w:rFonts w:ascii="Verdana" w:hAnsi="Verdana"/>
        </w:rPr>
        <w:t xml:space="preserve">rørepinde til drikkevarer; </w:t>
      </w:r>
    </w:p>
    <w:p w14:paraId="4FA253D6" w14:textId="77777777" w:rsidR="00D27005" w:rsidRPr="00D7669C" w:rsidRDefault="00D27005" w:rsidP="00C525D6">
      <w:pPr>
        <w:pStyle w:val="ListParagraph"/>
        <w:numPr>
          <w:ilvl w:val="0"/>
          <w:numId w:val="2"/>
        </w:numPr>
        <w:ind w:left="1134" w:hanging="357"/>
        <w:jc w:val="both"/>
        <w:rPr>
          <w:rFonts w:ascii="Verdana" w:hAnsi="Verdana"/>
        </w:rPr>
      </w:pPr>
      <w:r>
        <w:rPr>
          <w:rFonts w:ascii="Verdana" w:hAnsi="Verdana"/>
        </w:rPr>
        <w:t xml:space="preserve">pinde bestemt til at blive fastgjort til og understøtte balloner, undtagen balloner til industriel eller anden erhvervsmæssig anvendelse samt anvendelser, der ikke distribueres til forbrugere, herunder mekanismerne til sådanne pinde; </w:t>
      </w:r>
    </w:p>
    <w:p w14:paraId="2177198E" w14:textId="38DD0DBA" w:rsidR="00D27005" w:rsidRPr="00D7669C" w:rsidRDefault="00D27005" w:rsidP="00C525D6">
      <w:pPr>
        <w:pStyle w:val="ListParagraph"/>
        <w:numPr>
          <w:ilvl w:val="0"/>
          <w:numId w:val="2"/>
        </w:numPr>
        <w:autoSpaceDE w:val="0"/>
        <w:autoSpaceDN w:val="0"/>
        <w:adjustRightInd w:val="0"/>
        <w:ind w:left="1134"/>
        <w:jc w:val="both"/>
        <w:rPr>
          <w:rFonts w:ascii="Verdana" w:hAnsi="Verdana"/>
        </w:rPr>
      </w:pPr>
      <w:r>
        <w:rPr>
          <w:rFonts w:ascii="Verdana" w:hAnsi="Verdana"/>
        </w:rPr>
        <w:t>fødevarebeholdere af ekspanderet polystyren, dvs. beholdere såsom æsker, med eller uden låg, til fødevarer, som:</w:t>
      </w:r>
    </w:p>
    <w:p w14:paraId="711C1AC6" w14:textId="77777777" w:rsidR="00D27005" w:rsidRPr="00D7669C" w:rsidRDefault="00D27005" w:rsidP="00C525D6">
      <w:pPr>
        <w:pStyle w:val="ListParagraph"/>
        <w:numPr>
          <w:ilvl w:val="0"/>
          <w:numId w:val="3"/>
        </w:numPr>
        <w:autoSpaceDE w:val="0"/>
        <w:autoSpaceDN w:val="0"/>
        <w:adjustRightInd w:val="0"/>
        <w:ind w:left="1560" w:hanging="357"/>
        <w:jc w:val="both"/>
        <w:rPr>
          <w:rFonts w:ascii="Verdana" w:hAnsi="Verdana"/>
        </w:rPr>
      </w:pPr>
      <w:r>
        <w:rPr>
          <w:rFonts w:ascii="Verdana" w:hAnsi="Verdana"/>
        </w:rPr>
        <w:t xml:space="preserve">er beregnet til umiddelbar fortæring enten på salgsstedet eller som takeaway; </w:t>
      </w:r>
    </w:p>
    <w:p w14:paraId="5E3C14FD" w14:textId="77777777" w:rsidR="00D27005" w:rsidRPr="00D7669C" w:rsidRDefault="00D27005" w:rsidP="00C525D6">
      <w:pPr>
        <w:pStyle w:val="ListParagraph"/>
        <w:numPr>
          <w:ilvl w:val="0"/>
          <w:numId w:val="3"/>
        </w:numPr>
        <w:autoSpaceDE w:val="0"/>
        <w:autoSpaceDN w:val="0"/>
        <w:adjustRightInd w:val="0"/>
        <w:ind w:left="1560" w:hanging="357"/>
        <w:jc w:val="both"/>
        <w:rPr>
          <w:rFonts w:ascii="Verdana" w:hAnsi="Verdana"/>
        </w:rPr>
      </w:pPr>
      <w:r>
        <w:rPr>
          <w:rFonts w:ascii="Verdana" w:hAnsi="Verdana"/>
        </w:rPr>
        <w:t xml:space="preserve">typisk fortæres fra beholderen; og </w:t>
      </w:r>
    </w:p>
    <w:p w14:paraId="41FE1FE0" w14:textId="77777777" w:rsidR="00D27005" w:rsidRDefault="00D27005" w:rsidP="00C525D6">
      <w:pPr>
        <w:pStyle w:val="ListParagraph"/>
        <w:numPr>
          <w:ilvl w:val="0"/>
          <w:numId w:val="3"/>
        </w:numPr>
        <w:autoSpaceDE w:val="0"/>
        <w:autoSpaceDN w:val="0"/>
        <w:adjustRightInd w:val="0"/>
        <w:ind w:left="1560" w:hanging="357"/>
        <w:jc w:val="both"/>
        <w:rPr>
          <w:rFonts w:ascii="Verdana" w:hAnsi="Verdana"/>
        </w:rPr>
      </w:pPr>
      <w:r>
        <w:rPr>
          <w:rFonts w:ascii="Verdana" w:hAnsi="Verdana"/>
        </w:rPr>
        <w:t>er klar til at blive fortæret uden yderligere tilberedning såsom stegning, kogning eller opvarmning;</w:t>
      </w:r>
    </w:p>
    <w:p w14:paraId="4D19B8C7" w14:textId="77777777" w:rsidR="00D27005" w:rsidRPr="00951CCF" w:rsidRDefault="00D27005" w:rsidP="00D27005">
      <w:pPr>
        <w:autoSpaceDE w:val="0"/>
        <w:autoSpaceDN w:val="0"/>
        <w:adjustRightInd w:val="0"/>
        <w:ind w:left="1134"/>
        <w:jc w:val="both"/>
        <w:rPr>
          <w:rFonts w:ascii="Verdana" w:hAnsi="Verdana"/>
        </w:rPr>
      </w:pPr>
      <w:r>
        <w:rPr>
          <w:rFonts w:ascii="Verdana" w:hAnsi="Verdana"/>
        </w:rPr>
        <w:t xml:space="preserve">herunder fødevarebeholdere, der anvendes til fastfood, eller andre måltider, som er klar til umiddelbar fortæring, undtagen </w:t>
      </w:r>
      <w:r>
        <w:rPr>
          <w:rFonts w:ascii="Verdana" w:hAnsi="Verdana"/>
        </w:rPr>
        <w:lastRenderedPageBreak/>
        <w:t>drikkevarebeholdere, tallerkener og indpakningsposer og -folier som indeholder fødevarer;</w:t>
      </w:r>
    </w:p>
    <w:p w14:paraId="6ED2936A" w14:textId="77777777" w:rsidR="00D27005" w:rsidRPr="00D7669C" w:rsidRDefault="00D27005" w:rsidP="00C525D6">
      <w:pPr>
        <w:pStyle w:val="ListParagraph"/>
        <w:numPr>
          <w:ilvl w:val="0"/>
          <w:numId w:val="2"/>
        </w:numPr>
        <w:ind w:left="1134" w:hanging="357"/>
        <w:jc w:val="both"/>
        <w:rPr>
          <w:rFonts w:ascii="Verdana" w:hAnsi="Verdana"/>
        </w:rPr>
      </w:pPr>
      <w:r>
        <w:rPr>
          <w:rFonts w:ascii="Verdana" w:hAnsi="Verdana"/>
        </w:rPr>
        <w:t xml:space="preserve">drikkevarebeholdere af ekspanderet polystyren, herunder kapsler og låg til disse; </w:t>
      </w:r>
    </w:p>
    <w:p w14:paraId="1F6E43A5" w14:textId="77777777" w:rsidR="00D27005" w:rsidRPr="00D7669C" w:rsidRDefault="00D27005" w:rsidP="00C525D6">
      <w:pPr>
        <w:pStyle w:val="ListParagraph"/>
        <w:numPr>
          <w:ilvl w:val="0"/>
          <w:numId w:val="2"/>
        </w:numPr>
        <w:ind w:left="1134" w:hanging="357"/>
        <w:jc w:val="both"/>
        <w:rPr>
          <w:rFonts w:ascii="Verdana" w:hAnsi="Verdana"/>
        </w:rPr>
      </w:pPr>
      <w:r>
        <w:rPr>
          <w:rFonts w:ascii="Verdana" w:hAnsi="Verdana"/>
        </w:rPr>
        <w:t>drikkebægre af ekspanderet polystyren, herunder kapsler og låg til disse;</w:t>
      </w:r>
    </w:p>
    <w:p w14:paraId="6425C76A" w14:textId="77777777" w:rsidR="00D27005" w:rsidRDefault="00D27005" w:rsidP="00C525D6">
      <w:pPr>
        <w:pStyle w:val="ListParagraph"/>
        <w:numPr>
          <w:ilvl w:val="3"/>
          <w:numId w:val="12"/>
        </w:numPr>
        <w:ind w:left="709"/>
        <w:jc w:val="both"/>
        <w:rPr>
          <w:rFonts w:ascii="Verdana" w:hAnsi="Verdana"/>
        </w:rPr>
      </w:pPr>
      <w:r>
        <w:rPr>
          <w:rFonts w:ascii="Verdana" w:hAnsi="Verdana"/>
        </w:rPr>
        <w:t>Markedsføring af ethvert produkt af oxonedbrydeligt plast er ligeledes forbudt.</w:t>
      </w:r>
    </w:p>
    <w:p w14:paraId="056DE917" w14:textId="596EE346" w:rsidR="00D27005" w:rsidRDefault="00D27005" w:rsidP="00D27005"/>
    <w:p w14:paraId="477E39E4" w14:textId="3E1DA0DE" w:rsidR="00F75E18" w:rsidRDefault="009870C4" w:rsidP="009870C4">
      <w:pPr>
        <w:pStyle w:val="Heading2"/>
        <w:numPr>
          <w:ilvl w:val="0"/>
          <w:numId w:val="0"/>
        </w:numPr>
        <w:tabs>
          <w:tab w:val="clear" w:pos="1701"/>
          <w:tab w:val="left" w:pos="1276"/>
        </w:tabs>
        <w:ind w:left="426"/>
      </w:pPr>
      <w:r>
        <w:t>Artikel 5</w:t>
      </w:r>
      <w:r>
        <w:br/>
        <w:t>Tilgængeliggørelse og anvendelse af engangsplastprodukter</w:t>
      </w:r>
    </w:p>
    <w:p w14:paraId="3F98C67D" w14:textId="77777777" w:rsidR="004854CF" w:rsidRPr="004854CF" w:rsidRDefault="004854CF" w:rsidP="004854CF"/>
    <w:p w14:paraId="211621E2" w14:textId="364D82F9" w:rsidR="009B01EE" w:rsidRPr="00CE4719" w:rsidRDefault="00433A38" w:rsidP="00C525D6">
      <w:pPr>
        <w:pStyle w:val="ListParagraph"/>
        <w:numPr>
          <w:ilvl w:val="0"/>
          <w:numId w:val="16"/>
        </w:numPr>
        <w:ind w:left="709"/>
        <w:jc w:val="both"/>
        <w:rPr>
          <w:rFonts w:ascii="Verdana" w:hAnsi="Verdana"/>
        </w:rPr>
      </w:pPr>
      <w:bookmarkStart w:id="6" w:name="_Hlk66394718"/>
      <w:r>
        <w:t>Fra den 1. juli 2021 må restauranter eller drikkevareforretninger ikke stille de plastprodukter til engangsbrug, der er omhandlet i artikel 4, litra b)-e) og g)-i)</w:t>
      </w:r>
      <w:bookmarkEnd w:id="6"/>
      <w:r>
        <w:t>, til rådighed for den endelige forbruger for drikkevarer og måltider til engangsbrug.</w:t>
      </w:r>
      <w:r>
        <w:rPr>
          <w:rFonts w:ascii="Verdana" w:hAnsi="Verdana"/>
        </w:rPr>
        <w:t xml:space="preserve"> </w:t>
      </w:r>
    </w:p>
    <w:p w14:paraId="34B4D975" w14:textId="191A83D1" w:rsidR="009B01EE" w:rsidRPr="00CE4719" w:rsidRDefault="00433A38" w:rsidP="00C525D6">
      <w:pPr>
        <w:pStyle w:val="ListParagraph"/>
        <w:numPr>
          <w:ilvl w:val="0"/>
          <w:numId w:val="16"/>
        </w:numPr>
        <w:ind w:left="709"/>
        <w:jc w:val="both"/>
        <w:rPr>
          <w:rFonts w:ascii="Verdana" w:hAnsi="Verdana"/>
        </w:rPr>
      </w:pPr>
      <w:bookmarkStart w:id="7" w:name="_Hlk66473615"/>
      <w:r>
        <w:rPr>
          <w:rFonts w:ascii="Verdana" w:hAnsi="Verdana"/>
        </w:rPr>
        <w:t xml:space="preserve">Fra den 1. september 2021 må de plastprodukter til engangsbrug, der er omhandlet i artikel 4, litra b)-e) og g)-i), ikke anvendes: </w:t>
      </w:r>
    </w:p>
    <w:bookmarkEnd w:id="7"/>
    <w:p w14:paraId="3E234258" w14:textId="10CD24A4" w:rsidR="00EE4CF1" w:rsidRPr="00CE4719" w:rsidRDefault="00710998" w:rsidP="00C525D6">
      <w:pPr>
        <w:pStyle w:val="ListParagraph"/>
        <w:numPr>
          <w:ilvl w:val="1"/>
          <w:numId w:val="15"/>
        </w:numPr>
        <w:spacing w:after="0"/>
        <w:ind w:left="1134"/>
        <w:jc w:val="both"/>
        <w:rPr>
          <w:rFonts w:ascii="Verdana" w:hAnsi="Verdana"/>
        </w:rPr>
      </w:pPr>
      <w:r>
        <w:rPr>
          <w:rFonts w:ascii="Verdana" w:hAnsi="Verdana"/>
        </w:rPr>
        <w:t>catering eller ikke-siddende drikkevarer;</w:t>
      </w:r>
    </w:p>
    <w:p w14:paraId="77260820" w14:textId="77777777" w:rsidR="0094255D" w:rsidRDefault="00710998" w:rsidP="00C525D6">
      <w:pPr>
        <w:pStyle w:val="ListParagraph"/>
        <w:numPr>
          <w:ilvl w:val="1"/>
          <w:numId w:val="15"/>
        </w:numPr>
        <w:spacing w:after="0"/>
        <w:ind w:left="1134"/>
        <w:jc w:val="both"/>
        <w:rPr>
          <w:rFonts w:ascii="Verdana" w:hAnsi="Verdana"/>
        </w:rPr>
      </w:pPr>
      <w:r>
        <w:rPr>
          <w:rFonts w:ascii="Verdana" w:hAnsi="Verdana"/>
        </w:rPr>
        <w:t xml:space="preserve">levering af mad- og drikkevaretjenester inden for offentlig transport, navnlig luft-, jernbane-, sø- og langdistancevej; </w:t>
      </w:r>
    </w:p>
    <w:p w14:paraId="2BEE1C84" w14:textId="2A4D6B9C" w:rsidR="002B499A" w:rsidRPr="0094255D" w:rsidRDefault="00710998" w:rsidP="00C525D6">
      <w:pPr>
        <w:pStyle w:val="ListParagraph"/>
        <w:numPr>
          <w:ilvl w:val="1"/>
          <w:numId w:val="15"/>
        </w:numPr>
        <w:spacing w:after="0"/>
        <w:ind w:left="1134"/>
        <w:jc w:val="both"/>
        <w:rPr>
          <w:rFonts w:ascii="Verdana" w:hAnsi="Verdana"/>
        </w:rPr>
      </w:pPr>
      <w:r>
        <w:rPr>
          <w:rFonts w:ascii="Verdana" w:hAnsi="Verdana"/>
        </w:rPr>
        <w:t>andre steder, hvor der tilbydes catering eller drikkevarer;</w:t>
      </w:r>
    </w:p>
    <w:p w14:paraId="736DE681" w14:textId="56E853A4" w:rsidR="00CB2CFD" w:rsidRPr="007B286C" w:rsidRDefault="002B499A" w:rsidP="00C525D6">
      <w:pPr>
        <w:pStyle w:val="ListParagraph"/>
        <w:numPr>
          <w:ilvl w:val="0"/>
          <w:numId w:val="16"/>
        </w:numPr>
        <w:ind w:left="709"/>
        <w:jc w:val="both"/>
        <w:rPr>
          <w:rFonts w:ascii="Verdana" w:hAnsi="Verdana"/>
        </w:rPr>
      </w:pPr>
      <w:r>
        <w:rPr>
          <w:rFonts w:ascii="Verdana" w:hAnsi="Verdana"/>
        </w:rPr>
        <w:t>Fra den 1. september 2021 må de plastprodukter til engangsbrug, der er omhandlet i artikel 4, litra b)-e) og g)-i), ikke gøres tilgængelige på markedet for detailhandel.</w:t>
      </w:r>
    </w:p>
    <w:p w14:paraId="61142026" w14:textId="77777777" w:rsidR="00537243" w:rsidRPr="00C63B34" w:rsidRDefault="00537243" w:rsidP="00537243">
      <w:pPr>
        <w:jc w:val="both"/>
        <w:rPr>
          <w:rFonts w:ascii="Verdana" w:hAnsi="Verdana"/>
        </w:rPr>
      </w:pPr>
    </w:p>
    <w:p w14:paraId="62E5A404" w14:textId="00157340" w:rsidR="009820C4" w:rsidRPr="00C63B34" w:rsidRDefault="00537243" w:rsidP="005F42E9">
      <w:pPr>
        <w:pStyle w:val="Heading1"/>
        <w:tabs>
          <w:tab w:val="clear" w:pos="3969"/>
          <w:tab w:val="left" w:pos="2410"/>
        </w:tabs>
      </w:pPr>
      <w:r>
        <w:br/>
      </w:r>
      <w:bookmarkStart w:id="8" w:name="_Ref66120157"/>
      <w:r>
        <w:t>Reduktion i forbruget af visse engangsprodukter</w:t>
      </w:r>
      <w:bookmarkEnd w:id="8"/>
    </w:p>
    <w:p w14:paraId="5075E463" w14:textId="593841C0" w:rsidR="003517C6" w:rsidRDefault="009870C4" w:rsidP="009870C4">
      <w:pPr>
        <w:pStyle w:val="Heading2"/>
        <w:numPr>
          <w:ilvl w:val="0"/>
          <w:numId w:val="0"/>
        </w:numPr>
        <w:tabs>
          <w:tab w:val="clear" w:pos="1701"/>
          <w:tab w:val="left" w:pos="1276"/>
        </w:tabs>
        <w:ind w:left="426"/>
      </w:pPr>
      <w:r>
        <w:t>Artikel 6</w:t>
      </w:r>
      <w:r>
        <w:br/>
      </w:r>
      <w:bookmarkStart w:id="9" w:name="_Ref66120163"/>
      <w:r>
        <w:t>Varer omfattet</w:t>
      </w:r>
      <w:bookmarkEnd w:id="9"/>
    </w:p>
    <w:p w14:paraId="70DD4751" w14:textId="77777777" w:rsidR="006610EC" w:rsidRPr="006610EC" w:rsidRDefault="006610EC" w:rsidP="006610EC"/>
    <w:p w14:paraId="7F902BC6" w14:textId="241162D0" w:rsidR="003517C6" w:rsidRPr="00412FEF" w:rsidRDefault="002B499A" w:rsidP="00C525D6">
      <w:pPr>
        <w:pStyle w:val="ListParagraph"/>
        <w:numPr>
          <w:ilvl w:val="0"/>
          <w:numId w:val="19"/>
        </w:numPr>
        <w:ind w:left="709"/>
        <w:jc w:val="both"/>
        <w:rPr>
          <w:rFonts w:ascii="Verdana" w:hAnsi="Verdana"/>
        </w:rPr>
      </w:pPr>
      <w:bookmarkStart w:id="10" w:name="_Hlk66395012"/>
      <w:r>
        <w:t>De mål og foranstaltninger, der er fastsat i dette kapitel, gælder</w:t>
      </w:r>
      <w:bookmarkEnd w:id="10"/>
      <w:r>
        <w:t xml:space="preserve"> for følgende engangsplastprodukter:</w:t>
      </w:r>
    </w:p>
    <w:p w14:paraId="4AD81EA3" w14:textId="77777777" w:rsidR="00DB4ADB" w:rsidRDefault="003517C6" w:rsidP="00C525D6">
      <w:pPr>
        <w:pStyle w:val="ListParagraph"/>
        <w:numPr>
          <w:ilvl w:val="0"/>
          <w:numId w:val="21"/>
        </w:numPr>
        <w:spacing w:line="240" w:lineRule="auto"/>
        <w:rPr>
          <w:rFonts w:ascii="Verdana" w:hAnsi="Verdana"/>
        </w:rPr>
      </w:pPr>
      <w:r>
        <w:rPr>
          <w:rFonts w:ascii="Verdana" w:hAnsi="Verdana"/>
        </w:rPr>
        <w:lastRenderedPageBreak/>
        <w:t>bægre til drikkevarer, herunder overtræk og låg;</w:t>
      </w:r>
    </w:p>
    <w:p w14:paraId="759F0DDA" w14:textId="724DD719" w:rsidR="00DB4ADB" w:rsidRPr="00DB4ADB" w:rsidRDefault="00DB4ADB" w:rsidP="00C525D6">
      <w:pPr>
        <w:pStyle w:val="ListParagraph"/>
        <w:numPr>
          <w:ilvl w:val="0"/>
          <w:numId w:val="21"/>
        </w:numPr>
        <w:spacing w:line="240" w:lineRule="auto"/>
        <w:rPr>
          <w:rFonts w:ascii="Verdana" w:hAnsi="Verdana"/>
        </w:rPr>
      </w:pPr>
      <w:r>
        <w:rPr>
          <w:rFonts w:ascii="Verdana" w:hAnsi="Verdana"/>
        </w:rPr>
        <w:t xml:space="preserve">fødevarebeholdere, dvs. beholdere, f.eks. æsker, med eller uden låg, herunder beholdere til fastfood eller andre spiseklare måltider, undtagen beholdere til drikkevarer, tallerkener, plader og pakninger med indhold af fødevarer, der: </w:t>
      </w:r>
    </w:p>
    <w:p w14:paraId="12BD86D7" w14:textId="0A3DCCD8" w:rsidR="003517C6" w:rsidRPr="004352AA" w:rsidRDefault="003517C6" w:rsidP="00C525D6">
      <w:pPr>
        <w:pStyle w:val="ListParagraph"/>
        <w:numPr>
          <w:ilvl w:val="2"/>
          <w:numId w:val="7"/>
        </w:numPr>
        <w:tabs>
          <w:tab w:val="left" w:pos="1701"/>
        </w:tabs>
        <w:spacing w:line="240" w:lineRule="auto"/>
        <w:ind w:left="1701" w:hanging="283"/>
        <w:rPr>
          <w:rFonts w:ascii="Verdana" w:hAnsi="Verdana"/>
        </w:rPr>
      </w:pPr>
      <w:r>
        <w:rPr>
          <w:rFonts w:ascii="Verdana" w:hAnsi="Verdana"/>
        </w:rPr>
        <w:t>er beregnet til umiddelbar fortæring enten på salgsstedet eller som takeaway;</w:t>
      </w:r>
    </w:p>
    <w:p w14:paraId="668EF09B" w14:textId="77777777" w:rsidR="004854CF" w:rsidRDefault="003517C6" w:rsidP="00C525D6">
      <w:pPr>
        <w:pStyle w:val="ListParagraph"/>
        <w:numPr>
          <w:ilvl w:val="2"/>
          <w:numId w:val="7"/>
        </w:numPr>
        <w:tabs>
          <w:tab w:val="left" w:pos="1701"/>
        </w:tabs>
        <w:spacing w:line="240" w:lineRule="auto"/>
        <w:ind w:left="1701" w:hanging="283"/>
        <w:rPr>
          <w:rFonts w:ascii="Verdana" w:hAnsi="Verdana"/>
        </w:rPr>
      </w:pPr>
      <w:r>
        <w:rPr>
          <w:rFonts w:ascii="Verdana" w:hAnsi="Verdana"/>
        </w:rPr>
        <w:t xml:space="preserve">typisk fortæres fra beholderen; og </w:t>
      </w:r>
    </w:p>
    <w:p w14:paraId="731014F2" w14:textId="4EF6A118" w:rsidR="00EE4CF1" w:rsidRPr="004854CF" w:rsidRDefault="003517C6" w:rsidP="00C525D6">
      <w:pPr>
        <w:pStyle w:val="ListParagraph"/>
        <w:numPr>
          <w:ilvl w:val="2"/>
          <w:numId w:val="7"/>
        </w:numPr>
        <w:tabs>
          <w:tab w:val="left" w:pos="1701"/>
        </w:tabs>
        <w:spacing w:line="240" w:lineRule="auto"/>
        <w:ind w:left="1701" w:hanging="283"/>
        <w:rPr>
          <w:rFonts w:ascii="Verdana" w:hAnsi="Verdana"/>
        </w:rPr>
      </w:pPr>
      <w:r>
        <w:rPr>
          <w:rFonts w:ascii="Verdana" w:hAnsi="Verdana"/>
        </w:rPr>
        <w:t>er klar til at blive fortæret uden yderligere tilberedning såsom stegning, kogning eller opvarmning.</w:t>
      </w:r>
    </w:p>
    <w:p w14:paraId="2AD40F3A" w14:textId="3C9B19E0" w:rsidR="00EE4CF1" w:rsidRPr="00EE4CF1" w:rsidRDefault="00EE4CF1" w:rsidP="00C525D6">
      <w:pPr>
        <w:pStyle w:val="ListParagraph"/>
        <w:numPr>
          <w:ilvl w:val="0"/>
          <w:numId w:val="19"/>
        </w:numPr>
        <w:ind w:left="709"/>
        <w:jc w:val="both"/>
        <w:rPr>
          <w:rFonts w:ascii="Verdana" w:hAnsi="Verdana"/>
        </w:rPr>
      </w:pPr>
      <w:r>
        <w:rPr>
          <w:rFonts w:ascii="Verdana" w:hAnsi="Verdana"/>
        </w:rPr>
        <w:t xml:space="preserve">Foranstaltningerne i dette kapitel gælder også for engangsemballage fremstillet af materialer af enhver art. </w:t>
      </w:r>
    </w:p>
    <w:p w14:paraId="22D8CA39" w14:textId="2458F658" w:rsidR="00EE4CF1" w:rsidRPr="00E0517F" w:rsidRDefault="00EE4CF1" w:rsidP="00E0517F">
      <w:pPr>
        <w:pStyle w:val="ListParagraph"/>
        <w:tabs>
          <w:tab w:val="left" w:pos="1418"/>
        </w:tabs>
        <w:spacing w:line="240" w:lineRule="auto"/>
        <w:ind w:left="928"/>
        <w:jc w:val="both"/>
        <w:rPr>
          <w:rFonts w:ascii="Verdana" w:hAnsi="Verdana"/>
        </w:rPr>
      </w:pPr>
    </w:p>
    <w:p w14:paraId="1D17E251" w14:textId="77777777" w:rsidR="003517C6" w:rsidRPr="003F6B93" w:rsidRDefault="003517C6" w:rsidP="00DA7B55">
      <w:pPr>
        <w:spacing w:line="240" w:lineRule="auto"/>
        <w:rPr>
          <w:rFonts w:ascii="Verdana" w:hAnsi="Verdana"/>
        </w:rPr>
      </w:pPr>
    </w:p>
    <w:p w14:paraId="228E0377" w14:textId="3E6E1736" w:rsidR="006610EC" w:rsidRDefault="009870C4" w:rsidP="009870C4">
      <w:pPr>
        <w:pStyle w:val="Heading2"/>
        <w:numPr>
          <w:ilvl w:val="0"/>
          <w:numId w:val="0"/>
        </w:numPr>
        <w:tabs>
          <w:tab w:val="clear" w:pos="1701"/>
          <w:tab w:val="left" w:pos="1418"/>
        </w:tabs>
        <w:ind w:left="426"/>
      </w:pPr>
      <w:r>
        <w:t>Artikel 7</w:t>
      </w:r>
      <w:r>
        <w:br/>
        <w:t xml:space="preserve">Nationale </w:t>
      </w:r>
      <w:bookmarkStart w:id="11" w:name="_Ref63441995"/>
      <w:r>
        <w:t>mål</w:t>
      </w:r>
      <w:bookmarkEnd w:id="11"/>
    </w:p>
    <w:p w14:paraId="492E42DB" w14:textId="77777777" w:rsidR="006610EC" w:rsidRPr="006610EC" w:rsidRDefault="006610EC" w:rsidP="006610EC"/>
    <w:p w14:paraId="5094710A" w14:textId="7A2B46ED" w:rsidR="00272EF8" w:rsidRPr="007B286C" w:rsidRDefault="00910B5B" w:rsidP="00C525D6">
      <w:pPr>
        <w:pStyle w:val="ListParagraph"/>
        <w:numPr>
          <w:ilvl w:val="0"/>
          <w:numId w:val="20"/>
        </w:numPr>
        <w:ind w:left="709"/>
        <w:jc w:val="both"/>
        <w:rPr>
          <w:rFonts w:ascii="Verdana" w:hAnsi="Verdana"/>
        </w:rPr>
      </w:pPr>
      <w:r>
        <w:rPr>
          <w:rFonts w:ascii="Verdana" w:hAnsi="Verdana"/>
        </w:rPr>
        <w:t>For at opnå en ambitiøs og vedvarende reduktion i forbruget af de plastprodukter til engangsbrug, der er omhandlet i stk. 1 i den foregående artikel, fastsættes følgende nationale mål:</w:t>
      </w:r>
    </w:p>
    <w:p w14:paraId="69C17B00" w14:textId="3D28CD94" w:rsidR="00272EF8" w:rsidRPr="007B286C" w:rsidRDefault="00272EF8" w:rsidP="00C525D6">
      <w:pPr>
        <w:pStyle w:val="ListParagraph"/>
        <w:numPr>
          <w:ilvl w:val="0"/>
          <w:numId w:val="22"/>
        </w:numPr>
        <w:spacing w:line="240" w:lineRule="auto"/>
        <w:rPr>
          <w:rFonts w:ascii="Verdana" w:hAnsi="Verdana"/>
        </w:rPr>
      </w:pPr>
      <w:r>
        <w:rPr>
          <w:rFonts w:ascii="Verdana" w:hAnsi="Verdana"/>
        </w:rPr>
        <w:t xml:space="preserve">en reduktion på 30 % senest den 31. december 2026, i forbruget i forhold til 2022; </w:t>
      </w:r>
    </w:p>
    <w:p w14:paraId="3E989E32" w14:textId="400E6B2C" w:rsidR="00272EF8" w:rsidRPr="007B286C" w:rsidRDefault="00272EF8" w:rsidP="00C525D6">
      <w:pPr>
        <w:pStyle w:val="ListParagraph"/>
        <w:numPr>
          <w:ilvl w:val="0"/>
          <w:numId w:val="22"/>
        </w:numPr>
        <w:spacing w:line="240" w:lineRule="auto"/>
        <w:rPr>
          <w:rFonts w:ascii="Verdana" w:hAnsi="Verdana"/>
        </w:rPr>
      </w:pPr>
      <w:r>
        <w:rPr>
          <w:rFonts w:ascii="Verdana" w:hAnsi="Verdana"/>
        </w:rPr>
        <w:t>en reduktion på 50% senest den 31. december 2030, i forbruget i forhold til 2022.</w:t>
      </w:r>
    </w:p>
    <w:p w14:paraId="71F8F0EB" w14:textId="2BB14403" w:rsidR="00397D00" w:rsidRPr="007B286C" w:rsidRDefault="00272EF8" w:rsidP="00C525D6">
      <w:pPr>
        <w:pStyle w:val="ListParagraph"/>
        <w:numPr>
          <w:ilvl w:val="0"/>
          <w:numId w:val="20"/>
        </w:numPr>
        <w:ind w:left="709"/>
        <w:jc w:val="both"/>
        <w:rPr>
          <w:rFonts w:ascii="Verdana" w:hAnsi="Verdana"/>
        </w:rPr>
      </w:pPr>
      <w:r>
        <w:rPr>
          <w:rFonts w:ascii="Verdana" w:hAnsi="Verdana"/>
        </w:rPr>
        <w:t xml:space="preserve">Det portugisiske Miljøagentur (APA, I.P.) overvåger reduktionen af forbruget af plastprodukter til engangsbrug som omhandlet i foregående stykke. </w:t>
      </w:r>
    </w:p>
    <w:p w14:paraId="6D006D24" w14:textId="58634EE7" w:rsidR="00CA6349" w:rsidRPr="007B286C" w:rsidRDefault="00CA6349" w:rsidP="00C525D6">
      <w:pPr>
        <w:pStyle w:val="ListParagraph"/>
        <w:numPr>
          <w:ilvl w:val="0"/>
          <w:numId w:val="20"/>
        </w:numPr>
        <w:ind w:left="709"/>
        <w:jc w:val="both"/>
        <w:rPr>
          <w:rFonts w:ascii="Verdana" w:hAnsi="Verdana"/>
        </w:rPr>
      </w:pPr>
      <w:r>
        <w:rPr>
          <w:rFonts w:ascii="Verdana" w:hAnsi="Verdana"/>
        </w:rPr>
        <w:t>Målene i stk. 1 kan revideres, hvis det skønnes nødvendigt på grundlag af teknologiske eller markedsmæssige årsager eller som følge af udviklinger i EU-retten.</w:t>
      </w:r>
    </w:p>
    <w:p w14:paraId="6497D82A" w14:textId="03A8E60E" w:rsidR="00272EF8" w:rsidRPr="007B286C" w:rsidRDefault="0001108C" w:rsidP="00C525D6">
      <w:pPr>
        <w:pStyle w:val="ListParagraph"/>
        <w:numPr>
          <w:ilvl w:val="0"/>
          <w:numId w:val="20"/>
        </w:numPr>
        <w:ind w:left="709"/>
        <w:jc w:val="both"/>
        <w:rPr>
          <w:rFonts w:ascii="Verdana" w:hAnsi="Verdana"/>
        </w:rPr>
      </w:pPr>
      <w:r>
        <w:rPr>
          <w:rFonts w:ascii="Verdana" w:hAnsi="Verdana"/>
        </w:rPr>
        <w:t xml:space="preserve">Reduktionsmålene i stk. 1 måles i enheder, der markedsføres, uden at dette berører metoden til beregning og kontrol af den reduktion i forbruget af plastprodukter til engangsbrug, som Europa-Kommissionen vil fastlægge ved hjælp af en gennemførelsesretsakt. </w:t>
      </w:r>
    </w:p>
    <w:p w14:paraId="4A16461A" w14:textId="2C271DA5" w:rsidR="00A75EDB" w:rsidRPr="007B286C" w:rsidRDefault="004400C2" w:rsidP="00C525D6">
      <w:pPr>
        <w:pStyle w:val="ListParagraph"/>
        <w:numPr>
          <w:ilvl w:val="0"/>
          <w:numId w:val="20"/>
        </w:numPr>
        <w:ind w:left="709"/>
        <w:jc w:val="both"/>
        <w:rPr>
          <w:rFonts w:ascii="Verdana" w:hAnsi="Verdana"/>
        </w:rPr>
      </w:pPr>
      <w:bookmarkStart w:id="12" w:name="_Hlk66286637"/>
      <w:r>
        <w:rPr>
          <w:rFonts w:ascii="Verdana" w:hAnsi="Verdana"/>
        </w:rPr>
        <w:t>Hvis et af de i stk. 1 nævnte mål ikke er nået, overvejer regeringen at vedtage nye foranstaltninger, som bl.a. kan indebære, at der indføres restriktioner for markedsføringen af dens produkter.</w:t>
      </w:r>
    </w:p>
    <w:bookmarkEnd w:id="12"/>
    <w:p w14:paraId="63E08606" w14:textId="77777777" w:rsidR="003F40CB" w:rsidRPr="00661287" w:rsidRDefault="003F40CB" w:rsidP="003F40CB">
      <w:pPr>
        <w:pStyle w:val="ListParagraph"/>
        <w:ind w:left="928"/>
        <w:jc w:val="both"/>
        <w:rPr>
          <w:rFonts w:ascii="Verdana" w:hAnsi="Verdana" w:cs="Arial"/>
          <w:color w:val="000000" w:themeColor="text1"/>
        </w:rPr>
      </w:pPr>
    </w:p>
    <w:p w14:paraId="200B45FB" w14:textId="03D3A032" w:rsidR="006610EC" w:rsidRPr="006610EC" w:rsidRDefault="00AC3F76" w:rsidP="000600E7">
      <w:pPr>
        <w:pStyle w:val="Heading2"/>
        <w:numPr>
          <w:ilvl w:val="0"/>
          <w:numId w:val="0"/>
        </w:numPr>
        <w:tabs>
          <w:tab w:val="clear" w:pos="1701"/>
          <w:tab w:val="left" w:pos="1276"/>
        </w:tabs>
        <w:ind w:left="426"/>
      </w:pPr>
      <w:r>
        <w:lastRenderedPageBreak/>
        <w:t>Artikel 8</w:t>
      </w:r>
      <w:r>
        <w:br/>
        <w:t>Foranstaltninger</w:t>
      </w:r>
    </w:p>
    <w:p w14:paraId="1030757F" w14:textId="01220FF2" w:rsidR="00D73085" w:rsidRPr="007B286C" w:rsidRDefault="00D73085" w:rsidP="00C525D6">
      <w:pPr>
        <w:pStyle w:val="ListParagraph"/>
        <w:numPr>
          <w:ilvl w:val="0"/>
          <w:numId w:val="23"/>
        </w:numPr>
        <w:tabs>
          <w:tab w:val="left" w:pos="993"/>
        </w:tabs>
        <w:ind w:left="709"/>
        <w:jc w:val="both"/>
        <w:rPr>
          <w:rFonts w:ascii="Verdana" w:hAnsi="Verdana"/>
        </w:rPr>
      </w:pPr>
      <w:bookmarkStart w:id="13" w:name="_Hlk65426299"/>
      <w:r>
        <w:rPr>
          <w:rFonts w:ascii="Verdana" w:hAnsi="Verdana"/>
        </w:rPr>
        <w:t>Fra den 1. januar 2023 skal virksomheder, der anvender engangsemballage til fødevarer og drikkevarer til levering af spiseklare måltider til umiddelbar indtagelse og take-away eller til hjemlevering, stille genanvendelige alternativer til rådighed for deres kunder ved at opkræve et depositum, der refunderes ved returnering af emballagen i overensstemmelse med artikel 23 i Unilex.</w:t>
      </w:r>
    </w:p>
    <w:bookmarkEnd w:id="13"/>
    <w:p w14:paraId="4BFA6D9C" w14:textId="0D8D0465" w:rsidR="002845B5" w:rsidRPr="007B286C" w:rsidRDefault="002845B5" w:rsidP="00C525D6">
      <w:pPr>
        <w:pStyle w:val="ListParagraph"/>
        <w:numPr>
          <w:ilvl w:val="0"/>
          <w:numId w:val="23"/>
        </w:numPr>
        <w:tabs>
          <w:tab w:val="left" w:pos="993"/>
        </w:tabs>
        <w:ind w:left="709"/>
        <w:jc w:val="both"/>
        <w:rPr>
          <w:rFonts w:ascii="Verdana" w:hAnsi="Verdana"/>
        </w:rPr>
      </w:pPr>
      <w:r>
        <w:rPr>
          <w:rFonts w:ascii="Verdana" w:hAnsi="Verdana"/>
        </w:rPr>
        <w:t>De virksomheder, der er omhandlet i stk., kan ikke stille en salgsenhed bestående af varen og genbrugsemballagen til en højere pris eller på mindre fordelagtige vilkår til rådighed i forhold til den salgsenhed, der består af samme vare og emballage til engangsbrug.</w:t>
      </w:r>
    </w:p>
    <w:p w14:paraId="37D279AC" w14:textId="10E0978B" w:rsidR="002845B5" w:rsidRPr="007B286C" w:rsidRDefault="002845B5" w:rsidP="00C525D6">
      <w:pPr>
        <w:pStyle w:val="ListParagraph"/>
        <w:numPr>
          <w:ilvl w:val="0"/>
          <w:numId w:val="23"/>
        </w:numPr>
        <w:tabs>
          <w:tab w:val="left" w:pos="993"/>
        </w:tabs>
        <w:ind w:left="709"/>
        <w:jc w:val="both"/>
        <w:rPr>
          <w:rFonts w:ascii="Verdana" w:hAnsi="Verdana"/>
        </w:rPr>
      </w:pPr>
      <w:bookmarkStart w:id="14" w:name="_Hlk65426360"/>
      <w:r>
        <w:rPr>
          <w:rFonts w:ascii="Verdana" w:hAnsi="Verdana"/>
        </w:rPr>
        <w:t xml:space="preserve">De i stk. 1 omhandlede virksomheder med et areal på under 150 kvadratmeter kan vælge ikke at overholde stk. 1, uden at dette berører opfyldelsen af forpligtelserne i artikel 25b, stk. 1, i Unilex. </w:t>
      </w:r>
    </w:p>
    <w:bookmarkEnd w:id="14"/>
    <w:p w14:paraId="2092922E" w14:textId="7B8B12EB" w:rsidR="002845B5" w:rsidRPr="007B286C" w:rsidRDefault="001A4D54" w:rsidP="00C525D6">
      <w:pPr>
        <w:pStyle w:val="ListParagraph"/>
        <w:numPr>
          <w:ilvl w:val="0"/>
          <w:numId w:val="23"/>
        </w:numPr>
        <w:tabs>
          <w:tab w:val="left" w:pos="993"/>
        </w:tabs>
        <w:ind w:left="709"/>
        <w:jc w:val="both"/>
        <w:rPr>
          <w:rFonts w:ascii="Verdana" w:hAnsi="Verdana"/>
        </w:rPr>
      </w:pPr>
      <w:r>
        <w:rPr>
          <w:rFonts w:ascii="Verdana" w:hAnsi="Verdana"/>
        </w:rPr>
        <w:t>Ved levering af spiseklare måltider via salgsautomater, der anvender engangsemballage til fødevarer og drikkevarer, kan det sikres, at forpligtelsen til at stille genanvendelige alternativer til rådighed kan sikres ved at sætte kunderne i stand til at anvende deres egne beholdere, og denne mulighed bør klart angives ved at give de nødvendige oplysninger.</w:t>
      </w:r>
    </w:p>
    <w:p w14:paraId="2161C326" w14:textId="722EFAC1" w:rsidR="009B01EE" w:rsidRPr="007B286C" w:rsidRDefault="009B01EE" w:rsidP="00C525D6">
      <w:pPr>
        <w:pStyle w:val="ListParagraph"/>
        <w:numPr>
          <w:ilvl w:val="0"/>
          <w:numId w:val="23"/>
        </w:numPr>
        <w:tabs>
          <w:tab w:val="left" w:pos="993"/>
        </w:tabs>
        <w:ind w:left="709"/>
        <w:jc w:val="both"/>
        <w:rPr>
          <w:rFonts w:ascii="Verdana" w:hAnsi="Verdana"/>
        </w:rPr>
      </w:pPr>
      <w:r>
        <w:rPr>
          <w:rFonts w:ascii="Verdana" w:hAnsi="Verdana"/>
        </w:rPr>
        <w:t xml:space="preserve">Fra den 1. januar 2022 er det obligatorisk at anvende beholdere, der kan genanvendes i alle restaurations- eller drikkevarevirksomheder, ved salg af mad eller drikkevarer til forbrug på stedet. </w:t>
      </w:r>
    </w:p>
    <w:p w14:paraId="498C4088" w14:textId="694CDB5F" w:rsidR="002845B5" w:rsidRPr="007B286C" w:rsidRDefault="002845B5" w:rsidP="00C525D6">
      <w:pPr>
        <w:pStyle w:val="ListParagraph"/>
        <w:numPr>
          <w:ilvl w:val="0"/>
          <w:numId w:val="23"/>
        </w:numPr>
        <w:tabs>
          <w:tab w:val="left" w:pos="993"/>
        </w:tabs>
        <w:ind w:left="709"/>
        <w:jc w:val="both"/>
        <w:rPr>
          <w:rFonts w:ascii="Verdana" w:hAnsi="Verdana"/>
        </w:rPr>
      </w:pPr>
      <w:r>
        <w:rPr>
          <w:rFonts w:ascii="Verdana" w:hAnsi="Verdana"/>
        </w:rPr>
        <w:t>I overensstemmelse med foranstaltningen i artikel 25a, stk. 5, i Unilex skal kopper, der skal stilles til rådighed i virksomheder i hotel-, restaurations- og cateringsektoren, være genanvendelige.</w:t>
      </w:r>
    </w:p>
    <w:p w14:paraId="41413B7A" w14:textId="374ECD6A" w:rsidR="00794BCB" w:rsidRPr="007B286C" w:rsidRDefault="00794BCB" w:rsidP="00C525D6">
      <w:pPr>
        <w:pStyle w:val="ListParagraph"/>
        <w:numPr>
          <w:ilvl w:val="0"/>
          <w:numId w:val="23"/>
        </w:numPr>
        <w:tabs>
          <w:tab w:val="left" w:pos="993"/>
        </w:tabs>
        <w:ind w:left="709"/>
        <w:jc w:val="both"/>
        <w:rPr>
          <w:rFonts w:ascii="Verdana" w:hAnsi="Verdana"/>
        </w:rPr>
      </w:pPr>
      <w:r>
        <w:rPr>
          <w:rFonts w:ascii="Verdana" w:hAnsi="Verdana"/>
        </w:rPr>
        <w:t xml:space="preserve"> De producenter af kopper til drikkevarer og fødevarebeholdere, der er omhandlet i artikel 6, stk. 1, enkeltvis eller gennem integrerede forvaltningssystemer, fremmer forskning og udvikling af bæredygtige alternative løsninger til sådanne engangsplastprodukter ved at forelægge deres resultater for APA, I.P. og Generaldirektoratet for Økonomiske Aktiviteter (DGAE) senest den 30. juni 2024.</w:t>
      </w:r>
    </w:p>
    <w:p w14:paraId="4488AD4B" w14:textId="679C933C" w:rsidR="00794BCB" w:rsidRPr="007B286C" w:rsidRDefault="00794BCB" w:rsidP="00C525D6">
      <w:pPr>
        <w:pStyle w:val="ListParagraph"/>
        <w:numPr>
          <w:ilvl w:val="0"/>
          <w:numId w:val="23"/>
        </w:numPr>
        <w:tabs>
          <w:tab w:val="left" w:pos="993"/>
        </w:tabs>
        <w:ind w:left="709"/>
        <w:jc w:val="both"/>
        <w:rPr>
          <w:rFonts w:ascii="Verdana" w:hAnsi="Verdana"/>
        </w:rPr>
      </w:pPr>
      <w:r>
        <w:rPr>
          <w:rFonts w:ascii="Verdana" w:hAnsi="Verdana"/>
        </w:rPr>
        <w:t>Afhængigt af de resultater, der er omhandlet i foregående afsnit, vurderer regeringen gennemførelsen af incitamenter til innovation og miljøvenligt design, der bidrager til udskiftningen af plastprodukter til engangsbrug.</w:t>
      </w:r>
    </w:p>
    <w:p w14:paraId="674B59CC" w14:textId="17533D97" w:rsidR="002B55CA" w:rsidRPr="007B286C" w:rsidRDefault="002845B5" w:rsidP="00C525D6">
      <w:pPr>
        <w:pStyle w:val="ListParagraph"/>
        <w:numPr>
          <w:ilvl w:val="0"/>
          <w:numId w:val="23"/>
        </w:numPr>
        <w:tabs>
          <w:tab w:val="left" w:pos="993"/>
        </w:tabs>
        <w:ind w:left="709"/>
        <w:jc w:val="both"/>
        <w:rPr>
          <w:rFonts w:ascii="Verdana" w:hAnsi="Verdana"/>
        </w:rPr>
      </w:pPr>
      <w:r>
        <w:t>De bidrager også til virkeliggørelsen af målene i artikel 7, artikel 25b i Unilex og artikel 320 i lov nr. 75-B/2020 af 31. december.</w:t>
      </w:r>
    </w:p>
    <w:p w14:paraId="3A42FDB6" w14:textId="6F6E9142" w:rsidR="00824535" w:rsidRPr="007B286C" w:rsidRDefault="00824535" w:rsidP="00C525D6">
      <w:pPr>
        <w:pStyle w:val="ListParagraph"/>
        <w:numPr>
          <w:ilvl w:val="0"/>
          <w:numId w:val="23"/>
        </w:numPr>
        <w:tabs>
          <w:tab w:val="left" w:pos="993"/>
        </w:tabs>
        <w:ind w:left="709"/>
        <w:jc w:val="both"/>
        <w:rPr>
          <w:rFonts w:ascii="Verdana" w:hAnsi="Verdana"/>
        </w:rPr>
      </w:pPr>
      <w:r>
        <w:lastRenderedPageBreak/>
        <w:t>Senest den 31. december 2024 skal APA, I.P. og DGAE have vurderet behovet for at indføre nye foranstaltninger til støtte for virkeliggørelsen af målene i artikel 7.</w:t>
      </w:r>
    </w:p>
    <w:p w14:paraId="05FAE9EA" w14:textId="77777777" w:rsidR="00DB4ADB" w:rsidRPr="00BF777F" w:rsidRDefault="00DB4ADB" w:rsidP="00DB4ADB">
      <w:pPr>
        <w:pStyle w:val="CommentText"/>
        <w:ind w:left="928"/>
        <w:jc w:val="both"/>
        <w:rPr>
          <w:rFonts w:ascii="Verdana" w:hAnsi="Verdana"/>
          <w:sz w:val="22"/>
          <w:szCs w:val="22"/>
          <w:shd w:val="clear" w:color="auto" w:fill="F5F5F5"/>
        </w:rPr>
      </w:pPr>
    </w:p>
    <w:p w14:paraId="61C7EC5F" w14:textId="1597687A" w:rsidR="00272EF8" w:rsidRDefault="00272EF8" w:rsidP="00241552">
      <w:pPr>
        <w:pStyle w:val="ListParagraph"/>
        <w:jc w:val="center"/>
        <w:rPr>
          <w:rFonts w:ascii="Verdana" w:hAnsi="Verdana" w:cs="Arial"/>
          <w:sz w:val="21"/>
          <w:szCs w:val="21"/>
        </w:rPr>
      </w:pPr>
    </w:p>
    <w:p w14:paraId="4DC3DC77" w14:textId="0D77645C" w:rsidR="00272EF8" w:rsidRDefault="00AC3F76" w:rsidP="000600E7">
      <w:pPr>
        <w:pStyle w:val="Heading2"/>
        <w:numPr>
          <w:ilvl w:val="0"/>
          <w:numId w:val="0"/>
        </w:numPr>
        <w:tabs>
          <w:tab w:val="clear" w:pos="1701"/>
          <w:tab w:val="left" w:pos="1276"/>
        </w:tabs>
        <w:ind w:left="426"/>
      </w:pPr>
      <w:r>
        <w:t>Artikel 9</w:t>
      </w:r>
      <w:r>
        <w:br/>
        <w:t>Sektoraftale</w:t>
      </w:r>
      <w:bookmarkStart w:id="15" w:name="_Ref66120795"/>
    </w:p>
    <w:p w14:paraId="31D06C8D" w14:textId="77777777" w:rsidR="00014396" w:rsidRPr="00014396" w:rsidRDefault="00014396" w:rsidP="00014396"/>
    <w:bookmarkEnd w:id="15"/>
    <w:p w14:paraId="0A4B94C3" w14:textId="7BF6D273" w:rsidR="003517C6" w:rsidRPr="007B286C" w:rsidRDefault="00544073" w:rsidP="00C525D6">
      <w:pPr>
        <w:pStyle w:val="ListParagraph"/>
        <w:numPr>
          <w:ilvl w:val="0"/>
          <w:numId w:val="25"/>
        </w:numPr>
        <w:tabs>
          <w:tab w:val="left" w:pos="993"/>
        </w:tabs>
        <w:ind w:left="709"/>
        <w:jc w:val="both"/>
        <w:rPr>
          <w:rFonts w:ascii="Verdana" w:hAnsi="Verdana"/>
        </w:rPr>
      </w:pPr>
      <w:r>
        <w:t>De resultater, der opnås gennem en sektoraftale, der skal indgås mellem DGAE og alle de repræsentative strukturer for de forskellige sektorer, der er involveret i industri, handel, distribution og catering, skal bidrage til at nå de mål, der er opstillet i rapporten.</w:t>
      </w:r>
    </w:p>
    <w:p w14:paraId="58E91BDD" w14:textId="238AB656" w:rsidR="000216F2" w:rsidRPr="007B286C" w:rsidRDefault="000216F2" w:rsidP="00C525D6">
      <w:pPr>
        <w:pStyle w:val="ListParagraph"/>
        <w:numPr>
          <w:ilvl w:val="0"/>
          <w:numId w:val="25"/>
        </w:numPr>
        <w:tabs>
          <w:tab w:val="left" w:pos="993"/>
        </w:tabs>
        <w:ind w:left="709"/>
        <w:jc w:val="both"/>
        <w:rPr>
          <w:rFonts w:ascii="Verdana" w:hAnsi="Verdana"/>
        </w:rPr>
      </w:pPr>
      <w:r>
        <w:rPr>
          <w:rFonts w:ascii="Verdana" w:hAnsi="Verdana"/>
        </w:rPr>
        <w:t xml:space="preserve">Enhver anden enhed, der opererer inden for de sektorer, der er nævnt i foregående afsnit, og som ikke har inkorporeret de repræsentative strukturer, kan også frivilligt tiltræde aftalen. </w:t>
      </w:r>
    </w:p>
    <w:p w14:paraId="2B3D80B9" w14:textId="77777777" w:rsidR="00544073" w:rsidRPr="007B286C" w:rsidRDefault="00544073" w:rsidP="00C525D6">
      <w:pPr>
        <w:pStyle w:val="ListParagraph"/>
        <w:numPr>
          <w:ilvl w:val="0"/>
          <w:numId w:val="25"/>
        </w:numPr>
        <w:tabs>
          <w:tab w:val="left" w:pos="993"/>
        </w:tabs>
        <w:ind w:left="709"/>
        <w:jc w:val="both"/>
        <w:rPr>
          <w:rFonts w:ascii="Verdana" w:hAnsi="Verdana"/>
        </w:rPr>
      </w:pPr>
      <w:bookmarkStart w:id="16" w:name="_Ref66120801"/>
      <w:r>
        <w:rPr>
          <w:rFonts w:ascii="Verdana" w:hAnsi="Verdana"/>
        </w:rPr>
        <w:t>De i foregående afsnit omhandlede aftaler skal opfylde følgende krav:</w:t>
      </w:r>
      <w:bookmarkEnd w:id="16"/>
    </w:p>
    <w:p w14:paraId="380A7111" w14:textId="2AD04D67" w:rsidR="00544073" w:rsidRPr="00F7675E" w:rsidRDefault="00544073" w:rsidP="00C525D6">
      <w:pPr>
        <w:pStyle w:val="ListParagraph"/>
        <w:numPr>
          <w:ilvl w:val="0"/>
          <w:numId w:val="24"/>
        </w:numPr>
        <w:spacing w:line="240" w:lineRule="auto"/>
        <w:rPr>
          <w:rFonts w:ascii="Verdana" w:hAnsi="Verdana"/>
        </w:rPr>
      </w:pPr>
      <w:r>
        <w:rPr>
          <w:rFonts w:ascii="Verdana" w:hAnsi="Verdana"/>
        </w:rPr>
        <w:t>aftalerne skal angive mål, sektorspecifikke foranstaltninger og tilsvarende tidsfrister afhængigt af de pågældende enheders sektor, produkttype og/eller størrelse;</w:t>
      </w:r>
    </w:p>
    <w:p w14:paraId="03A0617C" w14:textId="6F08D608" w:rsidR="00544073" w:rsidRPr="00F7675E" w:rsidRDefault="00544073" w:rsidP="00C525D6">
      <w:pPr>
        <w:pStyle w:val="ListParagraph"/>
        <w:numPr>
          <w:ilvl w:val="0"/>
          <w:numId w:val="24"/>
        </w:numPr>
        <w:spacing w:line="240" w:lineRule="auto"/>
        <w:rPr>
          <w:rFonts w:ascii="Verdana" w:hAnsi="Verdana"/>
        </w:rPr>
      </w:pPr>
      <w:r>
        <w:rPr>
          <w:rFonts w:ascii="Verdana" w:hAnsi="Verdana"/>
        </w:rPr>
        <w:t>DGAE overvåger hvert år de resultater, der opnås i henhold til aftalerne, og gøres tilgængelige for offentligheden på de betingelser, der er fastsat i selve aftalen;</w:t>
      </w:r>
    </w:p>
    <w:p w14:paraId="1B81D803" w14:textId="77777777" w:rsidR="00A21790" w:rsidRPr="00F7675E" w:rsidRDefault="00284CB1" w:rsidP="00C525D6">
      <w:pPr>
        <w:pStyle w:val="ListParagraph"/>
        <w:numPr>
          <w:ilvl w:val="0"/>
          <w:numId w:val="24"/>
        </w:numPr>
        <w:spacing w:line="240" w:lineRule="auto"/>
        <w:rPr>
          <w:rFonts w:ascii="Verdana" w:hAnsi="Verdana"/>
        </w:rPr>
      </w:pPr>
      <w:r>
        <w:rPr>
          <w:rFonts w:ascii="Verdana" w:hAnsi="Verdana"/>
        </w:rPr>
        <w:t>aftalerne offentliggøres på DGAE’s websted.</w:t>
      </w:r>
    </w:p>
    <w:p w14:paraId="2B468A49" w14:textId="699C2C5C" w:rsidR="00284CB1" w:rsidRPr="00F7675E" w:rsidRDefault="00A21790" w:rsidP="00C525D6">
      <w:pPr>
        <w:pStyle w:val="ListParagraph"/>
        <w:numPr>
          <w:ilvl w:val="0"/>
          <w:numId w:val="25"/>
        </w:numPr>
        <w:tabs>
          <w:tab w:val="left" w:pos="993"/>
        </w:tabs>
        <w:ind w:left="709"/>
        <w:jc w:val="both"/>
        <w:rPr>
          <w:rFonts w:ascii="Verdana" w:hAnsi="Verdana"/>
        </w:rPr>
      </w:pPr>
      <w:r>
        <w:rPr>
          <w:rFonts w:ascii="Verdana" w:hAnsi="Verdana"/>
        </w:rPr>
        <w:t>Alle oplysninger, der hidrører fra overvågningen af de sektorordninger, der er omhandlet i foregående stykkes litra b), og som bidrager til vurderingen af faldet i forbruget af plastprodukter til engangsbrug, sendes årligt til APA, I.P.</w:t>
      </w:r>
    </w:p>
    <w:p w14:paraId="402788C3" w14:textId="0921CCEE" w:rsidR="00743415" w:rsidRPr="00F7675E" w:rsidRDefault="00544073" w:rsidP="00C525D6">
      <w:pPr>
        <w:pStyle w:val="ListParagraph"/>
        <w:numPr>
          <w:ilvl w:val="0"/>
          <w:numId w:val="25"/>
        </w:numPr>
        <w:tabs>
          <w:tab w:val="left" w:pos="993"/>
        </w:tabs>
        <w:ind w:left="709"/>
        <w:jc w:val="both"/>
        <w:rPr>
          <w:rFonts w:ascii="Verdana" w:hAnsi="Verdana"/>
        </w:rPr>
      </w:pPr>
      <w:r>
        <w:rPr>
          <w:rFonts w:ascii="Verdana" w:hAnsi="Verdana"/>
        </w:rPr>
        <w:t xml:space="preserve">De aftaler, der er omhandlet i de foregående stykker, udarbejdes og offentliggøres senest den 30. juni 2023. </w:t>
      </w:r>
    </w:p>
    <w:p w14:paraId="0324057B" w14:textId="77777777" w:rsidR="00284CB1" w:rsidRPr="00407DEE" w:rsidRDefault="00284CB1" w:rsidP="00407DEE">
      <w:pPr>
        <w:pStyle w:val="ListParagraph"/>
        <w:ind w:left="928"/>
        <w:jc w:val="both"/>
        <w:rPr>
          <w:rFonts w:ascii="Verdana" w:hAnsi="Verdana" w:cs="Arial"/>
        </w:rPr>
      </w:pPr>
    </w:p>
    <w:p w14:paraId="21D34718" w14:textId="4B6E5EB2" w:rsidR="00D61808" w:rsidRPr="008A461E" w:rsidRDefault="008A461E" w:rsidP="008A461E">
      <w:pPr>
        <w:pStyle w:val="Heading1"/>
        <w:tabs>
          <w:tab w:val="clear" w:pos="3969"/>
          <w:tab w:val="left" w:pos="2268"/>
          <w:tab w:val="left" w:pos="2410"/>
        </w:tabs>
      </w:pPr>
      <w:r>
        <w:br/>
        <w:t>Krav til engangsplastprodukter</w:t>
      </w:r>
    </w:p>
    <w:p w14:paraId="4261089B" w14:textId="77777777" w:rsidR="00F256AF" w:rsidRPr="0023255A" w:rsidRDefault="00F256AF" w:rsidP="00DA7B55">
      <w:pPr>
        <w:autoSpaceDE w:val="0"/>
        <w:autoSpaceDN w:val="0"/>
        <w:adjustRightInd w:val="0"/>
        <w:rPr>
          <w:rFonts w:ascii="Verdana" w:hAnsi="Verdana" w:cs="EU Albertina"/>
          <w:color w:val="000000"/>
        </w:rPr>
      </w:pPr>
    </w:p>
    <w:p w14:paraId="1DDF2FB0" w14:textId="56BF29EE" w:rsidR="000B1395" w:rsidRPr="00407DEE" w:rsidRDefault="00AC3F76" w:rsidP="000600E7">
      <w:pPr>
        <w:pStyle w:val="Heading2"/>
        <w:numPr>
          <w:ilvl w:val="0"/>
          <w:numId w:val="0"/>
        </w:numPr>
        <w:tabs>
          <w:tab w:val="clear" w:pos="1701"/>
          <w:tab w:val="left" w:pos="1276"/>
        </w:tabs>
        <w:ind w:left="426"/>
      </w:pPr>
      <w:bookmarkStart w:id="17" w:name="_Ref66120924"/>
      <w:r>
        <w:t>Artikel 10</w:t>
      </w:r>
      <w:r>
        <w:br/>
      </w:r>
      <w:bookmarkEnd w:id="17"/>
      <w:r>
        <w:t>Krav til udformning af beholdere til drikkevarer</w:t>
      </w:r>
    </w:p>
    <w:p w14:paraId="32932739" w14:textId="77777777" w:rsidR="006610EC" w:rsidRPr="000B1395" w:rsidRDefault="006610EC" w:rsidP="000B1395">
      <w:pPr>
        <w:jc w:val="center"/>
        <w:rPr>
          <w:rFonts w:ascii="Verdana" w:hAnsi="Verdana"/>
          <w:b/>
        </w:rPr>
      </w:pPr>
    </w:p>
    <w:p w14:paraId="3F2E2D86" w14:textId="4AAAD1B0" w:rsidR="000B1395" w:rsidRDefault="000B1395" w:rsidP="00C525D6">
      <w:pPr>
        <w:pStyle w:val="ListParagraph"/>
        <w:numPr>
          <w:ilvl w:val="0"/>
          <w:numId w:val="26"/>
        </w:numPr>
        <w:tabs>
          <w:tab w:val="left" w:pos="993"/>
        </w:tabs>
        <w:ind w:left="709"/>
        <w:jc w:val="both"/>
        <w:rPr>
          <w:rFonts w:ascii="Verdana" w:hAnsi="Verdana"/>
        </w:rPr>
      </w:pPr>
      <w:r>
        <w:rPr>
          <w:rFonts w:ascii="Verdana" w:hAnsi="Verdana"/>
        </w:rPr>
        <w:lastRenderedPageBreak/>
        <w:t>Fra den 3. juli 2024, engangsbeholdere af plast til drikkevarer med et rumindhold på op til tre liter, dvs. beholdere, der anvendes til at indeholde væske, f.eks. flasker til drikkevarer og emballage til sammensatte drikkevarer, herunder deres kapsler og låg, når disse kapsler og låg forbliver fastgjort til beholderne under produktets påtænkte anvendelsesstadium.</w:t>
      </w:r>
    </w:p>
    <w:p w14:paraId="6995420C" w14:textId="45131C9A" w:rsidR="000B1395" w:rsidRPr="00182AD4" w:rsidRDefault="00407DEE" w:rsidP="00C525D6">
      <w:pPr>
        <w:pStyle w:val="ListParagraph"/>
        <w:numPr>
          <w:ilvl w:val="0"/>
          <w:numId w:val="26"/>
        </w:numPr>
        <w:tabs>
          <w:tab w:val="left" w:pos="993"/>
        </w:tabs>
        <w:ind w:left="709"/>
        <w:jc w:val="both"/>
        <w:rPr>
          <w:rFonts w:ascii="Verdana" w:hAnsi="Verdana"/>
        </w:rPr>
      </w:pPr>
      <w:r>
        <w:rPr>
          <w:rFonts w:ascii="Verdana" w:hAnsi="Verdana"/>
        </w:rPr>
        <w:t>Følgende er ikke omfattet af foregående afsnit:</w:t>
      </w:r>
    </w:p>
    <w:p w14:paraId="1E13B46E" w14:textId="77777777" w:rsidR="000B1395" w:rsidRPr="00F7675E" w:rsidRDefault="000B1395" w:rsidP="00C525D6">
      <w:pPr>
        <w:pStyle w:val="ListParagraph"/>
        <w:numPr>
          <w:ilvl w:val="0"/>
          <w:numId w:val="27"/>
        </w:numPr>
        <w:spacing w:line="240" w:lineRule="auto"/>
        <w:rPr>
          <w:rFonts w:ascii="Verdana" w:hAnsi="Verdana"/>
        </w:rPr>
      </w:pPr>
      <w:r>
        <w:rPr>
          <w:rFonts w:ascii="Verdana" w:hAnsi="Verdana"/>
        </w:rPr>
        <w:t xml:space="preserve">beholdere af glas eller metal til drikkevarer med kapsler og låg af plast; </w:t>
      </w:r>
    </w:p>
    <w:p w14:paraId="74FDB347" w14:textId="77777777" w:rsidR="000B1395" w:rsidRPr="00F7675E" w:rsidRDefault="000B1395" w:rsidP="00C525D6">
      <w:pPr>
        <w:pStyle w:val="ListParagraph"/>
        <w:numPr>
          <w:ilvl w:val="0"/>
          <w:numId w:val="27"/>
        </w:numPr>
        <w:spacing w:line="240" w:lineRule="auto"/>
        <w:rPr>
          <w:rFonts w:ascii="Verdana" w:hAnsi="Verdana"/>
        </w:rPr>
      </w:pPr>
      <w:r>
        <w:rPr>
          <w:rFonts w:ascii="Verdana" w:hAnsi="Verdana"/>
        </w:rPr>
        <w:t>drikkevarebeholdere, der er bestemt til og anvendes til fødevarer i flydende form til særlige medicinske formål som defineret i artikel 2, litra g), i Europa-Parlamentets og Rådets forordning (EU) nr. 609/2013 (3).</w:t>
      </w:r>
    </w:p>
    <w:p w14:paraId="43D3AA65" w14:textId="0B3AC49C" w:rsidR="000B1395" w:rsidRDefault="000B1395" w:rsidP="00C525D6">
      <w:pPr>
        <w:pStyle w:val="ListParagraph"/>
        <w:numPr>
          <w:ilvl w:val="0"/>
          <w:numId w:val="26"/>
        </w:numPr>
        <w:tabs>
          <w:tab w:val="left" w:pos="993"/>
        </w:tabs>
        <w:ind w:left="709"/>
        <w:jc w:val="both"/>
        <w:rPr>
          <w:rFonts w:ascii="Verdana" w:hAnsi="Verdana"/>
        </w:rPr>
      </w:pPr>
      <w:r>
        <w:rPr>
          <w:rFonts w:ascii="Verdana" w:hAnsi="Verdana"/>
        </w:rPr>
        <w:t>Ved anvendelsen af ovenstående afsnit anses metalkapsler eller -låg med plastforsegling ikke for at være fremstillet af plast.</w:t>
      </w:r>
    </w:p>
    <w:p w14:paraId="2A3CCB6B" w14:textId="21E6BCBC" w:rsidR="000B1395" w:rsidRPr="00DB0171" w:rsidRDefault="000B1395" w:rsidP="00C525D6">
      <w:pPr>
        <w:pStyle w:val="ListParagraph"/>
        <w:numPr>
          <w:ilvl w:val="0"/>
          <w:numId w:val="26"/>
        </w:numPr>
        <w:tabs>
          <w:tab w:val="left" w:pos="993"/>
        </w:tabs>
        <w:ind w:left="709"/>
        <w:jc w:val="both"/>
        <w:rPr>
          <w:rFonts w:ascii="Verdana" w:hAnsi="Verdana"/>
        </w:rPr>
      </w:pPr>
      <w:r>
        <w:t>Med henblik på denne artikel anses de i stk. 1 omhandlede plastprodukter til engangsbrug for at være i overensstemmelse med de harmoniserede standarder på dette område eller med den del, der gælder for dem, og som offentliggøres på EU-plan, og som opfylder kravene i stk. 1.</w:t>
      </w:r>
    </w:p>
    <w:p w14:paraId="14D80B17" w14:textId="77777777" w:rsidR="000B1395" w:rsidRPr="000B1395" w:rsidRDefault="000B1395" w:rsidP="000B1395"/>
    <w:p w14:paraId="47E09CB1" w14:textId="6E6EEAB2" w:rsidR="00910B5B" w:rsidRDefault="00AC3F76" w:rsidP="000600E7">
      <w:pPr>
        <w:pStyle w:val="Heading2"/>
        <w:numPr>
          <w:ilvl w:val="0"/>
          <w:numId w:val="0"/>
        </w:numPr>
        <w:ind w:left="426"/>
      </w:pPr>
      <w:bookmarkStart w:id="18" w:name="_Ref66120945"/>
      <w:r>
        <w:t>Artikel 11</w:t>
      </w:r>
      <w:r>
        <w:br/>
      </w:r>
      <w:bookmarkEnd w:id="18"/>
      <w:r>
        <w:t>Krav til indbygning af genvundet plast i flasker til drikkevarer</w:t>
      </w:r>
    </w:p>
    <w:p w14:paraId="71D0ED01" w14:textId="77777777" w:rsidR="00C756A3" w:rsidRPr="00C756A3" w:rsidRDefault="00C756A3" w:rsidP="00C756A3"/>
    <w:p w14:paraId="293CC75C" w14:textId="0F21C308" w:rsidR="00910B5B" w:rsidRDefault="00910B5B" w:rsidP="00C525D6">
      <w:pPr>
        <w:pStyle w:val="ListParagraph"/>
        <w:numPr>
          <w:ilvl w:val="0"/>
          <w:numId w:val="28"/>
        </w:numPr>
        <w:tabs>
          <w:tab w:val="left" w:pos="993"/>
        </w:tabs>
        <w:ind w:left="709"/>
        <w:jc w:val="both"/>
        <w:rPr>
          <w:rFonts w:ascii="Verdana" w:hAnsi="Verdana"/>
        </w:rPr>
      </w:pPr>
      <w:bookmarkStart w:id="19" w:name="_Ref63443128"/>
      <w:bookmarkStart w:id="20" w:name="_Ref66120973"/>
      <w:r>
        <w:t>Fra den 1. januar 2025 skal engangsplastflasker til drikkevarer med en kapacitet på op til tre liter, herunder kapsler og låg heraf, og som er fremstillet af polyethylenterephthalat som hovedbestanddel ("PET-flasker"), indeholde mindst 25 % genanvendt plast, beregnet som et gennemsnit for alle PET-flasker, der markedsføres</w:t>
      </w:r>
      <w:bookmarkEnd w:id="19"/>
      <w:r>
        <w:t>.</w:t>
      </w:r>
      <w:bookmarkEnd w:id="20"/>
    </w:p>
    <w:p w14:paraId="1BB8DA42" w14:textId="46544031" w:rsidR="00910B5B" w:rsidRDefault="00910B5B" w:rsidP="00C525D6">
      <w:pPr>
        <w:pStyle w:val="ListParagraph"/>
        <w:numPr>
          <w:ilvl w:val="0"/>
          <w:numId w:val="28"/>
        </w:numPr>
        <w:tabs>
          <w:tab w:val="left" w:pos="993"/>
        </w:tabs>
        <w:ind w:left="709"/>
        <w:jc w:val="both"/>
        <w:rPr>
          <w:rFonts w:ascii="Verdana" w:hAnsi="Verdana"/>
        </w:rPr>
      </w:pPr>
      <w:bookmarkStart w:id="21" w:name="_Ref66120985"/>
      <w:r>
        <w:rPr>
          <w:rFonts w:ascii="Verdana" w:hAnsi="Verdana"/>
        </w:rPr>
        <w:t>Fra den 1. januar 2030 skal engangsplastflasker til drikkevarer med en kapacitet på op til tre liter, herunder kapsler og låg, indeholde mindst 30 % genanvendt plast, beregnet som et gennemsnit for alle flasker til drikkevarer, der markedsføres.</w:t>
      </w:r>
      <w:bookmarkEnd w:id="21"/>
    </w:p>
    <w:p w14:paraId="1D99D48B" w14:textId="667F57C9" w:rsidR="00910B5B" w:rsidRPr="00B65C65" w:rsidRDefault="00910B5B" w:rsidP="00C525D6">
      <w:pPr>
        <w:pStyle w:val="ListParagraph"/>
        <w:numPr>
          <w:ilvl w:val="0"/>
          <w:numId w:val="28"/>
        </w:numPr>
        <w:tabs>
          <w:tab w:val="left" w:pos="993"/>
        </w:tabs>
        <w:ind w:left="709"/>
        <w:jc w:val="both"/>
        <w:rPr>
          <w:rFonts w:ascii="Verdana" w:hAnsi="Verdana"/>
        </w:rPr>
      </w:pPr>
      <w:r>
        <w:t>Følgende er udelukket fra stk. 1 og 2 i denne artikel:</w:t>
      </w:r>
      <w:r>
        <w:rPr>
          <w:rFonts w:ascii="Verdana" w:hAnsi="Verdana"/>
        </w:rPr>
        <w:t xml:space="preserve"> </w:t>
      </w:r>
    </w:p>
    <w:p w14:paraId="317BA5AC" w14:textId="1FBF2639" w:rsidR="00910B5B" w:rsidRPr="00F7675E" w:rsidRDefault="00910B5B" w:rsidP="00C525D6">
      <w:pPr>
        <w:pStyle w:val="ListParagraph"/>
        <w:numPr>
          <w:ilvl w:val="0"/>
          <w:numId w:val="29"/>
        </w:numPr>
        <w:spacing w:line="240" w:lineRule="auto"/>
        <w:rPr>
          <w:rFonts w:ascii="Verdana" w:hAnsi="Verdana"/>
        </w:rPr>
      </w:pPr>
      <w:r>
        <w:rPr>
          <w:rFonts w:ascii="Verdana" w:hAnsi="Verdana"/>
        </w:rPr>
        <w:t>flasker af glas eller metal med kapsler og låg af plast;</w:t>
      </w:r>
    </w:p>
    <w:p w14:paraId="6F8F94C4" w14:textId="77777777" w:rsidR="00910B5B" w:rsidRPr="00F7675E" w:rsidRDefault="00910B5B" w:rsidP="00C525D6">
      <w:pPr>
        <w:pStyle w:val="ListParagraph"/>
        <w:numPr>
          <w:ilvl w:val="0"/>
          <w:numId w:val="29"/>
        </w:numPr>
        <w:spacing w:line="240" w:lineRule="auto"/>
        <w:rPr>
          <w:rFonts w:ascii="Verdana" w:hAnsi="Verdana"/>
        </w:rPr>
      </w:pPr>
      <w:r>
        <w:rPr>
          <w:rFonts w:ascii="Verdana" w:hAnsi="Verdana"/>
        </w:rPr>
        <w:t xml:space="preserve">flasker til drikkevarer, der er bestemt til og anvendes til fødevarer til specifikke medicinske formål som defineret i artikel 2, litra g), i forordning (EU) nr. 609/2013, som er i flydende form. </w:t>
      </w:r>
    </w:p>
    <w:p w14:paraId="724B28DF" w14:textId="77777777" w:rsidR="00910B5B" w:rsidRDefault="00910B5B" w:rsidP="00C525D6">
      <w:pPr>
        <w:pStyle w:val="ListParagraph"/>
        <w:numPr>
          <w:ilvl w:val="0"/>
          <w:numId w:val="28"/>
        </w:numPr>
        <w:tabs>
          <w:tab w:val="left" w:pos="993"/>
        </w:tabs>
        <w:ind w:left="709"/>
        <w:jc w:val="both"/>
        <w:rPr>
          <w:rFonts w:ascii="Verdana" w:hAnsi="Verdana"/>
        </w:rPr>
      </w:pPr>
      <w:r>
        <w:rPr>
          <w:rFonts w:ascii="Verdana" w:hAnsi="Verdana"/>
        </w:rPr>
        <w:lastRenderedPageBreak/>
        <w:t>I denne artikel anses metalkapsler eller -låg med plastforsegling ikke for at være fremstillet af plast.</w:t>
      </w:r>
    </w:p>
    <w:p w14:paraId="46E244C4" w14:textId="4F894862" w:rsidR="007E1EED" w:rsidRDefault="00910B5B" w:rsidP="00C525D6">
      <w:pPr>
        <w:pStyle w:val="ListParagraph"/>
        <w:numPr>
          <w:ilvl w:val="0"/>
          <w:numId w:val="28"/>
        </w:numPr>
        <w:tabs>
          <w:tab w:val="left" w:pos="993"/>
        </w:tabs>
        <w:ind w:left="709"/>
        <w:jc w:val="both"/>
        <w:rPr>
          <w:rFonts w:ascii="Verdana" w:hAnsi="Verdana"/>
        </w:rPr>
      </w:pPr>
      <w:r>
        <w:t>De i stk. 1 og 2 omhandlede procentsatser skal hvert år overholdes af hver pakkeudbyder, der markedsfører sine flasker.</w:t>
      </w:r>
    </w:p>
    <w:p w14:paraId="486BF503" w14:textId="1E9AB095" w:rsidR="00910B5B" w:rsidRPr="00B65C65" w:rsidRDefault="007E1EED" w:rsidP="00C525D6">
      <w:pPr>
        <w:pStyle w:val="ListParagraph"/>
        <w:numPr>
          <w:ilvl w:val="0"/>
          <w:numId w:val="28"/>
        </w:numPr>
        <w:tabs>
          <w:tab w:val="left" w:pos="993"/>
        </w:tabs>
        <w:ind w:left="709"/>
        <w:jc w:val="both"/>
        <w:rPr>
          <w:rFonts w:ascii="Verdana" w:hAnsi="Verdana"/>
        </w:rPr>
      </w:pPr>
      <w:r>
        <w:rPr>
          <w:rFonts w:ascii="Verdana" w:hAnsi="Verdana"/>
        </w:rPr>
        <w:t>Pakkerne skal på anmodning af de kompetente myndigheder fremlægge passende bevis for mængden af genvundet plast, der er indeholdt i flasker til drikkevarer, navnlig ved hjælp af erklæringer fra deres producenter eller leverandører.</w:t>
      </w:r>
    </w:p>
    <w:p w14:paraId="70A3539F" w14:textId="60AAB4A9" w:rsidR="00910B5B" w:rsidRPr="00B65C65" w:rsidRDefault="00910B5B" w:rsidP="00C525D6">
      <w:pPr>
        <w:pStyle w:val="ListParagraph"/>
        <w:numPr>
          <w:ilvl w:val="0"/>
          <w:numId w:val="28"/>
        </w:numPr>
        <w:tabs>
          <w:tab w:val="left" w:pos="993"/>
        </w:tabs>
        <w:ind w:left="709"/>
        <w:jc w:val="both"/>
        <w:rPr>
          <w:rFonts w:ascii="Verdana" w:hAnsi="Verdana"/>
        </w:rPr>
      </w:pPr>
      <w:r>
        <w:t>Med henblik på at kontrollere, om målene i stk. 1 i denne artikel overholdes, tages der hensyn til de beregningsregler, der er fastsat i gennemførelsesretsakten vedtaget af Europa-Kommissionen.</w:t>
      </w:r>
      <w:r>
        <w:rPr>
          <w:rFonts w:ascii="Verdana" w:hAnsi="Verdana"/>
        </w:rPr>
        <w:t xml:space="preserve"> </w:t>
      </w:r>
    </w:p>
    <w:p w14:paraId="08D164A0" w14:textId="640DF22A" w:rsidR="00910B5B" w:rsidRDefault="00910B5B" w:rsidP="00910B5B"/>
    <w:p w14:paraId="233E763D" w14:textId="378D6E9D" w:rsidR="006610EC" w:rsidRPr="006610EC" w:rsidRDefault="00AC3F76" w:rsidP="000600E7">
      <w:pPr>
        <w:pStyle w:val="Heading2"/>
        <w:numPr>
          <w:ilvl w:val="0"/>
          <w:numId w:val="0"/>
        </w:numPr>
        <w:tabs>
          <w:tab w:val="clear" w:pos="1701"/>
          <w:tab w:val="left" w:pos="1418"/>
        </w:tabs>
        <w:ind w:left="426"/>
      </w:pPr>
      <w:r>
        <w:t>Artikel 12</w:t>
      </w:r>
      <w:r>
        <w:br/>
        <w:t>Mærknings</w:t>
      </w:r>
      <w:bookmarkStart w:id="22" w:name="_Ref63690920"/>
      <w:r>
        <w:t>krav</w:t>
      </w:r>
      <w:bookmarkStart w:id="23" w:name="_Ref66121082"/>
      <w:bookmarkEnd w:id="22"/>
    </w:p>
    <w:p w14:paraId="23B4288E" w14:textId="7CC123E7" w:rsidR="000B1395" w:rsidRPr="00182AD4" w:rsidRDefault="000B1395" w:rsidP="00C525D6">
      <w:pPr>
        <w:pStyle w:val="ListParagraph"/>
        <w:numPr>
          <w:ilvl w:val="0"/>
          <w:numId w:val="13"/>
        </w:numPr>
        <w:ind w:left="709"/>
        <w:jc w:val="both"/>
        <w:rPr>
          <w:rFonts w:ascii="Verdana" w:hAnsi="Verdana"/>
        </w:rPr>
      </w:pPr>
      <w:bookmarkStart w:id="24" w:name="_Hlk65348626"/>
      <w:bookmarkStart w:id="25" w:name="_Ref63441404"/>
      <w:bookmarkEnd w:id="23"/>
      <w:r>
        <w:t>Fra den 3. juli 2021</w:t>
      </w:r>
      <w:bookmarkEnd w:id="24"/>
      <w:r>
        <w:t xml:space="preserve"> må følgende plastprodukter til engangsbrug kun markedsføres, hvis de opfylder de mærkningsbestemmelser, der er omhandlet i følgende stykker: </w:t>
      </w:r>
      <w:bookmarkEnd w:id="25"/>
    </w:p>
    <w:p w14:paraId="51848D1A" w14:textId="77777777" w:rsidR="000B1395" w:rsidRPr="00637341" w:rsidRDefault="000B1395" w:rsidP="00C525D6">
      <w:pPr>
        <w:pStyle w:val="ListParagraph"/>
        <w:numPr>
          <w:ilvl w:val="0"/>
          <w:numId w:val="30"/>
        </w:numPr>
        <w:spacing w:line="240" w:lineRule="auto"/>
        <w:rPr>
          <w:rFonts w:ascii="Verdana" w:hAnsi="Verdana"/>
        </w:rPr>
      </w:pPr>
      <w:r>
        <w:rPr>
          <w:rFonts w:ascii="Verdana" w:hAnsi="Verdana"/>
        </w:rPr>
        <w:t>hygiejnebind, tamponer og tamponapplikatorer;</w:t>
      </w:r>
    </w:p>
    <w:p w14:paraId="6525FD27" w14:textId="77777777" w:rsidR="000B1395" w:rsidRDefault="000B1395" w:rsidP="00C525D6">
      <w:pPr>
        <w:pStyle w:val="ListParagraph"/>
        <w:numPr>
          <w:ilvl w:val="0"/>
          <w:numId w:val="30"/>
        </w:numPr>
        <w:spacing w:line="240" w:lineRule="auto"/>
        <w:rPr>
          <w:rFonts w:ascii="Verdana" w:hAnsi="Verdana"/>
        </w:rPr>
      </w:pPr>
      <w:r>
        <w:rPr>
          <w:rFonts w:ascii="Verdana" w:hAnsi="Verdana"/>
        </w:rPr>
        <w:t>vådservietter, dvs. forvædede servietter til personlig pleje og husholdningsbrug;</w:t>
      </w:r>
    </w:p>
    <w:p w14:paraId="7D6DB1C8" w14:textId="77777777" w:rsidR="000B1395" w:rsidRPr="00637341" w:rsidRDefault="000B1395" w:rsidP="00C525D6">
      <w:pPr>
        <w:pStyle w:val="ListParagraph"/>
        <w:numPr>
          <w:ilvl w:val="0"/>
          <w:numId w:val="30"/>
        </w:numPr>
        <w:spacing w:line="240" w:lineRule="auto"/>
        <w:rPr>
          <w:rFonts w:ascii="Verdana" w:hAnsi="Verdana"/>
        </w:rPr>
      </w:pPr>
      <w:r>
        <w:rPr>
          <w:rFonts w:ascii="Verdana" w:hAnsi="Verdana"/>
        </w:rPr>
        <w:t xml:space="preserve">tobaksprodukter med filtre og filtre, der markedsføres med henblik på anvendelse i kombination med tobaksvarer; og </w:t>
      </w:r>
    </w:p>
    <w:p w14:paraId="744A4615" w14:textId="77777777" w:rsidR="000B1395" w:rsidRDefault="000B1395" w:rsidP="00C525D6">
      <w:pPr>
        <w:pStyle w:val="ListParagraph"/>
        <w:numPr>
          <w:ilvl w:val="0"/>
          <w:numId w:val="30"/>
        </w:numPr>
        <w:spacing w:line="240" w:lineRule="auto"/>
        <w:rPr>
          <w:rFonts w:ascii="Verdana" w:hAnsi="Verdana"/>
        </w:rPr>
      </w:pPr>
      <w:r>
        <w:rPr>
          <w:rFonts w:ascii="Verdana" w:hAnsi="Verdana"/>
        </w:rPr>
        <w:t xml:space="preserve">kopper til drikkevarer. </w:t>
      </w:r>
    </w:p>
    <w:p w14:paraId="2FB5D019" w14:textId="77777777" w:rsidR="000B1395" w:rsidRDefault="000B1395" w:rsidP="00C525D6">
      <w:pPr>
        <w:pStyle w:val="ListParagraph"/>
        <w:numPr>
          <w:ilvl w:val="0"/>
          <w:numId w:val="13"/>
        </w:numPr>
        <w:jc w:val="both"/>
        <w:rPr>
          <w:rFonts w:ascii="Verdana" w:hAnsi="Verdana"/>
        </w:rPr>
      </w:pPr>
      <w:r>
        <w:rPr>
          <w:rFonts w:ascii="Verdana" w:hAnsi="Verdana"/>
        </w:rPr>
        <w:t>De plastprodukter til engangsbrug, der er omhandlet i foregående stykke, skal på emballagen eller selve produktet være forsynet med en let læselig og uudslettelig mærkning, som skal indeholde følgende oplysninger, der er bestemt for forbrugerne:</w:t>
      </w:r>
    </w:p>
    <w:p w14:paraId="6CFD1D28" w14:textId="77777777" w:rsidR="000B1395" w:rsidRPr="003F6B93" w:rsidRDefault="000B1395" w:rsidP="00C525D6">
      <w:pPr>
        <w:pStyle w:val="ListParagraph"/>
        <w:numPr>
          <w:ilvl w:val="0"/>
          <w:numId w:val="31"/>
        </w:numPr>
        <w:spacing w:line="240" w:lineRule="auto"/>
        <w:rPr>
          <w:rFonts w:ascii="Verdana" w:hAnsi="Verdana"/>
        </w:rPr>
      </w:pPr>
      <w:r>
        <w:rPr>
          <w:rFonts w:ascii="Verdana" w:hAnsi="Verdana"/>
        </w:rPr>
        <w:t xml:space="preserve">passende midler til affaldsbortskaffelse af produktet eller affaldsbortskaffelsesmidler, der skal undgås for det pågældende produkt i overensstemmelse med affaldshierarkiet; og </w:t>
      </w:r>
    </w:p>
    <w:p w14:paraId="45546BB6" w14:textId="00EB4430" w:rsidR="000B1395" w:rsidRPr="003F6B93" w:rsidRDefault="000B1395" w:rsidP="00C525D6">
      <w:pPr>
        <w:pStyle w:val="ListParagraph"/>
        <w:numPr>
          <w:ilvl w:val="0"/>
          <w:numId w:val="31"/>
        </w:numPr>
        <w:spacing w:line="240" w:lineRule="auto"/>
        <w:rPr>
          <w:rFonts w:ascii="Verdana" w:hAnsi="Verdana"/>
        </w:rPr>
      </w:pPr>
      <w:r>
        <w:rPr>
          <w:rFonts w:ascii="Verdana" w:hAnsi="Verdana"/>
        </w:rPr>
        <w:t xml:space="preserve">tilstedeværelsen af plast i produktet og den deraf følgende negative indvirkning af affald eller andre uhensigtsmæssige metoder til bortskaffelse af produktet på miljøet. </w:t>
      </w:r>
    </w:p>
    <w:p w14:paraId="52B4F969" w14:textId="23F7E8B2" w:rsidR="000B1395" w:rsidRPr="003A48D5" w:rsidRDefault="000B1395" w:rsidP="00C525D6">
      <w:pPr>
        <w:pStyle w:val="ListParagraph"/>
        <w:numPr>
          <w:ilvl w:val="0"/>
          <w:numId w:val="13"/>
        </w:numPr>
        <w:jc w:val="both"/>
        <w:rPr>
          <w:rFonts w:ascii="Verdana" w:hAnsi="Verdana"/>
        </w:rPr>
      </w:pPr>
      <w:r>
        <w:rPr>
          <w:rFonts w:ascii="Verdana" w:hAnsi="Verdana"/>
        </w:rPr>
        <w:t>De mærkningsspecifikationer, der er omhandlet i de foregående stykker, er fastsat i Kommissionens gennemførelsesforordning (EU) 2020/2151 af 17. december 2020.</w:t>
      </w:r>
    </w:p>
    <w:p w14:paraId="03D11840" w14:textId="2FEB97F4" w:rsidR="000B1395" w:rsidRDefault="000B1395" w:rsidP="00C525D6">
      <w:pPr>
        <w:pStyle w:val="ListParagraph"/>
        <w:numPr>
          <w:ilvl w:val="0"/>
          <w:numId w:val="13"/>
        </w:numPr>
        <w:jc w:val="both"/>
        <w:rPr>
          <w:rFonts w:ascii="Verdana" w:hAnsi="Verdana"/>
        </w:rPr>
      </w:pPr>
      <w:r>
        <w:rPr>
          <w:rFonts w:ascii="Verdana" w:hAnsi="Verdana"/>
        </w:rPr>
        <w:t>Bestemmelserne i denne artikel om tobaksvarer føjes til bestemmelserne i lovdekret nr. 109/2015 af 26. august.</w:t>
      </w:r>
    </w:p>
    <w:p w14:paraId="4528C33F" w14:textId="77777777" w:rsidR="000B1395" w:rsidRPr="003F6B93" w:rsidRDefault="000B1395" w:rsidP="00A85085">
      <w:pPr>
        <w:spacing w:before="120" w:after="120" w:line="240" w:lineRule="auto"/>
        <w:jc w:val="both"/>
        <w:rPr>
          <w:rFonts w:ascii="Verdana" w:hAnsi="Verdana" w:cs="Arial"/>
          <w:color w:val="3C3C3C"/>
          <w:sz w:val="21"/>
          <w:szCs w:val="21"/>
        </w:rPr>
      </w:pPr>
    </w:p>
    <w:p w14:paraId="182C2EF4" w14:textId="77777777" w:rsidR="00F9082F" w:rsidRPr="003F6B93" w:rsidRDefault="00F9082F" w:rsidP="00893B34">
      <w:pPr>
        <w:jc w:val="both"/>
        <w:rPr>
          <w:rFonts w:ascii="Verdana" w:hAnsi="Verdana"/>
        </w:rPr>
      </w:pPr>
    </w:p>
    <w:p w14:paraId="6AE4673B" w14:textId="762ECF40" w:rsidR="009820C4" w:rsidRPr="003F6B93" w:rsidRDefault="003F14EA" w:rsidP="00E92A33">
      <w:pPr>
        <w:pStyle w:val="Heading1"/>
        <w:tabs>
          <w:tab w:val="clear" w:pos="3969"/>
          <w:tab w:val="left" w:pos="2410"/>
        </w:tabs>
      </w:pPr>
      <w:r>
        <w:br/>
      </w:r>
      <w:bookmarkStart w:id="26" w:name="_Ref66121225"/>
      <w:r>
        <w:t>Udvidet producentansvar</w:t>
      </w:r>
      <w:bookmarkEnd w:id="26"/>
    </w:p>
    <w:p w14:paraId="4D4FD2B1" w14:textId="6A54F531" w:rsidR="00CF3B6A" w:rsidRDefault="00AC3F76" w:rsidP="000600E7">
      <w:pPr>
        <w:pStyle w:val="Heading2"/>
        <w:numPr>
          <w:ilvl w:val="0"/>
          <w:numId w:val="0"/>
        </w:numPr>
        <w:tabs>
          <w:tab w:val="clear" w:pos="1701"/>
          <w:tab w:val="left" w:pos="1418"/>
        </w:tabs>
        <w:ind w:left="426"/>
      </w:pPr>
      <w:bookmarkStart w:id="27" w:name="_Ref66121190"/>
      <w:r>
        <w:t>Artikel 13</w:t>
      </w:r>
      <w:r>
        <w:br/>
      </w:r>
      <w:bookmarkEnd w:id="27"/>
      <w:r>
        <w:t>Tilpasning af den udvidede producentansvarsordning</w:t>
      </w:r>
    </w:p>
    <w:p w14:paraId="078DCD32" w14:textId="77777777" w:rsidR="006610EC" w:rsidRPr="006610EC" w:rsidRDefault="006610EC" w:rsidP="006610EC"/>
    <w:p w14:paraId="3392D79B" w14:textId="0F56A5E4" w:rsidR="00CF3B6A" w:rsidRPr="00F7675E" w:rsidRDefault="00CF3B6A" w:rsidP="00C525D6">
      <w:pPr>
        <w:pStyle w:val="ListParagraph"/>
        <w:numPr>
          <w:ilvl w:val="0"/>
          <w:numId w:val="32"/>
        </w:numPr>
        <w:jc w:val="both"/>
        <w:rPr>
          <w:rFonts w:ascii="Verdana" w:hAnsi="Verdana"/>
        </w:rPr>
      </w:pPr>
      <w:bookmarkStart w:id="28" w:name="_Hlk65401219"/>
      <w:bookmarkStart w:id="29" w:name="_Ref63444363"/>
      <w:bookmarkStart w:id="30" w:name="_Hlk65800056"/>
      <w:bookmarkStart w:id="31" w:name="_Hlk65440645"/>
      <w:r>
        <w:t>Senest den 1. januar 2023 ændres den nuværende udvidede producentansvarsordning for emballage og emballageaffald for følgende engangsplastprodukter, der markedsføres, for at opfylde kravene i artikel 15</w:t>
      </w:r>
      <w:bookmarkEnd w:id="28"/>
      <w:r>
        <w:t>:</w:t>
      </w:r>
      <w:bookmarkEnd w:id="29"/>
    </w:p>
    <w:bookmarkEnd w:id="30"/>
    <w:p w14:paraId="02229E91" w14:textId="77777777" w:rsidR="00197BF8" w:rsidRPr="00F7675E" w:rsidRDefault="00197BF8" w:rsidP="00C525D6">
      <w:pPr>
        <w:pStyle w:val="ListParagraph"/>
        <w:numPr>
          <w:ilvl w:val="0"/>
          <w:numId w:val="33"/>
        </w:numPr>
        <w:spacing w:line="240" w:lineRule="auto"/>
        <w:rPr>
          <w:rFonts w:ascii="Verdana" w:hAnsi="Verdana"/>
        </w:rPr>
      </w:pPr>
      <w:r>
        <w:rPr>
          <w:rFonts w:ascii="Verdana" w:hAnsi="Verdana"/>
        </w:rPr>
        <w:t xml:space="preserve">Fødevarebeholdere, dvs. beholdere, f.eks. æsker, med eller uden låg, der anvendes til at indeholde fødevarer, som: </w:t>
      </w:r>
    </w:p>
    <w:p w14:paraId="0529DB33" w14:textId="77777777" w:rsidR="00197BF8" w:rsidRPr="00E92A33" w:rsidRDefault="00197BF8" w:rsidP="00C525D6">
      <w:pPr>
        <w:pStyle w:val="ListParagraph"/>
        <w:numPr>
          <w:ilvl w:val="2"/>
          <w:numId w:val="14"/>
        </w:numPr>
        <w:tabs>
          <w:tab w:val="left" w:pos="567"/>
        </w:tabs>
        <w:spacing w:after="200" w:line="276" w:lineRule="auto"/>
        <w:ind w:left="1843" w:hanging="383"/>
        <w:jc w:val="both"/>
        <w:rPr>
          <w:rFonts w:ascii="Verdana" w:hAnsi="Verdana"/>
        </w:rPr>
      </w:pPr>
      <w:r>
        <w:rPr>
          <w:rFonts w:ascii="Verdana" w:hAnsi="Verdana"/>
        </w:rPr>
        <w:t>er beregnet til umiddelbar fortæring enten på salgsstedet eller som takeaway;</w:t>
      </w:r>
    </w:p>
    <w:p w14:paraId="31CAE1B0" w14:textId="77777777" w:rsidR="00197BF8" w:rsidRPr="00E92A33" w:rsidRDefault="00197BF8" w:rsidP="00C525D6">
      <w:pPr>
        <w:pStyle w:val="ListParagraph"/>
        <w:numPr>
          <w:ilvl w:val="2"/>
          <w:numId w:val="14"/>
        </w:numPr>
        <w:tabs>
          <w:tab w:val="left" w:pos="567"/>
        </w:tabs>
        <w:spacing w:after="200" w:line="276" w:lineRule="auto"/>
        <w:ind w:left="1843" w:hanging="383"/>
        <w:jc w:val="both"/>
        <w:rPr>
          <w:rFonts w:ascii="Verdana" w:hAnsi="Verdana"/>
        </w:rPr>
      </w:pPr>
      <w:r>
        <w:rPr>
          <w:rFonts w:ascii="Verdana" w:hAnsi="Verdana"/>
        </w:rPr>
        <w:t>typisk fortæres fra beholderen; og</w:t>
      </w:r>
    </w:p>
    <w:p w14:paraId="4F40E336" w14:textId="77777777" w:rsidR="00197BF8" w:rsidRPr="00E92A33" w:rsidRDefault="00197BF8" w:rsidP="00C525D6">
      <w:pPr>
        <w:pStyle w:val="ListParagraph"/>
        <w:numPr>
          <w:ilvl w:val="2"/>
          <w:numId w:val="14"/>
        </w:numPr>
        <w:tabs>
          <w:tab w:val="left" w:pos="567"/>
        </w:tabs>
        <w:spacing w:after="200" w:line="276" w:lineRule="auto"/>
        <w:ind w:left="1843" w:hanging="383"/>
        <w:jc w:val="both"/>
        <w:rPr>
          <w:rFonts w:ascii="Verdana" w:hAnsi="Verdana"/>
        </w:rPr>
      </w:pPr>
      <w:r>
        <w:rPr>
          <w:rFonts w:ascii="Verdana" w:hAnsi="Verdana"/>
        </w:rPr>
        <w:t xml:space="preserve">er klar til at blive fortæret uden yderligere tilberedning såsom stegning, kogning eller opvarmning, </w:t>
      </w:r>
    </w:p>
    <w:p w14:paraId="075967C0" w14:textId="77777777" w:rsidR="00197BF8" w:rsidRPr="00E92A33" w:rsidRDefault="00197BF8" w:rsidP="00197BF8">
      <w:pPr>
        <w:tabs>
          <w:tab w:val="left" w:pos="567"/>
        </w:tabs>
        <w:spacing w:after="200" w:line="276" w:lineRule="auto"/>
        <w:ind w:left="1134"/>
        <w:jc w:val="both"/>
        <w:rPr>
          <w:rFonts w:ascii="Verdana" w:hAnsi="Verdana"/>
        </w:rPr>
      </w:pPr>
      <w:r>
        <w:rPr>
          <w:rFonts w:ascii="Verdana" w:hAnsi="Verdana"/>
        </w:rPr>
        <w:t>herunder fødevarebeholdere, der anvendes til fastfood, eller andre måltider, som er klar til umiddelbar fortæring, undtagen drikkevarebeholdere, tallerkener og indpakningsposer og -folier indeholdende fødevarer;</w:t>
      </w:r>
    </w:p>
    <w:p w14:paraId="0BEDD35F" w14:textId="77777777" w:rsidR="00197BF8" w:rsidRPr="00F7675E" w:rsidRDefault="00197BF8" w:rsidP="00C525D6">
      <w:pPr>
        <w:pStyle w:val="ListParagraph"/>
        <w:numPr>
          <w:ilvl w:val="0"/>
          <w:numId w:val="33"/>
        </w:numPr>
        <w:spacing w:line="240" w:lineRule="auto"/>
        <w:rPr>
          <w:rFonts w:ascii="Verdana" w:hAnsi="Verdana"/>
        </w:rPr>
      </w:pPr>
      <w:r>
        <w:rPr>
          <w:rFonts w:ascii="Verdana" w:hAnsi="Verdana"/>
        </w:rPr>
        <w:t xml:space="preserve">pakker og indpakninger fremstillet af fleksibelt materiale, der indeholder fødevarer, som er bestemt til umiddelbar indtagelse fra pakningen eller indpakningen uden yderligere tilberedning; </w:t>
      </w:r>
    </w:p>
    <w:p w14:paraId="3DD293D7" w14:textId="77777777" w:rsidR="00197BF8" w:rsidRPr="00F7675E" w:rsidRDefault="00197BF8" w:rsidP="00C525D6">
      <w:pPr>
        <w:pStyle w:val="ListParagraph"/>
        <w:numPr>
          <w:ilvl w:val="0"/>
          <w:numId w:val="33"/>
        </w:numPr>
        <w:spacing w:line="240" w:lineRule="auto"/>
        <w:rPr>
          <w:rFonts w:ascii="Verdana" w:hAnsi="Verdana"/>
        </w:rPr>
      </w:pPr>
      <w:r>
        <w:rPr>
          <w:rFonts w:ascii="Verdana" w:hAnsi="Verdana"/>
        </w:rPr>
        <w:t xml:space="preserve">drikkevarebeholdere med et rumindhold på op til tre liter, dvs. beholdere, der anvendes til at indeholde væske, f.eks. flasker til drikkevarer, herunder kapsler og låg, og emballage til sammensatte drikkevarer, herunder kapsler og låg, men ikke beholdere af glas eller metal, som har kapsler og låg fremstillet af plast; </w:t>
      </w:r>
    </w:p>
    <w:p w14:paraId="527E7F03" w14:textId="77777777" w:rsidR="00197BF8" w:rsidRPr="00F7675E" w:rsidRDefault="00197BF8" w:rsidP="00C525D6">
      <w:pPr>
        <w:pStyle w:val="ListParagraph"/>
        <w:numPr>
          <w:ilvl w:val="0"/>
          <w:numId w:val="33"/>
        </w:numPr>
        <w:spacing w:line="240" w:lineRule="auto"/>
        <w:rPr>
          <w:rFonts w:ascii="Verdana" w:hAnsi="Verdana"/>
        </w:rPr>
      </w:pPr>
      <w:r>
        <w:rPr>
          <w:rFonts w:ascii="Verdana" w:hAnsi="Verdana"/>
        </w:rPr>
        <w:t xml:space="preserve">bægre til drikkevarer, herunder overtræk og låg; </w:t>
      </w:r>
    </w:p>
    <w:p w14:paraId="59DB831C" w14:textId="1B14A90A" w:rsidR="00197BF8" w:rsidRPr="00F7675E" w:rsidRDefault="00197BF8" w:rsidP="00C525D6">
      <w:pPr>
        <w:pStyle w:val="ListParagraph"/>
        <w:numPr>
          <w:ilvl w:val="0"/>
          <w:numId w:val="33"/>
        </w:numPr>
        <w:spacing w:line="240" w:lineRule="auto"/>
        <w:rPr>
          <w:rFonts w:ascii="Verdana" w:hAnsi="Verdana"/>
        </w:rPr>
      </w:pPr>
      <w:r>
        <w:rPr>
          <w:rFonts w:ascii="Verdana" w:hAnsi="Verdana"/>
        </w:rPr>
        <w:t>letvægtsplastbæreposer.</w:t>
      </w:r>
    </w:p>
    <w:p w14:paraId="7E641AC3" w14:textId="6163971C" w:rsidR="00197BF8" w:rsidRDefault="00197BF8" w:rsidP="00D4270E">
      <w:pPr>
        <w:pStyle w:val="ListParagraph"/>
        <w:tabs>
          <w:tab w:val="left" w:pos="284"/>
        </w:tabs>
        <w:autoSpaceDE w:val="0"/>
        <w:autoSpaceDN w:val="0"/>
        <w:adjustRightInd w:val="0"/>
        <w:ind w:left="426"/>
        <w:jc w:val="center"/>
        <w:rPr>
          <w:rFonts w:ascii="Verdana" w:hAnsi="Verdana" w:cs="EU Albertina"/>
        </w:rPr>
      </w:pPr>
    </w:p>
    <w:p w14:paraId="5D248077" w14:textId="0B4608A6" w:rsidR="00CF3B6A" w:rsidRPr="00F7675E" w:rsidRDefault="00700314" w:rsidP="00C525D6">
      <w:pPr>
        <w:pStyle w:val="ListParagraph"/>
        <w:numPr>
          <w:ilvl w:val="0"/>
          <w:numId w:val="32"/>
        </w:numPr>
        <w:jc w:val="both"/>
        <w:rPr>
          <w:rFonts w:ascii="Verdana" w:hAnsi="Verdana"/>
        </w:rPr>
      </w:pPr>
      <w:bookmarkStart w:id="32" w:name="_Hlk65800069"/>
      <w:bookmarkEnd w:id="31"/>
      <w:r>
        <w:rPr>
          <w:rFonts w:ascii="Verdana" w:hAnsi="Verdana"/>
        </w:rPr>
        <w:t>Den i foregående stykke omhandlede ændring offentliggøres senest et år før dens ikrafttræden.</w:t>
      </w:r>
    </w:p>
    <w:p w14:paraId="53598B95" w14:textId="77777777" w:rsidR="001D7D5A" w:rsidRPr="00F7675E" w:rsidRDefault="001D7D5A" w:rsidP="00F7675E">
      <w:pPr>
        <w:pStyle w:val="ListParagraph"/>
        <w:ind w:left="928"/>
        <w:jc w:val="both"/>
        <w:rPr>
          <w:rFonts w:ascii="Verdana" w:hAnsi="Verdana"/>
        </w:rPr>
      </w:pPr>
    </w:p>
    <w:p w14:paraId="42F5CA37" w14:textId="10733D2B" w:rsidR="00AA57E3" w:rsidRPr="001D7D5A" w:rsidRDefault="00AC3F76" w:rsidP="000600E7">
      <w:pPr>
        <w:pStyle w:val="Heading2"/>
        <w:numPr>
          <w:ilvl w:val="0"/>
          <w:numId w:val="0"/>
        </w:numPr>
        <w:tabs>
          <w:tab w:val="clear" w:pos="1701"/>
          <w:tab w:val="left" w:pos="1418"/>
        </w:tabs>
        <w:ind w:left="426"/>
      </w:pPr>
      <w:bookmarkStart w:id="33" w:name="_Ref66121335"/>
      <w:bookmarkEnd w:id="32"/>
      <w:r>
        <w:t>Artikel 14</w:t>
      </w:r>
      <w:r>
        <w:br/>
      </w:r>
      <w:bookmarkEnd w:id="33"/>
      <w:r>
        <w:t>Oprettelse af udvidede producentansvarsordninger for plastprodukter til engangsbrug</w:t>
      </w:r>
    </w:p>
    <w:p w14:paraId="34F37462" w14:textId="77777777" w:rsidR="006610EC" w:rsidRPr="00AA57E3" w:rsidRDefault="006610EC" w:rsidP="00AA57E3">
      <w:pPr>
        <w:jc w:val="center"/>
        <w:rPr>
          <w:rFonts w:ascii="Verdana" w:hAnsi="Verdana"/>
          <w:b/>
        </w:rPr>
      </w:pPr>
    </w:p>
    <w:p w14:paraId="2759F1AD" w14:textId="488A6E81" w:rsidR="00AA57E3" w:rsidRPr="00F7675E" w:rsidRDefault="00AA57E3" w:rsidP="00C525D6">
      <w:pPr>
        <w:pStyle w:val="ListParagraph"/>
        <w:numPr>
          <w:ilvl w:val="0"/>
          <w:numId w:val="34"/>
        </w:numPr>
        <w:jc w:val="both"/>
        <w:rPr>
          <w:rFonts w:ascii="Verdana" w:hAnsi="Verdana"/>
        </w:rPr>
      </w:pPr>
      <w:bookmarkStart w:id="34" w:name="_Ref63444386"/>
      <w:bookmarkStart w:id="35" w:name="_Ref63444377"/>
      <w:r>
        <w:rPr>
          <w:rFonts w:ascii="Verdana" w:hAnsi="Verdana"/>
        </w:rPr>
        <w:t>Senest den 1. januar 2023 skal der være indført en udvidet producentansvarsordning for tobaksvarer med filtre og filtre, der markedsføres med henblik på anvendelse i kombination med tobaksvarer;</w:t>
      </w:r>
      <w:bookmarkEnd w:id="34"/>
      <w:r>
        <w:rPr>
          <w:rFonts w:ascii="Verdana" w:hAnsi="Verdana"/>
        </w:rPr>
        <w:t xml:space="preserve"> </w:t>
      </w:r>
    </w:p>
    <w:p w14:paraId="40994946" w14:textId="419FC4E7" w:rsidR="00AA57E3" w:rsidRPr="00F7675E" w:rsidRDefault="00AA57E3" w:rsidP="00C525D6">
      <w:pPr>
        <w:pStyle w:val="ListParagraph"/>
        <w:numPr>
          <w:ilvl w:val="0"/>
          <w:numId w:val="34"/>
        </w:numPr>
        <w:jc w:val="both"/>
        <w:rPr>
          <w:rFonts w:ascii="Verdana" w:hAnsi="Verdana"/>
        </w:rPr>
      </w:pPr>
      <w:bookmarkStart w:id="36" w:name="_Ref66121489"/>
      <w:r>
        <w:rPr>
          <w:rFonts w:ascii="Verdana" w:hAnsi="Verdana"/>
        </w:rPr>
        <w:t>Senest den 1. januar 2025 skal producentens udvidede ansvarsordning være etableret for følgende engangsplastprodukter:</w:t>
      </w:r>
      <w:bookmarkEnd w:id="35"/>
      <w:bookmarkEnd w:id="36"/>
    </w:p>
    <w:p w14:paraId="539CCA96" w14:textId="77777777" w:rsidR="00AA57E3" w:rsidRPr="00F7675E" w:rsidRDefault="00AA57E3" w:rsidP="00C525D6">
      <w:pPr>
        <w:pStyle w:val="ListParagraph"/>
        <w:numPr>
          <w:ilvl w:val="0"/>
          <w:numId w:val="35"/>
        </w:numPr>
        <w:spacing w:line="240" w:lineRule="auto"/>
        <w:rPr>
          <w:rFonts w:ascii="Verdana" w:hAnsi="Verdana"/>
        </w:rPr>
      </w:pPr>
      <w:r>
        <w:rPr>
          <w:rFonts w:ascii="Verdana" w:hAnsi="Verdana"/>
        </w:rPr>
        <w:t xml:space="preserve">vådservietter, dvs. forvædede servietter til personlig pleje og husholdningsbrug; </w:t>
      </w:r>
    </w:p>
    <w:p w14:paraId="4114B342" w14:textId="77777777" w:rsidR="00AA57E3" w:rsidRPr="00F7675E" w:rsidRDefault="00AA57E3" w:rsidP="00C525D6">
      <w:pPr>
        <w:pStyle w:val="ListParagraph"/>
        <w:numPr>
          <w:ilvl w:val="0"/>
          <w:numId w:val="35"/>
        </w:numPr>
        <w:spacing w:line="240" w:lineRule="auto"/>
        <w:rPr>
          <w:rFonts w:ascii="Verdana" w:hAnsi="Verdana"/>
        </w:rPr>
      </w:pPr>
      <w:r>
        <w:rPr>
          <w:rFonts w:ascii="Verdana" w:hAnsi="Verdana"/>
        </w:rPr>
        <w:t>balloner, undtagen balloner til industriel eller anden erhvervsmæssig brug og applikationer, der ikke distribueres til forbrugerne;</w:t>
      </w:r>
    </w:p>
    <w:p w14:paraId="522DD1DA" w14:textId="7C4D7238" w:rsidR="00AA57E3" w:rsidRPr="00F7675E" w:rsidRDefault="00AA57E3" w:rsidP="00C525D6">
      <w:pPr>
        <w:pStyle w:val="ListParagraph"/>
        <w:numPr>
          <w:ilvl w:val="0"/>
          <w:numId w:val="35"/>
        </w:numPr>
        <w:spacing w:line="240" w:lineRule="auto"/>
        <w:rPr>
          <w:rFonts w:ascii="Verdana" w:hAnsi="Verdana"/>
        </w:rPr>
      </w:pPr>
      <w:r>
        <w:rPr>
          <w:rFonts w:ascii="Verdana" w:hAnsi="Verdana"/>
        </w:rPr>
        <w:t>bægre til drikkevarer, herunder overtræk og låg.</w:t>
      </w:r>
    </w:p>
    <w:p w14:paraId="42D88118" w14:textId="55FDD9ED" w:rsidR="00AA57E3" w:rsidRPr="00F7675E" w:rsidRDefault="00AA57E3" w:rsidP="00C525D6">
      <w:pPr>
        <w:pStyle w:val="ListParagraph"/>
        <w:numPr>
          <w:ilvl w:val="0"/>
          <w:numId w:val="34"/>
        </w:numPr>
        <w:jc w:val="both"/>
        <w:rPr>
          <w:rFonts w:ascii="Verdana" w:hAnsi="Verdana"/>
        </w:rPr>
      </w:pPr>
      <w:bookmarkStart w:id="37" w:name="_Ref63672653"/>
      <w:bookmarkStart w:id="38" w:name="_Ref63697458"/>
      <w:r>
        <w:rPr>
          <w:rFonts w:ascii="Verdana" w:hAnsi="Verdana"/>
        </w:rPr>
        <w:t xml:space="preserve">Senest den 1. januar 2025 skal den udvidede producentansvarsordning for fiskeredskaber indeholdende plast, der markedsføres, være fastlagt, og der skal fastsættes en national årlig minimumsindsamling af fiskeredskaber indeholdende plast til genanvendelse. </w:t>
      </w:r>
      <w:bookmarkEnd w:id="37"/>
      <w:bookmarkEnd w:id="38"/>
    </w:p>
    <w:p w14:paraId="52EACFCD" w14:textId="1800FB3B" w:rsidR="00700314" w:rsidRPr="00F7675E" w:rsidRDefault="00AA57E3" w:rsidP="00C525D6">
      <w:pPr>
        <w:pStyle w:val="ListParagraph"/>
        <w:numPr>
          <w:ilvl w:val="0"/>
          <w:numId w:val="34"/>
        </w:numPr>
        <w:jc w:val="both"/>
        <w:rPr>
          <w:rFonts w:ascii="Verdana" w:hAnsi="Verdana"/>
        </w:rPr>
      </w:pPr>
      <w:r>
        <w:rPr>
          <w:rFonts w:ascii="Verdana" w:hAnsi="Verdana"/>
        </w:rPr>
        <w:t>Generaldirektoratet for Naturressourcer, Sikkerhed og Søfart (GDRM) er ansvarligt for at gennemføre en undersøgelse, der understøtter definitionen af den sats, der er omhandlet i foregående stykke.</w:t>
      </w:r>
      <w:bookmarkStart w:id="39" w:name="_Hlk65427440"/>
    </w:p>
    <w:p w14:paraId="06EFD80B" w14:textId="160A381E" w:rsidR="00700314" w:rsidRPr="00F7675E" w:rsidRDefault="00700314" w:rsidP="00C525D6">
      <w:pPr>
        <w:pStyle w:val="ListParagraph"/>
        <w:numPr>
          <w:ilvl w:val="0"/>
          <w:numId w:val="34"/>
        </w:numPr>
        <w:jc w:val="both"/>
        <w:rPr>
          <w:rFonts w:ascii="Verdana" w:hAnsi="Verdana"/>
        </w:rPr>
      </w:pPr>
      <w:r>
        <w:t>Fastlæggelsen af hver af de udvidede producentansvarsordninger, jf. stk. 1, 2 og 3, offentliggøres senest et år før ordningens ikrafttræden.</w:t>
      </w:r>
      <w:bookmarkEnd w:id="39"/>
    </w:p>
    <w:p w14:paraId="756377B4" w14:textId="77777777" w:rsidR="00AA57E3" w:rsidRPr="00AA57E3" w:rsidRDefault="00AA57E3" w:rsidP="00040D73">
      <w:pPr>
        <w:pStyle w:val="ListParagraph"/>
        <w:tabs>
          <w:tab w:val="left" w:pos="284"/>
        </w:tabs>
        <w:autoSpaceDE w:val="0"/>
        <w:autoSpaceDN w:val="0"/>
        <w:adjustRightInd w:val="0"/>
        <w:spacing w:before="120" w:after="120" w:line="240" w:lineRule="auto"/>
        <w:ind w:left="426"/>
        <w:jc w:val="both"/>
      </w:pPr>
    </w:p>
    <w:p w14:paraId="793F53FD" w14:textId="3286B9D4" w:rsidR="00F92863" w:rsidRPr="00040D73" w:rsidRDefault="00AC3F76" w:rsidP="00AC3F76">
      <w:pPr>
        <w:pStyle w:val="Heading2"/>
        <w:numPr>
          <w:ilvl w:val="0"/>
          <w:numId w:val="0"/>
        </w:numPr>
        <w:tabs>
          <w:tab w:val="clear" w:pos="1701"/>
          <w:tab w:val="left" w:pos="1276"/>
        </w:tabs>
        <w:ind w:left="426"/>
      </w:pPr>
      <w:bookmarkStart w:id="40" w:name="_Ref66121553"/>
      <w:r>
        <w:t>Artikel 15</w:t>
      </w:r>
      <w:r>
        <w:br/>
      </w:r>
      <w:bookmarkEnd w:id="40"/>
      <w:r>
        <w:t>Omkostninger, der skal dækkes af udvidede producentansvarsordninger</w:t>
      </w:r>
    </w:p>
    <w:p w14:paraId="0390D9A7" w14:textId="77777777" w:rsidR="006610EC" w:rsidRPr="00040D73" w:rsidRDefault="006610EC" w:rsidP="00040D73">
      <w:pPr>
        <w:pStyle w:val="ListParagraph"/>
        <w:tabs>
          <w:tab w:val="left" w:pos="284"/>
        </w:tabs>
        <w:autoSpaceDE w:val="0"/>
        <w:autoSpaceDN w:val="0"/>
        <w:adjustRightInd w:val="0"/>
        <w:spacing w:before="120" w:after="120" w:line="240" w:lineRule="auto"/>
        <w:ind w:left="426"/>
        <w:jc w:val="both"/>
      </w:pPr>
    </w:p>
    <w:p w14:paraId="08105367" w14:textId="1DFBFEB6" w:rsidR="00F92863" w:rsidRPr="00F7675E" w:rsidRDefault="00F92863" w:rsidP="00C525D6">
      <w:pPr>
        <w:pStyle w:val="ListParagraph"/>
        <w:numPr>
          <w:ilvl w:val="0"/>
          <w:numId w:val="36"/>
        </w:numPr>
        <w:jc w:val="both"/>
        <w:rPr>
          <w:rFonts w:ascii="Verdana" w:hAnsi="Verdana"/>
        </w:rPr>
      </w:pPr>
      <w:bookmarkStart w:id="41" w:name="_Ref63444260"/>
      <w:r>
        <w:rPr>
          <w:rFonts w:ascii="Verdana" w:hAnsi="Verdana"/>
        </w:rPr>
        <w:t xml:space="preserve">Ud over de omkostninger, der er omhandlet i artikel 13, stk. 3, litra a), i GSWM og Unilex, skal producenter af plastprodukter til </w:t>
      </w:r>
      <w:r>
        <w:rPr>
          <w:rFonts w:ascii="Verdana" w:hAnsi="Verdana"/>
        </w:rPr>
        <w:lastRenderedPageBreak/>
        <w:t>engangsbrug, jf. artikel 13, også dække følgende omkostninger, for så vidt de ikke allerede er inkluderet i disse omkostninger:</w:t>
      </w:r>
      <w:bookmarkEnd w:id="41"/>
      <w:r>
        <w:rPr>
          <w:rFonts w:ascii="Verdana" w:hAnsi="Verdana"/>
        </w:rPr>
        <w:t xml:space="preserve"> </w:t>
      </w:r>
    </w:p>
    <w:p w14:paraId="755C5CD9" w14:textId="6FEA5A33" w:rsidR="00F92863" w:rsidRPr="003F6B93" w:rsidRDefault="00F92863" w:rsidP="00C525D6">
      <w:pPr>
        <w:pStyle w:val="ListParagraph"/>
        <w:numPr>
          <w:ilvl w:val="0"/>
          <w:numId w:val="37"/>
        </w:numPr>
        <w:spacing w:line="240" w:lineRule="auto"/>
        <w:rPr>
          <w:rFonts w:ascii="Verdana" w:hAnsi="Verdana"/>
        </w:rPr>
      </w:pPr>
      <w:r>
        <w:t>omkostningerne ved de oplysningsforanstaltninger, der er omhandlet i dette lovdekret vedrørende disse produkter;</w:t>
      </w:r>
      <w:r>
        <w:rPr>
          <w:rFonts w:ascii="Verdana" w:hAnsi="Verdana"/>
        </w:rPr>
        <w:t xml:space="preserve"> </w:t>
      </w:r>
    </w:p>
    <w:p w14:paraId="7362E724" w14:textId="77777777" w:rsidR="00F92863" w:rsidRPr="003F6B93" w:rsidRDefault="00F92863" w:rsidP="00C525D6">
      <w:pPr>
        <w:pStyle w:val="ListParagraph"/>
        <w:numPr>
          <w:ilvl w:val="0"/>
          <w:numId w:val="37"/>
        </w:numPr>
        <w:spacing w:line="240" w:lineRule="auto"/>
        <w:rPr>
          <w:rFonts w:ascii="Verdana" w:hAnsi="Verdana"/>
        </w:rPr>
      </w:pPr>
      <w:r>
        <w:rPr>
          <w:rFonts w:ascii="Verdana" w:hAnsi="Verdana"/>
        </w:rPr>
        <w:t xml:space="preserve">omkostningerne til indsamling af affald for de produkter, der bortskaffes i offentlige indsamlingssystemer, herunder infrastrukturen og driften heraf, og den efterfølgende transport og behandling af dette affald; og </w:t>
      </w:r>
    </w:p>
    <w:p w14:paraId="344A4917" w14:textId="77777777" w:rsidR="00F92863" w:rsidRPr="003F6B93" w:rsidRDefault="00F92863" w:rsidP="00C525D6">
      <w:pPr>
        <w:pStyle w:val="ListParagraph"/>
        <w:numPr>
          <w:ilvl w:val="0"/>
          <w:numId w:val="37"/>
        </w:numPr>
        <w:spacing w:line="240" w:lineRule="auto"/>
        <w:rPr>
          <w:rFonts w:ascii="Verdana" w:hAnsi="Verdana"/>
        </w:rPr>
      </w:pPr>
      <w:r>
        <w:rPr>
          <w:rFonts w:ascii="Verdana" w:hAnsi="Verdana"/>
        </w:rPr>
        <w:t>udgifter til rensning af strøelse som følge af disse produkter og den efterfølgende transport og behandling af dette strøelse.</w:t>
      </w:r>
    </w:p>
    <w:p w14:paraId="20E2B852" w14:textId="544EF49E" w:rsidR="00F92863" w:rsidRPr="00F7675E" w:rsidRDefault="00F92863" w:rsidP="00C525D6">
      <w:pPr>
        <w:pStyle w:val="ListParagraph"/>
        <w:numPr>
          <w:ilvl w:val="0"/>
          <w:numId w:val="36"/>
        </w:numPr>
        <w:jc w:val="both"/>
        <w:rPr>
          <w:rFonts w:ascii="Verdana" w:hAnsi="Verdana"/>
        </w:rPr>
      </w:pPr>
      <w:bookmarkStart w:id="42" w:name="_Ref63444269"/>
      <w:r>
        <w:t>Producenterne af de plastprodukter til engangsbrug, der er omhandlet i stk. 1 og 2, skal mindst dække følgende omkostninger:</w:t>
      </w:r>
      <w:bookmarkEnd w:id="42"/>
      <w:r>
        <w:rPr>
          <w:rFonts w:ascii="Verdana" w:hAnsi="Verdana"/>
        </w:rPr>
        <w:t xml:space="preserve"> </w:t>
      </w:r>
    </w:p>
    <w:p w14:paraId="34C5E7C6" w14:textId="6CEF6915" w:rsidR="00F92863" w:rsidRPr="003F6B93" w:rsidRDefault="00F92863" w:rsidP="00C525D6">
      <w:pPr>
        <w:pStyle w:val="ListParagraph"/>
        <w:numPr>
          <w:ilvl w:val="0"/>
          <w:numId w:val="38"/>
        </w:numPr>
        <w:spacing w:line="240" w:lineRule="auto"/>
        <w:rPr>
          <w:rFonts w:ascii="Verdana" w:hAnsi="Verdana"/>
        </w:rPr>
      </w:pPr>
      <w:r>
        <w:t>omkostningerne ved de oplysningsforanstaltninger, der er omhandlet i dette lovdekret vedrørende disse produkter;</w:t>
      </w:r>
    </w:p>
    <w:p w14:paraId="2759636F" w14:textId="77777777" w:rsidR="00F92863" w:rsidRPr="003F6B93" w:rsidRDefault="00F92863" w:rsidP="00C525D6">
      <w:pPr>
        <w:pStyle w:val="ListParagraph"/>
        <w:numPr>
          <w:ilvl w:val="0"/>
          <w:numId w:val="38"/>
        </w:numPr>
        <w:spacing w:line="240" w:lineRule="auto"/>
        <w:rPr>
          <w:rFonts w:ascii="Verdana" w:hAnsi="Verdana"/>
        </w:rPr>
      </w:pPr>
      <w:r>
        <w:rPr>
          <w:rFonts w:ascii="Verdana" w:hAnsi="Verdana"/>
        </w:rPr>
        <w:t xml:space="preserve">udgifter til rensning af strøelse som følge af disse produkter og efterfølgende transport og behandling af strøelse; og </w:t>
      </w:r>
    </w:p>
    <w:p w14:paraId="2B485E43" w14:textId="4F86EA8B" w:rsidR="00F92863" w:rsidRPr="003F6B93" w:rsidRDefault="00F92863" w:rsidP="00C525D6">
      <w:pPr>
        <w:pStyle w:val="ListParagraph"/>
        <w:numPr>
          <w:ilvl w:val="0"/>
          <w:numId w:val="38"/>
        </w:numPr>
        <w:spacing w:line="240" w:lineRule="auto"/>
        <w:rPr>
          <w:rFonts w:ascii="Verdana" w:hAnsi="Verdana"/>
        </w:rPr>
      </w:pPr>
      <w:r>
        <w:rPr>
          <w:rFonts w:ascii="Verdana" w:hAnsi="Verdana"/>
        </w:rPr>
        <w:t xml:space="preserve">omkostninger til dataindsamling og indberetning i henhold til artikel 13, stk. 1, litra c) og d), i GSWM. </w:t>
      </w:r>
    </w:p>
    <w:p w14:paraId="1254E804" w14:textId="77777777" w:rsidR="00F92863" w:rsidRPr="00F7675E" w:rsidRDefault="00F92863" w:rsidP="00C525D6">
      <w:pPr>
        <w:pStyle w:val="ListParagraph"/>
        <w:numPr>
          <w:ilvl w:val="0"/>
          <w:numId w:val="36"/>
        </w:numPr>
        <w:jc w:val="both"/>
        <w:rPr>
          <w:rFonts w:ascii="Verdana" w:hAnsi="Verdana"/>
        </w:rPr>
      </w:pPr>
      <w:bookmarkStart w:id="43" w:name="_Ref63444276"/>
      <w:r>
        <w:rPr>
          <w:rFonts w:ascii="Verdana" w:hAnsi="Verdana"/>
        </w:rPr>
        <w:t>For så vidt angår tobaksprodukter med filtre og filtre, der markedsføres med henblik på anvendelse i kombination med tobaksprodukter, skal producenterne også dække omkostningerne til indsamling af affald for de produkter, der kasseres i offentlige indsamlingssystemer, herunder infrastrukturen og driften heraf, samt den efterfølgende transport og behandling af dette affald.</w:t>
      </w:r>
      <w:bookmarkEnd w:id="43"/>
      <w:r>
        <w:rPr>
          <w:rFonts w:ascii="Verdana" w:hAnsi="Verdana"/>
        </w:rPr>
        <w:t xml:space="preserve"> </w:t>
      </w:r>
    </w:p>
    <w:p w14:paraId="5E55935B" w14:textId="77777777" w:rsidR="00F92863" w:rsidRPr="00F7675E" w:rsidRDefault="00F92863" w:rsidP="00C525D6">
      <w:pPr>
        <w:pStyle w:val="ListParagraph"/>
        <w:numPr>
          <w:ilvl w:val="0"/>
          <w:numId w:val="36"/>
        </w:numPr>
        <w:jc w:val="both"/>
        <w:rPr>
          <w:rFonts w:ascii="Verdana" w:hAnsi="Verdana"/>
        </w:rPr>
      </w:pPr>
      <w:bookmarkStart w:id="44" w:name="_Ref63444282"/>
      <w:r>
        <w:rPr>
          <w:rFonts w:ascii="Verdana" w:hAnsi="Verdana"/>
        </w:rPr>
        <w:t>De omkostninger, der er omhandlet i foregående stykke, kan omfatte etablering af særlige infrastrukturer for indsamling af affald for disse produkter, f.eks. passende affaldsbeholdere i fælles affaldsområder.</w:t>
      </w:r>
      <w:bookmarkEnd w:id="44"/>
      <w:r>
        <w:rPr>
          <w:rFonts w:ascii="Verdana" w:hAnsi="Verdana"/>
        </w:rPr>
        <w:t xml:space="preserve"> </w:t>
      </w:r>
    </w:p>
    <w:p w14:paraId="1402E2DA" w14:textId="14DE25D9" w:rsidR="00F92863" w:rsidRPr="00F7675E" w:rsidRDefault="00F92863" w:rsidP="00C525D6">
      <w:pPr>
        <w:pStyle w:val="ListParagraph"/>
        <w:numPr>
          <w:ilvl w:val="0"/>
          <w:numId w:val="36"/>
        </w:numPr>
        <w:jc w:val="both"/>
        <w:rPr>
          <w:rFonts w:ascii="Verdana" w:hAnsi="Verdana"/>
        </w:rPr>
      </w:pPr>
      <w:r>
        <w:rPr>
          <w:rFonts w:ascii="Verdana" w:hAnsi="Verdana"/>
        </w:rPr>
        <w:t>De omkostninger, der skal dækkes som omhandlet i foregående stykker, må ikke overstige de omkostninger, der er nødvendige for at levere de deri omhandlede tjenesteydelser på en omkostningseffektiv måde, og de fastsættes på en gennemsigtig måde mellem de berørte aktører.</w:t>
      </w:r>
    </w:p>
    <w:p w14:paraId="4DC58209" w14:textId="295EBFA3" w:rsidR="00F92863" w:rsidRPr="00F7675E" w:rsidRDefault="00F92863" w:rsidP="00C525D6">
      <w:pPr>
        <w:pStyle w:val="ListParagraph"/>
        <w:numPr>
          <w:ilvl w:val="0"/>
          <w:numId w:val="36"/>
        </w:numPr>
        <w:jc w:val="both"/>
        <w:rPr>
          <w:rFonts w:ascii="Verdana" w:hAnsi="Verdana"/>
        </w:rPr>
      </w:pPr>
      <w:r>
        <w:rPr>
          <w:rFonts w:ascii="Verdana" w:hAnsi="Verdana"/>
        </w:rPr>
        <w:t>Udgifterne til oprydning af strøelse begrænses til aktiviteter, der udføres af offentlige myndigheder eller på deres vegne, og beregningsmetoden skal udvikles på en sådan måde, at omkostningerne til oprydning af strøelse kan fastsættes på en forholdsmæssig måde.</w:t>
      </w:r>
    </w:p>
    <w:p w14:paraId="2D1A7FFE" w14:textId="77777777" w:rsidR="00F92863" w:rsidRPr="00F7675E" w:rsidRDefault="00F92863" w:rsidP="00C525D6">
      <w:pPr>
        <w:pStyle w:val="ListParagraph"/>
        <w:numPr>
          <w:ilvl w:val="0"/>
          <w:numId w:val="36"/>
        </w:numPr>
        <w:jc w:val="both"/>
        <w:rPr>
          <w:rFonts w:ascii="Verdana" w:hAnsi="Verdana"/>
        </w:rPr>
      </w:pPr>
      <w:r>
        <w:rPr>
          <w:rFonts w:ascii="Verdana" w:hAnsi="Verdana"/>
        </w:rPr>
        <w:t xml:space="preserve">For at minimere de administrative omkostninger fastsættes de finansielle bidrag til udgifterne til oprensning af strøelse ved fastsættelse af passende flerårige faste beløb, som fastsættes af de </w:t>
      </w:r>
      <w:r>
        <w:rPr>
          <w:rFonts w:ascii="Verdana" w:hAnsi="Verdana"/>
        </w:rPr>
        <w:lastRenderedPageBreak/>
        <w:t>medlemmer af regeringen, der er ansvarlige for økonomiske og miljømæssige spørgsmål.</w:t>
      </w:r>
    </w:p>
    <w:p w14:paraId="6CACFC40" w14:textId="5C1FE9BF" w:rsidR="00F92863" w:rsidRPr="00F7675E" w:rsidRDefault="00F92863" w:rsidP="00C525D6">
      <w:pPr>
        <w:pStyle w:val="ListParagraph"/>
        <w:numPr>
          <w:ilvl w:val="0"/>
          <w:numId w:val="36"/>
        </w:numPr>
        <w:jc w:val="both"/>
        <w:rPr>
          <w:rFonts w:ascii="Verdana" w:hAnsi="Verdana"/>
        </w:rPr>
      </w:pPr>
      <w:r>
        <w:rPr>
          <w:rFonts w:ascii="Verdana" w:hAnsi="Verdana"/>
        </w:rPr>
        <w:t>De finansielle bidrag, der er omhandlet i foregående afsnit, kan ajourføres og bør til enhver tid tage hensyn til de retningslinjer, som Europa-Kommissionen har vedtaget om kriterier for udgifter til rensning af strøelse.</w:t>
      </w:r>
    </w:p>
    <w:p w14:paraId="5AD567E5" w14:textId="01156E0F" w:rsidR="00231C0A" w:rsidRPr="00F7675E" w:rsidRDefault="00231C0A" w:rsidP="00C525D6">
      <w:pPr>
        <w:pStyle w:val="ListParagraph"/>
        <w:numPr>
          <w:ilvl w:val="0"/>
          <w:numId w:val="36"/>
        </w:numPr>
        <w:jc w:val="both"/>
        <w:rPr>
          <w:rFonts w:ascii="Verdana" w:hAnsi="Verdana"/>
        </w:rPr>
      </w:pPr>
      <w:bookmarkStart w:id="45" w:name="_Ref63672961"/>
      <w:r>
        <w:t>For så vidt angår de udvidede producentansvarsordninger, der er indført i henhold til artikel 14, nr. 3, skal producenter af fiskeredskaber, der indeholder plast, dække omkostningerne ved særskilt indsamling af plastaffald, der er leveret til passende modtagefaciliteter i havne i overensstemmelse med lovdekret nr. 102/2020 af 9. december, eller andre tilsvarende indsamlingssystemer, der falder uden for direktivets anvendelsesområde, samt omkostningerne til dets efterfølgende transport og behandling.</w:t>
      </w:r>
      <w:bookmarkEnd w:id="45"/>
      <w:r>
        <w:rPr>
          <w:rFonts w:ascii="Verdana" w:hAnsi="Verdana"/>
        </w:rPr>
        <w:t xml:space="preserve"> </w:t>
      </w:r>
    </w:p>
    <w:p w14:paraId="47FFA491" w14:textId="2E2BE508" w:rsidR="00231C0A" w:rsidRPr="00F7675E" w:rsidRDefault="00231C0A" w:rsidP="00C525D6">
      <w:pPr>
        <w:pStyle w:val="ListParagraph"/>
        <w:numPr>
          <w:ilvl w:val="0"/>
          <w:numId w:val="36"/>
        </w:numPr>
        <w:jc w:val="both"/>
        <w:rPr>
          <w:rFonts w:ascii="Verdana" w:hAnsi="Verdana"/>
        </w:rPr>
      </w:pPr>
      <w:bookmarkStart w:id="46" w:name="_Ref63672968"/>
      <w:r>
        <w:t>Producenter af fiskeredskaber skal også dække udgifterne til oplysningsforanstaltninger, jf. artikel 18 i denne forordning, vedrørende disse produkter.</w:t>
      </w:r>
      <w:bookmarkEnd w:id="46"/>
      <w:r>
        <w:rPr>
          <w:rFonts w:ascii="Verdana" w:hAnsi="Verdana"/>
        </w:rPr>
        <w:t xml:space="preserve"> </w:t>
      </w:r>
    </w:p>
    <w:p w14:paraId="3559297D" w14:textId="26D04FCD" w:rsidR="00231C0A" w:rsidRPr="00F7675E" w:rsidRDefault="00231C0A" w:rsidP="00C525D6">
      <w:pPr>
        <w:pStyle w:val="ListParagraph"/>
        <w:numPr>
          <w:ilvl w:val="0"/>
          <w:numId w:val="36"/>
        </w:numPr>
        <w:jc w:val="both"/>
        <w:rPr>
          <w:rFonts w:ascii="Verdana" w:hAnsi="Verdana"/>
        </w:rPr>
      </w:pPr>
      <w:r>
        <w:t>Kravene i stk. 9 og 10 supplerer kravene til affald fra fiskerfartøjer i henhold til lovdekret nr. 102/2020 af 9. december.</w:t>
      </w:r>
      <w:r>
        <w:rPr>
          <w:rFonts w:ascii="Verdana" w:hAnsi="Verdana"/>
        </w:rPr>
        <w:t xml:space="preserve"> </w:t>
      </w:r>
    </w:p>
    <w:p w14:paraId="690C7125" w14:textId="69198AB9" w:rsidR="00F92863" w:rsidRDefault="00F92863" w:rsidP="00F92863"/>
    <w:p w14:paraId="64CD888A" w14:textId="162B1D69" w:rsidR="003F14EA" w:rsidRDefault="00AC3F76" w:rsidP="000600E7">
      <w:pPr>
        <w:pStyle w:val="Heading2"/>
        <w:numPr>
          <w:ilvl w:val="0"/>
          <w:numId w:val="0"/>
        </w:numPr>
        <w:tabs>
          <w:tab w:val="clear" w:pos="1701"/>
          <w:tab w:val="left" w:pos="1418"/>
        </w:tabs>
        <w:ind w:left="426"/>
      </w:pPr>
      <w:r>
        <w:t>Artikel 16</w:t>
      </w:r>
      <w:r>
        <w:br/>
      </w:r>
      <w:bookmarkStart w:id="47" w:name="_Ref66121774"/>
      <w:r>
        <w:t>Den bemyndigede repræsentant</w:t>
      </w:r>
      <w:bookmarkEnd w:id="47"/>
    </w:p>
    <w:p w14:paraId="0E6F245D" w14:textId="77777777" w:rsidR="00014396" w:rsidRPr="00014396" w:rsidRDefault="00014396" w:rsidP="00014396"/>
    <w:p w14:paraId="5E8ECB47" w14:textId="794F8C80" w:rsidR="00231C0A" w:rsidRPr="000E29F8" w:rsidRDefault="00231C0A" w:rsidP="00C525D6">
      <w:pPr>
        <w:pStyle w:val="ListParagraph"/>
        <w:numPr>
          <w:ilvl w:val="0"/>
          <w:numId w:val="39"/>
        </w:numPr>
        <w:jc w:val="both"/>
        <w:rPr>
          <w:rFonts w:ascii="Verdana" w:hAnsi="Verdana"/>
        </w:rPr>
      </w:pPr>
      <w:r>
        <w:rPr>
          <w:rFonts w:ascii="Verdana" w:hAnsi="Verdana"/>
        </w:rPr>
        <w:t>Producenter af de plastprodukter til engangsbrug, der er omhandlet i artikel 13 og 14, og som er etableret i en anden EU-medlemsstat eller i et tredjeland, og som sælger produkter ved hjælp af fjernkommunikationsteknikker direkte til endelige forbrugere i Portugal, udpeger en fysisk eller juridisk person, der er etableret i Portugal, som deres bemyndigede repræsentant, som er ansvarlig for opfyldelsen af forpligtelserne i henhold til dette lovdekret.</w:t>
      </w:r>
    </w:p>
    <w:p w14:paraId="7C661ED7" w14:textId="27C8AC62" w:rsidR="00231C0A" w:rsidRPr="000E29F8" w:rsidRDefault="00231C0A" w:rsidP="00C525D6">
      <w:pPr>
        <w:pStyle w:val="ListParagraph"/>
        <w:numPr>
          <w:ilvl w:val="0"/>
          <w:numId w:val="39"/>
        </w:numPr>
        <w:jc w:val="both"/>
        <w:rPr>
          <w:rFonts w:ascii="Verdana" w:hAnsi="Verdana"/>
        </w:rPr>
      </w:pPr>
      <w:r>
        <w:rPr>
          <w:rFonts w:ascii="Verdana" w:hAnsi="Verdana"/>
        </w:rPr>
        <w:t>Uden at dette berører forpligtelsen i stk. 13, kan producenter af plastprodukter til engangsbrug, der er omhandlet i artikel 13 og 14, og som er etableret i en anden EU-medlemsstat, udpege en fysisk eller juridisk person, der er etableret i Portugal, som deres bemyndigede repræsentant med henblik på at opfylde producentens forpligtelser i henhold til dette lovdekret.</w:t>
      </w:r>
    </w:p>
    <w:p w14:paraId="55C99F0A" w14:textId="3DA443E7" w:rsidR="001F7456" w:rsidRPr="000E29F8" w:rsidRDefault="001F7456" w:rsidP="00C525D6">
      <w:pPr>
        <w:pStyle w:val="ListParagraph"/>
        <w:numPr>
          <w:ilvl w:val="0"/>
          <w:numId w:val="39"/>
        </w:numPr>
        <w:jc w:val="both"/>
        <w:rPr>
          <w:rFonts w:ascii="Verdana" w:hAnsi="Verdana"/>
        </w:rPr>
      </w:pPr>
      <w:r>
        <w:rPr>
          <w:rFonts w:ascii="Verdana" w:hAnsi="Verdana"/>
        </w:rPr>
        <w:t xml:space="preserve">Producenter, der er etableret i Portugal, og som sælger de i artikel 13 og 14 omhandlede plastprodukter til engangsbrug ved hjælp af </w:t>
      </w:r>
      <w:r>
        <w:rPr>
          <w:rFonts w:ascii="Verdana" w:hAnsi="Verdana"/>
        </w:rPr>
        <w:lastRenderedPageBreak/>
        <w:t>fjernkommunikationsteknikker direkte til endelige forbrugere i en anden medlemsstat, hvor de ikke er etableret, udpeger en bemyndiget repræsentant i denne medlemsstat, som er ansvarlig for at opfylde producentens forpligtelser i henhold til dette lovdekret på denne anden medlemsstats område.</w:t>
      </w:r>
    </w:p>
    <w:p w14:paraId="77BFA3F9" w14:textId="2747B585" w:rsidR="00CC50F8" w:rsidRPr="000E29F8" w:rsidRDefault="003679EF" w:rsidP="00C525D6">
      <w:pPr>
        <w:pStyle w:val="ListParagraph"/>
        <w:numPr>
          <w:ilvl w:val="0"/>
          <w:numId w:val="39"/>
        </w:numPr>
        <w:jc w:val="both"/>
        <w:rPr>
          <w:rFonts w:ascii="Verdana" w:hAnsi="Verdana"/>
        </w:rPr>
      </w:pPr>
      <w:r>
        <w:rPr>
          <w:rFonts w:ascii="Verdana" w:hAnsi="Verdana"/>
        </w:rPr>
        <w:t>Betingelserne for udnævnelse af en bemyndiget repræsentant og de forpligtelser, der er fastsat i artikel 20 i Unilex, skal overholdes.</w:t>
      </w:r>
    </w:p>
    <w:p w14:paraId="7547E496" w14:textId="621945A0" w:rsidR="004A192F" w:rsidRDefault="004A192F" w:rsidP="004A192F">
      <w:pPr>
        <w:pStyle w:val="ListParagraph"/>
        <w:tabs>
          <w:tab w:val="left" w:pos="851"/>
        </w:tabs>
        <w:autoSpaceDE w:val="0"/>
        <w:autoSpaceDN w:val="0"/>
        <w:adjustRightInd w:val="0"/>
        <w:ind w:left="644"/>
        <w:jc w:val="both"/>
        <w:rPr>
          <w:rFonts w:ascii="Verdana" w:hAnsi="Verdana" w:cs="EU Albertina"/>
          <w:color w:val="000000"/>
        </w:rPr>
      </w:pPr>
    </w:p>
    <w:p w14:paraId="7E8920A4" w14:textId="77777777" w:rsidR="000E29F8" w:rsidRDefault="000E29F8" w:rsidP="004A192F">
      <w:pPr>
        <w:pStyle w:val="ListParagraph"/>
        <w:tabs>
          <w:tab w:val="left" w:pos="851"/>
        </w:tabs>
        <w:autoSpaceDE w:val="0"/>
        <w:autoSpaceDN w:val="0"/>
        <w:adjustRightInd w:val="0"/>
        <w:ind w:left="644"/>
        <w:jc w:val="both"/>
        <w:rPr>
          <w:rFonts w:ascii="Verdana" w:hAnsi="Verdana" w:cs="EU Albertina"/>
          <w:color w:val="000000"/>
        </w:rPr>
      </w:pPr>
    </w:p>
    <w:p w14:paraId="1D37557F" w14:textId="0E026CC3" w:rsidR="00ED79DD" w:rsidRPr="003F6B93" w:rsidRDefault="003F14EA" w:rsidP="00AA057C">
      <w:pPr>
        <w:pStyle w:val="Heading1"/>
        <w:tabs>
          <w:tab w:val="clear" w:pos="3969"/>
          <w:tab w:val="left" w:pos="2410"/>
        </w:tabs>
        <w:ind w:firstLine="180"/>
      </w:pPr>
      <w:r>
        <w:br/>
        <w:t>Separat indsamling</w:t>
      </w:r>
    </w:p>
    <w:p w14:paraId="6118BF46" w14:textId="0F140822" w:rsidR="00ED79DD" w:rsidRDefault="00AC3F76" w:rsidP="000600E7">
      <w:pPr>
        <w:pStyle w:val="Heading2"/>
        <w:numPr>
          <w:ilvl w:val="0"/>
          <w:numId w:val="0"/>
        </w:numPr>
        <w:tabs>
          <w:tab w:val="clear" w:pos="1701"/>
          <w:tab w:val="left" w:pos="1418"/>
        </w:tabs>
        <w:ind w:left="426"/>
      </w:pPr>
      <w:r>
        <w:t>Artikel 17</w:t>
      </w:r>
      <w:r>
        <w:br/>
      </w:r>
      <w:bookmarkStart w:id="48" w:name="_Ref66121801"/>
      <w:r>
        <w:t>Mål for særskilt indsamling af flasker</w:t>
      </w:r>
      <w:bookmarkEnd w:id="48"/>
    </w:p>
    <w:p w14:paraId="663DD529" w14:textId="77777777" w:rsidR="00DA0902" w:rsidRPr="00DA0902" w:rsidRDefault="00DA0902" w:rsidP="00DA0902"/>
    <w:p w14:paraId="4881CA6C" w14:textId="46F49258" w:rsidR="006236DA" w:rsidRPr="000E29F8" w:rsidRDefault="006236DA" w:rsidP="00C525D6">
      <w:pPr>
        <w:pStyle w:val="ListParagraph"/>
        <w:numPr>
          <w:ilvl w:val="0"/>
          <w:numId w:val="40"/>
        </w:numPr>
        <w:jc w:val="both"/>
        <w:rPr>
          <w:rFonts w:ascii="Verdana" w:hAnsi="Verdana"/>
        </w:rPr>
      </w:pPr>
      <w:bookmarkStart w:id="49" w:name="_Ref63698199"/>
      <w:r>
        <w:rPr>
          <w:rFonts w:ascii="Verdana" w:hAnsi="Verdana"/>
        </w:rPr>
        <w:t>Producenter af engangsflasker af plast til drikkevarer med en kapacitet på op til tre liter, herunder kapsler og låg, skal sikre:</w:t>
      </w:r>
    </w:p>
    <w:p w14:paraId="00529814" w14:textId="55C98796" w:rsidR="006236DA" w:rsidRPr="000E29F8" w:rsidRDefault="006236DA" w:rsidP="00C525D6">
      <w:pPr>
        <w:pStyle w:val="ListParagraph"/>
        <w:numPr>
          <w:ilvl w:val="0"/>
          <w:numId w:val="41"/>
        </w:numPr>
        <w:spacing w:line="240" w:lineRule="auto"/>
        <w:rPr>
          <w:rFonts w:ascii="Verdana" w:hAnsi="Verdana"/>
        </w:rPr>
      </w:pPr>
      <w:r>
        <w:rPr>
          <w:rFonts w:ascii="Verdana" w:hAnsi="Verdana"/>
        </w:rPr>
        <w:t>særskilt indsamling af affald med henblik på genanvendelse i en andel af mindst 77 % af disse produkter, der markedsføres i et givet år, senest den 31. december 2025;</w:t>
      </w:r>
    </w:p>
    <w:p w14:paraId="1B95B4D1" w14:textId="2F6357FD" w:rsidR="006236DA" w:rsidRPr="000E29F8" w:rsidRDefault="006236DA" w:rsidP="00C525D6">
      <w:pPr>
        <w:pStyle w:val="ListParagraph"/>
        <w:numPr>
          <w:ilvl w:val="0"/>
          <w:numId w:val="41"/>
        </w:numPr>
        <w:spacing w:line="240" w:lineRule="auto"/>
        <w:rPr>
          <w:rFonts w:ascii="Verdana" w:hAnsi="Verdana"/>
        </w:rPr>
      </w:pPr>
      <w:r>
        <w:rPr>
          <w:rFonts w:ascii="Verdana" w:hAnsi="Verdana"/>
        </w:rPr>
        <w:t>særskilt indsamling af affald til genanvendelse i en andel af mindst 90 % af disse produkter, der markedsføres i et givet år, senest den 31. december 2029.</w:t>
      </w:r>
    </w:p>
    <w:p w14:paraId="2A1F56ED" w14:textId="4E3E67AA" w:rsidR="006236DA" w:rsidRPr="000E29F8" w:rsidRDefault="006236DA" w:rsidP="00C525D6">
      <w:pPr>
        <w:pStyle w:val="ListParagraph"/>
        <w:numPr>
          <w:ilvl w:val="0"/>
          <w:numId w:val="40"/>
        </w:numPr>
        <w:jc w:val="both"/>
        <w:rPr>
          <w:rFonts w:ascii="Verdana" w:hAnsi="Verdana"/>
        </w:rPr>
      </w:pPr>
      <w:r>
        <w:rPr>
          <w:rFonts w:ascii="Verdana" w:hAnsi="Verdana"/>
        </w:rPr>
        <w:t>For at opfylde målene i de foregående stykker skal det system for deponering af ikke-genanvendelige plastemballager, der er fastsat i artikel 23c i Unilex, i dets nuværende form, bidrage.</w:t>
      </w:r>
    </w:p>
    <w:bookmarkEnd w:id="49"/>
    <w:p w14:paraId="53319A72" w14:textId="61D4E81F" w:rsidR="00A53FF8" w:rsidRPr="000E29F8" w:rsidRDefault="00A53FF8" w:rsidP="00C525D6">
      <w:pPr>
        <w:pStyle w:val="ListParagraph"/>
        <w:numPr>
          <w:ilvl w:val="0"/>
          <w:numId w:val="40"/>
        </w:numPr>
        <w:jc w:val="both"/>
        <w:rPr>
          <w:rFonts w:ascii="Verdana" w:hAnsi="Verdana"/>
        </w:rPr>
      </w:pPr>
      <w:r>
        <w:t>Stk. 1 og 2 er ikke omfattet af følgende:</w:t>
      </w:r>
    </w:p>
    <w:p w14:paraId="0351D4D5" w14:textId="2D9F9A35" w:rsidR="006236DA" w:rsidRPr="000E29F8" w:rsidRDefault="00A53FF8" w:rsidP="00C525D6">
      <w:pPr>
        <w:pStyle w:val="ListParagraph"/>
        <w:numPr>
          <w:ilvl w:val="0"/>
          <w:numId w:val="42"/>
        </w:numPr>
        <w:spacing w:line="240" w:lineRule="auto"/>
        <w:rPr>
          <w:rFonts w:ascii="Verdana" w:hAnsi="Verdana"/>
        </w:rPr>
      </w:pPr>
      <w:r>
        <w:rPr>
          <w:rFonts w:ascii="Verdana" w:hAnsi="Verdana"/>
        </w:rPr>
        <w:t xml:space="preserve">flasker af glas eller metal med kapsler og låg af plast; </w:t>
      </w:r>
    </w:p>
    <w:p w14:paraId="3CEC0E19" w14:textId="77777777" w:rsidR="00A53FF8" w:rsidRPr="000E29F8" w:rsidRDefault="00A53FF8" w:rsidP="00C525D6">
      <w:pPr>
        <w:pStyle w:val="ListParagraph"/>
        <w:numPr>
          <w:ilvl w:val="0"/>
          <w:numId w:val="42"/>
        </w:numPr>
        <w:spacing w:line="240" w:lineRule="auto"/>
        <w:rPr>
          <w:rFonts w:ascii="Verdana" w:hAnsi="Verdana"/>
        </w:rPr>
      </w:pPr>
      <w:r>
        <w:rPr>
          <w:rFonts w:ascii="Verdana" w:hAnsi="Verdana"/>
        </w:rPr>
        <w:t>flasker til drikkevarer, der er bestemt til og anvendes til fødevarer til specifikke medicinske formål som defineret i artikel 2, litra g), i forordning (EU) nr. 609/2013, som er i flydende form.</w:t>
      </w:r>
    </w:p>
    <w:p w14:paraId="0D3B6430" w14:textId="20E31A6E" w:rsidR="003067B2" w:rsidRPr="000E29F8" w:rsidRDefault="003067B2" w:rsidP="00C525D6">
      <w:pPr>
        <w:pStyle w:val="ListParagraph"/>
        <w:numPr>
          <w:ilvl w:val="0"/>
          <w:numId w:val="40"/>
        </w:numPr>
        <w:jc w:val="both"/>
        <w:rPr>
          <w:rFonts w:ascii="Verdana" w:hAnsi="Verdana"/>
        </w:rPr>
      </w:pPr>
      <w:r>
        <w:t>Med henblik på at kontrollere, om målene i stk. 1 og 2 overholdes, tages der hensyn til de beregningsregler, der er fastsat i den gennemførelsesretsakt, som Europa-Kommissionen har vedtaget.</w:t>
      </w:r>
      <w:r>
        <w:rPr>
          <w:rFonts w:ascii="Verdana" w:hAnsi="Verdana"/>
        </w:rPr>
        <w:t xml:space="preserve"> </w:t>
      </w:r>
    </w:p>
    <w:p w14:paraId="5B274A4B" w14:textId="1678079D" w:rsidR="002B07FB" w:rsidRPr="000E29F8" w:rsidRDefault="00486308" w:rsidP="00C525D6">
      <w:pPr>
        <w:pStyle w:val="ListParagraph"/>
        <w:numPr>
          <w:ilvl w:val="0"/>
          <w:numId w:val="40"/>
        </w:numPr>
        <w:jc w:val="both"/>
        <w:rPr>
          <w:rFonts w:ascii="Verdana" w:hAnsi="Verdana"/>
        </w:rPr>
      </w:pPr>
      <w:r>
        <w:rPr>
          <w:rFonts w:ascii="Verdana" w:hAnsi="Verdana"/>
        </w:rPr>
        <w:t xml:space="preserve">Mængden af engangsflasker af plast til drikkevarer med en kapacitet på op til tre liter, der er markedsført, kan anses for at svare til </w:t>
      </w:r>
      <w:r>
        <w:rPr>
          <w:rFonts w:ascii="Verdana" w:hAnsi="Verdana"/>
        </w:rPr>
        <w:lastRenderedPageBreak/>
        <w:t>mængden af affald fra sådanne flasker, herunder strøelse, i samme år.</w:t>
      </w:r>
    </w:p>
    <w:p w14:paraId="4DBFCC05" w14:textId="77777777" w:rsidR="00E1488F" w:rsidRPr="00AE50FA" w:rsidRDefault="00E1488F" w:rsidP="003B7EF0">
      <w:pPr>
        <w:spacing w:after="0"/>
        <w:rPr>
          <w:rFonts w:ascii="Verdana" w:hAnsi="Verdana"/>
          <w:b/>
          <w:sz w:val="24"/>
        </w:rPr>
      </w:pPr>
    </w:p>
    <w:p w14:paraId="18717885" w14:textId="7BE4F46B" w:rsidR="00E06216" w:rsidRPr="003F6B93" w:rsidRDefault="00CD4ECA" w:rsidP="00A66A89">
      <w:pPr>
        <w:pStyle w:val="Heading1"/>
        <w:tabs>
          <w:tab w:val="clear" w:pos="3969"/>
          <w:tab w:val="left" w:pos="2552"/>
        </w:tabs>
      </w:pPr>
      <w:r>
        <w:br/>
        <w:t>Oplysningskampagner</w:t>
      </w:r>
    </w:p>
    <w:p w14:paraId="4B983E0F" w14:textId="0E88C2AB" w:rsidR="00E06216" w:rsidRDefault="00AC3F76" w:rsidP="00AC3F76">
      <w:pPr>
        <w:pStyle w:val="Heading2"/>
        <w:numPr>
          <w:ilvl w:val="0"/>
          <w:numId w:val="0"/>
        </w:numPr>
        <w:tabs>
          <w:tab w:val="clear" w:pos="1701"/>
          <w:tab w:val="left" w:pos="1418"/>
        </w:tabs>
        <w:ind w:left="426"/>
      </w:pPr>
      <w:bookmarkStart w:id="50" w:name="_Ref63444090"/>
      <w:r>
        <w:t>Artikel 18</w:t>
      </w:r>
      <w:r>
        <w:br/>
      </w:r>
      <w:bookmarkStart w:id="51" w:name="_Ref66121837"/>
      <w:r>
        <w:t>Oplysningskampagner</w:t>
      </w:r>
      <w:bookmarkEnd w:id="50"/>
      <w:bookmarkEnd w:id="51"/>
    </w:p>
    <w:p w14:paraId="176D4E94" w14:textId="77777777" w:rsidR="00DA0902" w:rsidRPr="000E29F8" w:rsidRDefault="00DA0902" w:rsidP="000E29F8"/>
    <w:p w14:paraId="6254D43E" w14:textId="4CDEA858" w:rsidR="00EE73F2" w:rsidRPr="000E29F8" w:rsidRDefault="00EE73F2" w:rsidP="00C525D6">
      <w:pPr>
        <w:pStyle w:val="ListParagraph"/>
        <w:numPr>
          <w:ilvl w:val="0"/>
          <w:numId w:val="43"/>
        </w:numPr>
        <w:ind w:left="709"/>
        <w:jc w:val="both"/>
        <w:rPr>
          <w:rFonts w:ascii="Verdana" w:hAnsi="Verdana"/>
        </w:rPr>
      </w:pPr>
      <w:r>
        <w:rPr>
          <w:rFonts w:ascii="Verdana" w:hAnsi="Verdana"/>
        </w:rPr>
        <w:t>Producenter, der markedsfører de produkter, der er nævnt i stk. 3, og fiskeredskaber skal fremme oplysningskampagner for forbrugere og brugere af sådanne produkter med henblik på at tilskynde til ansvarlig adfærd og reducere affaldet fra sådanne produkter.</w:t>
      </w:r>
    </w:p>
    <w:p w14:paraId="6B5F3553" w14:textId="77777777" w:rsidR="00EE73F2" w:rsidRPr="000E29F8" w:rsidRDefault="00EE73F2" w:rsidP="00C525D6">
      <w:pPr>
        <w:pStyle w:val="ListParagraph"/>
        <w:numPr>
          <w:ilvl w:val="0"/>
          <w:numId w:val="43"/>
        </w:numPr>
        <w:ind w:left="709"/>
        <w:jc w:val="both"/>
        <w:rPr>
          <w:rFonts w:ascii="Verdana" w:hAnsi="Verdana"/>
        </w:rPr>
      </w:pPr>
      <w:r>
        <w:rPr>
          <w:rFonts w:ascii="Verdana" w:hAnsi="Verdana"/>
        </w:rPr>
        <w:t>De i foregående stykke omhandlede kampagner skal mindst indeholde oplysninger om:</w:t>
      </w:r>
    </w:p>
    <w:p w14:paraId="3E8D9316" w14:textId="40533EE7" w:rsidR="00EE73F2" w:rsidRPr="000E29F8" w:rsidRDefault="00EE73F2" w:rsidP="00C525D6">
      <w:pPr>
        <w:pStyle w:val="ListParagraph"/>
        <w:numPr>
          <w:ilvl w:val="0"/>
          <w:numId w:val="44"/>
        </w:numPr>
        <w:spacing w:line="240" w:lineRule="auto"/>
        <w:ind w:left="1134"/>
        <w:rPr>
          <w:rFonts w:ascii="Verdana" w:hAnsi="Verdana"/>
        </w:rPr>
      </w:pPr>
      <w:r>
        <w:rPr>
          <w:rFonts w:ascii="Verdana" w:hAnsi="Verdana"/>
        </w:rPr>
        <w:t>tilgængeligheden af genanvendelige alternativer, genbrugssystemer og affaldshåndteringsmuligheder for plastprodukter til engangsbrug og fiskeredskaber, der indeholder plast, samt bedste affaldshåndteringspraksis, der gennemføres i overensstemmelse med artikel 6 i GSWM;</w:t>
      </w:r>
    </w:p>
    <w:p w14:paraId="0AFDDD62" w14:textId="77777777" w:rsidR="001D4FEE" w:rsidRPr="000E29F8" w:rsidRDefault="00EE73F2" w:rsidP="00C525D6">
      <w:pPr>
        <w:pStyle w:val="ListParagraph"/>
        <w:numPr>
          <w:ilvl w:val="0"/>
          <w:numId w:val="44"/>
        </w:numPr>
        <w:spacing w:line="240" w:lineRule="auto"/>
        <w:ind w:left="1134"/>
        <w:rPr>
          <w:rFonts w:ascii="Verdana" w:hAnsi="Verdana"/>
        </w:rPr>
      </w:pPr>
      <w:r>
        <w:rPr>
          <w:rFonts w:ascii="Verdana" w:hAnsi="Verdana"/>
        </w:rPr>
        <w:t xml:space="preserve">de miljømæssige konsekvenser af affaldsbortskaffelse og andre uhensigtsmæssige metoder til bortskaffelse af affald fra engangsplastprodukter og fiskeredskaber indeholdende plast, navnlig for havmiljøet; og </w:t>
      </w:r>
    </w:p>
    <w:p w14:paraId="21CDC05E" w14:textId="4822A51C" w:rsidR="00EE73F2" w:rsidRPr="000E29F8" w:rsidRDefault="00EE73F2" w:rsidP="00C525D6">
      <w:pPr>
        <w:pStyle w:val="ListParagraph"/>
        <w:numPr>
          <w:ilvl w:val="0"/>
          <w:numId w:val="44"/>
        </w:numPr>
        <w:spacing w:line="240" w:lineRule="auto"/>
        <w:ind w:left="1134"/>
        <w:rPr>
          <w:rFonts w:ascii="Verdana" w:hAnsi="Verdana"/>
        </w:rPr>
      </w:pPr>
      <w:r>
        <w:rPr>
          <w:rFonts w:ascii="Verdana" w:hAnsi="Verdana"/>
        </w:rPr>
        <w:t>virkningen på kloaknettet af utilstrækkelige midler til bortskaffelse af disse engangsplastprodukter.</w:t>
      </w:r>
    </w:p>
    <w:p w14:paraId="6D59A259" w14:textId="7D55787E" w:rsidR="00EE73F2" w:rsidRPr="000E29F8" w:rsidRDefault="00EE73F2" w:rsidP="00C525D6">
      <w:pPr>
        <w:pStyle w:val="ListParagraph"/>
        <w:numPr>
          <w:ilvl w:val="0"/>
          <w:numId w:val="43"/>
        </w:numPr>
        <w:ind w:left="709"/>
        <w:jc w:val="both"/>
        <w:rPr>
          <w:rFonts w:ascii="Verdana" w:hAnsi="Verdana"/>
        </w:rPr>
      </w:pPr>
      <w:r>
        <w:rPr>
          <w:rFonts w:ascii="Verdana" w:hAnsi="Verdana"/>
        </w:rPr>
        <w:t>De plastprodukter til engangsbrug, for hvilke der gennemføres oplysningskampagner som omhandlet i stk. 1 i denne artikel, er følgende:</w:t>
      </w:r>
    </w:p>
    <w:p w14:paraId="22B6261F"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fødevarebeholdere, dvs. beholdere, f.eks. æsker, med eller uden låg, der anvendes til at indeholde fødevarer, som: </w:t>
      </w:r>
    </w:p>
    <w:p w14:paraId="40E13B6B" w14:textId="77777777" w:rsidR="00EE73F2" w:rsidRPr="006B0045" w:rsidRDefault="00EE73F2" w:rsidP="00C525D6">
      <w:pPr>
        <w:pStyle w:val="ListParagraph"/>
        <w:numPr>
          <w:ilvl w:val="0"/>
          <w:numId w:val="45"/>
        </w:numPr>
        <w:autoSpaceDE w:val="0"/>
        <w:autoSpaceDN w:val="0"/>
        <w:adjustRightInd w:val="0"/>
        <w:ind w:left="1560"/>
        <w:jc w:val="both"/>
        <w:rPr>
          <w:rFonts w:ascii="Verdana" w:hAnsi="Verdana"/>
        </w:rPr>
      </w:pPr>
      <w:r>
        <w:rPr>
          <w:rFonts w:ascii="Verdana" w:hAnsi="Verdana"/>
        </w:rPr>
        <w:t xml:space="preserve">er beregnet til umiddelbar fortæring enten på salgsstedet eller som takeaway; </w:t>
      </w:r>
    </w:p>
    <w:p w14:paraId="1BB14EA4" w14:textId="77777777" w:rsidR="00EE73F2" w:rsidRPr="006B0045" w:rsidRDefault="00EE73F2" w:rsidP="00C525D6">
      <w:pPr>
        <w:pStyle w:val="ListParagraph"/>
        <w:numPr>
          <w:ilvl w:val="0"/>
          <w:numId w:val="45"/>
        </w:numPr>
        <w:autoSpaceDE w:val="0"/>
        <w:autoSpaceDN w:val="0"/>
        <w:adjustRightInd w:val="0"/>
        <w:ind w:left="1560"/>
        <w:jc w:val="both"/>
        <w:rPr>
          <w:rFonts w:ascii="Verdana" w:hAnsi="Verdana"/>
        </w:rPr>
      </w:pPr>
      <w:r>
        <w:rPr>
          <w:rFonts w:ascii="Verdana" w:hAnsi="Verdana"/>
        </w:rPr>
        <w:t xml:space="preserve">typisk fortæres fra beholderen; og </w:t>
      </w:r>
    </w:p>
    <w:p w14:paraId="7C22AA17" w14:textId="77777777" w:rsidR="00EE73F2" w:rsidRPr="006B0045" w:rsidRDefault="00EE73F2" w:rsidP="00C525D6">
      <w:pPr>
        <w:pStyle w:val="ListParagraph"/>
        <w:numPr>
          <w:ilvl w:val="0"/>
          <w:numId w:val="45"/>
        </w:numPr>
        <w:autoSpaceDE w:val="0"/>
        <w:autoSpaceDN w:val="0"/>
        <w:adjustRightInd w:val="0"/>
        <w:ind w:left="1560"/>
        <w:jc w:val="both"/>
        <w:rPr>
          <w:rFonts w:ascii="Verdana" w:hAnsi="Verdana"/>
        </w:rPr>
      </w:pPr>
      <w:r>
        <w:rPr>
          <w:rFonts w:ascii="Verdana" w:hAnsi="Verdana"/>
        </w:rPr>
        <w:t xml:space="preserve">er klar til forbrug uden yderligere tilberedning, dvs. uden madlavning, kogning eller opvarmning. </w:t>
      </w:r>
    </w:p>
    <w:p w14:paraId="58E41D41" w14:textId="77777777" w:rsidR="00EE73F2" w:rsidRPr="006B0045" w:rsidRDefault="00EE73F2" w:rsidP="006B0045">
      <w:pPr>
        <w:pStyle w:val="ListParagraph"/>
        <w:spacing w:line="240" w:lineRule="auto"/>
        <w:ind w:left="1134"/>
        <w:rPr>
          <w:rFonts w:ascii="Verdana" w:hAnsi="Verdana"/>
        </w:rPr>
      </w:pPr>
      <w:r>
        <w:rPr>
          <w:rFonts w:ascii="Verdana" w:hAnsi="Verdana"/>
        </w:rPr>
        <w:t xml:space="preserve">herunder fødevarebeholdere, der anvendes til fastfood, eller andre måltider, som er klar til umiddelbar fortæring, undtagen </w:t>
      </w:r>
      <w:r>
        <w:rPr>
          <w:rFonts w:ascii="Verdana" w:hAnsi="Verdana"/>
        </w:rPr>
        <w:lastRenderedPageBreak/>
        <w:t xml:space="preserve">drikkevarebeholdere, tallerkener og indpakningsposer og -folier indeholdende fødevarer; </w:t>
      </w:r>
    </w:p>
    <w:p w14:paraId="42432BD7"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pakker og indpakninger fremstillet af fleksibelt materiale, der indeholder fødevarer, der er bestemt til umiddelbar indtagelse af pakningen eller indpakningen uden yderligere tilberedning; </w:t>
      </w:r>
    </w:p>
    <w:p w14:paraId="25F5C028"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 drikkevarebeholdere med et rumindhold på op til tre liter, dvs. beholdere, der anvendes til at indeholde væske, f.eks. flasker til drikkevarer, herunder kapsler og låg, og emballage til sammensatte drikkevarer, herunder kapsler og låg, men ikke beholdere af glas eller metal, som har kapsler og låg fremstillet af plast; </w:t>
      </w:r>
    </w:p>
    <w:p w14:paraId="5FD98B55"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bægre til drikkevarer, herunder overtræk og låg; </w:t>
      </w:r>
    </w:p>
    <w:p w14:paraId="37C31CB0"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 tobaksprodukter med filtre og filtre, der markedsføres med henblik på anvendelse i kombination med tobaksvarer; </w:t>
      </w:r>
    </w:p>
    <w:p w14:paraId="5330597D"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 vådservietter, dvs. forvædede servietter til personlig pleje og husholdningsbrug; </w:t>
      </w:r>
    </w:p>
    <w:p w14:paraId="00E5EA2E"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 balloner, undtagen balloner til industriel eller anden erhvervsmæssig brug og applikationer, der ikke distribueres til forbrugerne; </w:t>
      </w:r>
    </w:p>
    <w:p w14:paraId="0F558B0E" w14:textId="7981C8AC"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letvægtsplastbæreposer;</w:t>
      </w:r>
    </w:p>
    <w:p w14:paraId="5FC44F3C"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 hygiejnebind, tamponer og tamponapplikatorer.</w:t>
      </w:r>
    </w:p>
    <w:p w14:paraId="3B85A2EB" w14:textId="3E56771B" w:rsidR="00EE73F2" w:rsidRPr="000E29F8" w:rsidRDefault="004E09D6" w:rsidP="00C525D6">
      <w:pPr>
        <w:pStyle w:val="ListParagraph"/>
        <w:numPr>
          <w:ilvl w:val="0"/>
          <w:numId w:val="43"/>
        </w:numPr>
        <w:ind w:left="709"/>
        <w:jc w:val="both"/>
        <w:rPr>
          <w:rFonts w:ascii="Verdana" w:hAnsi="Verdana"/>
        </w:rPr>
      </w:pPr>
      <w:r>
        <w:rPr>
          <w:rFonts w:ascii="Verdana" w:hAnsi="Verdana"/>
        </w:rPr>
        <w:t>For de plastprodukter til engangsbrug, der er omhandlet i foregående stykkes litra a)-g), skal producenterne opfylde den forpligtelse, der er omhandlet i denne artikel, gennem forvaltningsorganet for det integrerede system, som de overdrager producentens udvidede ansvar til, eller et individuelt system, der er godkendt i henhold til Unilex.</w:t>
      </w:r>
    </w:p>
    <w:p w14:paraId="58299463" w14:textId="31299E33" w:rsidR="00B779E1" w:rsidRPr="000E29F8" w:rsidRDefault="005016C9" w:rsidP="00C525D6">
      <w:pPr>
        <w:pStyle w:val="ListParagraph"/>
        <w:numPr>
          <w:ilvl w:val="0"/>
          <w:numId w:val="43"/>
        </w:numPr>
        <w:ind w:left="709"/>
        <w:jc w:val="both"/>
        <w:rPr>
          <w:rFonts w:ascii="Verdana" w:hAnsi="Verdana"/>
        </w:rPr>
      </w:pPr>
      <w:r>
        <w:t>For så vidt angår plastprodukter til engangsbrug som omhandlet i stk. 3, litra h), skal producenterne opfylde forpligtelserne i stk. 1 og 2 individuelt og/eller gennem en repræsentativ sammenslutning.</w:t>
      </w:r>
      <w:r>
        <w:rPr>
          <w:rFonts w:ascii="Verdana" w:hAnsi="Verdana"/>
        </w:rPr>
        <w:t xml:space="preserve"> </w:t>
      </w:r>
    </w:p>
    <w:p w14:paraId="4B055247" w14:textId="2EBF5C69" w:rsidR="002B37F4" w:rsidRPr="000E29F8" w:rsidRDefault="004C777A" w:rsidP="00C525D6">
      <w:pPr>
        <w:pStyle w:val="ListParagraph"/>
        <w:numPr>
          <w:ilvl w:val="0"/>
          <w:numId w:val="43"/>
        </w:numPr>
        <w:ind w:left="709"/>
        <w:jc w:val="both"/>
        <w:rPr>
          <w:rFonts w:ascii="Verdana" w:hAnsi="Verdana"/>
        </w:rPr>
      </w:pPr>
      <w:r>
        <w:t>De producenter og/eller sammenslutninger, der er omhandlet i foregående stykke, sender senest den 30. april det følgende år APA, I.P. og DGAE en rapport, der viser de kampagner, der er gennemført i overensstemmelse med stk. 1 og 2, med de minimumsoplysninger, der er indeholdt i det dokument, der offentliggøres på APA"s, I.P.'s og DGAE"s internetportaler.</w:t>
      </w:r>
    </w:p>
    <w:p w14:paraId="25C23FBA" w14:textId="0F60BA64" w:rsidR="004C777A" w:rsidRPr="000E29F8" w:rsidRDefault="002B37F4" w:rsidP="00C525D6">
      <w:pPr>
        <w:pStyle w:val="ListParagraph"/>
        <w:numPr>
          <w:ilvl w:val="0"/>
          <w:numId w:val="43"/>
        </w:numPr>
        <w:ind w:left="709"/>
        <w:jc w:val="both"/>
        <w:rPr>
          <w:rFonts w:ascii="Verdana" w:hAnsi="Verdana"/>
        </w:rPr>
      </w:pPr>
      <w:r>
        <w:rPr>
          <w:rFonts w:ascii="Verdana" w:hAnsi="Verdana"/>
        </w:rPr>
        <w:t>Uden at dette berører det ansvar, der påhviler de producenter, der er omhandlet i de foregående stykker, bidrager de øvrige økonomiske aktører, der er involveret i handelskæden, navnlig distributører, sælgere og restaurationsudbydere, der er ansvarlige for at stille de produkter, der er nævnt i stk. 3, og fiskeredskaber til rådighed på markedet, da de er tæt på forbrugere og slutbrugere, også med henblik på at informere og gøre bevidst om disse produkter.</w:t>
      </w:r>
    </w:p>
    <w:p w14:paraId="4359F6E2" w14:textId="46BE87AA" w:rsidR="00A26F33" w:rsidRPr="000E29F8" w:rsidRDefault="00A26F33" w:rsidP="00C525D6">
      <w:pPr>
        <w:pStyle w:val="ListParagraph"/>
        <w:numPr>
          <w:ilvl w:val="0"/>
          <w:numId w:val="43"/>
        </w:numPr>
        <w:ind w:left="709"/>
        <w:jc w:val="both"/>
        <w:rPr>
          <w:rFonts w:ascii="Verdana" w:hAnsi="Verdana"/>
        </w:rPr>
      </w:pPr>
      <w:r>
        <w:rPr>
          <w:rFonts w:ascii="Verdana" w:hAnsi="Verdana"/>
        </w:rPr>
        <w:lastRenderedPageBreak/>
        <w:t>De erhvervsdrivende, der er omhandlet i foregående stykke, fører et register over de oplysninger og oplysningsforanstaltninger, der gennemføres, ved at stille dem til rådighed på de kompetente myndigheders anmodning.</w:t>
      </w:r>
    </w:p>
    <w:p w14:paraId="617C23B6" w14:textId="58FCB739" w:rsidR="008B4B7F" w:rsidRDefault="008B4B7F" w:rsidP="009820C4">
      <w:pPr>
        <w:rPr>
          <w:rFonts w:ascii="Verdana" w:hAnsi="Verdana"/>
          <w:b/>
          <w:sz w:val="24"/>
        </w:rPr>
      </w:pPr>
    </w:p>
    <w:p w14:paraId="07713E95" w14:textId="47FB0247" w:rsidR="006B0668" w:rsidRPr="003F6B93" w:rsidRDefault="00AE50FA" w:rsidP="000600E7">
      <w:pPr>
        <w:pStyle w:val="Heading1"/>
        <w:tabs>
          <w:tab w:val="clear" w:pos="3969"/>
          <w:tab w:val="left" w:pos="2268"/>
        </w:tabs>
        <w:ind w:firstLine="540"/>
      </w:pPr>
      <w:r>
        <w:br/>
        <w:t>Rapportering</w:t>
      </w:r>
    </w:p>
    <w:p w14:paraId="1B798C4B" w14:textId="4329DFBF" w:rsidR="0075174E" w:rsidRPr="0075174E" w:rsidRDefault="00AC3F76" w:rsidP="00AC3F76">
      <w:pPr>
        <w:pStyle w:val="Heading2"/>
        <w:numPr>
          <w:ilvl w:val="0"/>
          <w:numId w:val="0"/>
        </w:numPr>
        <w:tabs>
          <w:tab w:val="clear" w:pos="1701"/>
          <w:tab w:val="left" w:pos="1418"/>
        </w:tabs>
        <w:ind w:left="426"/>
      </w:pPr>
      <w:r>
        <w:t>Artikel 19</w:t>
      </w:r>
      <w:r>
        <w:br/>
        <w:t>Registrering af producenter</w:t>
      </w:r>
    </w:p>
    <w:p w14:paraId="465253EE" w14:textId="77777777" w:rsidR="0075174E" w:rsidRPr="0075174E" w:rsidRDefault="0075174E" w:rsidP="0075174E"/>
    <w:p w14:paraId="30FE0A7E" w14:textId="730BFBEF" w:rsidR="00655287" w:rsidRPr="001D4FEE" w:rsidRDefault="00655287" w:rsidP="00C525D6">
      <w:pPr>
        <w:pStyle w:val="ListParagraph"/>
        <w:numPr>
          <w:ilvl w:val="0"/>
          <w:numId w:val="47"/>
        </w:numPr>
        <w:ind w:left="709"/>
        <w:jc w:val="both"/>
        <w:rPr>
          <w:rFonts w:ascii="Verdana" w:hAnsi="Verdana" w:cs="EU Albertina"/>
          <w:color w:val="000000"/>
        </w:rPr>
      </w:pPr>
      <w:r>
        <w:rPr>
          <w:rFonts w:ascii="Verdana" w:hAnsi="Verdana"/>
        </w:rPr>
        <w:t>Producenter af engangsplastprodukter i henhold til dette lovdekret skal indføre og indsende data i det integrerede elektroniske affaldsregistersystem (SIRER), jf. artikel 97, 98 og 99 i GSWM, ved at underrette APA, I. P. om arten og mængden af de produkter, der markedsføres, uden at dette berører andre specifikke oplysninger om et produkt, der falder inden for en bestemt affaldsstrøm, og i</w:t>
      </w:r>
      <w:r>
        <w:rPr>
          <w:rFonts w:ascii="Verdana" w:hAnsi="Verdana"/>
          <w:color w:val="000000"/>
        </w:rPr>
        <w:t xml:space="preserve"> overensstemmelse med bestemmelserne i SIRER-forordningen.</w:t>
      </w:r>
    </w:p>
    <w:p w14:paraId="564433F5" w14:textId="77777777" w:rsidR="001D4FEE" w:rsidRPr="006B0045" w:rsidRDefault="00655287" w:rsidP="00C525D6">
      <w:pPr>
        <w:pStyle w:val="ListParagraph"/>
        <w:numPr>
          <w:ilvl w:val="0"/>
          <w:numId w:val="47"/>
        </w:numPr>
        <w:ind w:left="709"/>
        <w:jc w:val="both"/>
        <w:rPr>
          <w:rFonts w:ascii="Verdana" w:hAnsi="Verdana"/>
        </w:rPr>
      </w:pPr>
      <w:r>
        <w:rPr>
          <w:rFonts w:ascii="Verdana" w:hAnsi="Verdana"/>
        </w:rPr>
        <w:t>Med henblik på indgivelse af de oplysninger, der er omhandlet i stk. 31, indsender producenter af produkter eller deres bemyndigede repræsentanter hvert år senest den 31. marts i år (</w:t>
      </w:r>
      <w:r>
        <w:rPr>
          <w:rFonts w:ascii="Verdana" w:hAnsi="Verdana"/>
          <w:i/>
          <w:iCs/>
        </w:rPr>
        <w:t>n</w:t>
      </w:r>
      <w:r>
        <w:rPr>
          <w:rFonts w:ascii="Verdana" w:hAnsi="Verdana"/>
        </w:rPr>
        <w:t>):</w:t>
      </w:r>
    </w:p>
    <w:p w14:paraId="3535B3DD" w14:textId="77777777" w:rsidR="001D4FEE" w:rsidRPr="008855C2" w:rsidRDefault="00655287" w:rsidP="00C525D6">
      <w:pPr>
        <w:pStyle w:val="ListParagraph"/>
        <w:numPr>
          <w:ilvl w:val="0"/>
          <w:numId w:val="48"/>
        </w:numPr>
        <w:ind w:left="1134"/>
        <w:jc w:val="both"/>
        <w:rPr>
          <w:rFonts w:ascii="Verdana" w:hAnsi="Verdana"/>
        </w:rPr>
      </w:pPr>
      <w:r>
        <w:rPr>
          <w:rFonts w:ascii="Verdana" w:hAnsi="Verdana"/>
        </w:rPr>
        <w:t xml:space="preserve">en korrektionserklæring fra det foregående år (n-1) med henblik på indberetning af oplysninger om de mængder produkter, der er markedsført i år </w:t>
      </w:r>
      <w:r>
        <w:rPr>
          <w:rFonts w:ascii="Verdana" w:hAnsi="Verdana"/>
          <w:i/>
          <w:iCs/>
        </w:rPr>
        <w:t>n-1;</w:t>
      </w:r>
    </w:p>
    <w:p w14:paraId="33716009" w14:textId="6841F9F4" w:rsidR="00655287" w:rsidRPr="008855C2" w:rsidRDefault="00655287" w:rsidP="00C525D6">
      <w:pPr>
        <w:pStyle w:val="ListParagraph"/>
        <w:numPr>
          <w:ilvl w:val="0"/>
          <w:numId w:val="48"/>
        </w:numPr>
        <w:ind w:left="1134" w:hanging="357"/>
        <w:jc w:val="both"/>
        <w:rPr>
          <w:rFonts w:ascii="Verdana" w:hAnsi="Verdana"/>
        </w:rPr>
      </w:pPr>
      <w:r>
        <w:rPr>
          <w:rFonts w:ascii="Verdana" w:hAnsi="Verdana"/>
        </w:rPr>
        <w:t xml:space="preserve">et år n skønsmæssig opgørelse til indberetning af oplysninger om de mængder produkter, de skønner at kunne markedsføre i år </w:t>
      </w:r>
      <w:r>
        <w:rPr>
          <w:rFonts w:ascii="Verdana" w:hAnsi="Verdana"/>
          <w:i/>
          <w:iCs/>
        </w:rPr>
        <w:t>n</w:t>
      </w:r>
      <w:r>
        <w:rPr>
          <w:rFonts w:ascii="Verdana" w:hAnsi="Verdana"/>
        </w:rPr>
        <w:t>.</w:t>
      </w:r>
    </w:p>
    <w:p w14:paraId="35305B8F" w14:textId="13A601C9" w:rsidR="00006B68" w:rsidRPr="006B0045" w:rsidRDefault="00006B68" w:rsidP="00C525D6">
      <w:pPr>
        <w:pStyle w:val="ListParagraph"/>
        <w:numPr>
          <w:ilvl w:val="0"/>
          <w:numId w:val="47"/>
        </w:numPr>
        <w:ind w:left="709"/>
        <w:jc w:val="both"/>
        <w:rPr>
          <w:rFonts w:ascii="Verdana" w:hAnsi="Verdana"/>
        </w:rPr>
      </w:pPr>
      <w:bookmarkStart w:id="52" w:name="_Hlk66371193"/>
      <w:r>
        <w:rPr>
          <w:rFonts w:ascii="Verdana" w:hAnsi="Verdana"/>
        </w:rPr>
        <w:t xml:space="preserve">Med henblik på at måle overholdelsen af de foranstaltninger, der er fastsat i dette lovdekret, indsamler APA, I.P. følgende oplysninger i overensstemmelse med specifikke love eller bestemmelser: </w:t>
      </w:r>
    </w:p>
    <w:p w14:paraId="281594D3" w14:textId="77777777" w:rsidR="00006B68" w:rsidRPr="008855C2" w:rsidRDefault="00006B68" w:rsidP="00C525D6">
      <w:pPr>
        <w:pStyle w:val="ListParagraph"/>
        <w:numPr>
          <w:ilvl w:val="0"/>
          <w:numId w:val="49"/>
        </w:numPr>
        <w:ind w:left="1134"/>
        <w:jc w:val="both"/>
        <w:rPr>
          <w:rFonts w:ascii="Verdana" w:hAnsi="Verdana"/>
        </w:rPr>
      </w:pPr>
      <w:r>
        <w:rPr>
          <w:rFonts w:ascii="Verdana" w:hAnsi="Verdana"/>
        </w:rPr>
        <w:t xml:space="preserve">data om bægre til drikkevarer og fødevarebeholdere, der er blevet markedsført med henblik på at påvise en reduktion i forbruget i overensstemmelse med artikel 7; </w:t>
      </w:r>
    </w:p>
    <w:p w14:paraId="5EFB3AEB" w14:textId="77777777" w:rsidR="00006B68" w:rsidRPr="008855C2" w:rsidRDefault="00006B68" w:rsidP="00C525D6">
      <w:pPr>
        <w:pStyle w:val="ListParagraph"/>
        <w:numPr>
          <w:ilvl w:val="0"/>
          <w:numId w:val="49"/>
        </w:numPr>
        <w:ind w:left="1134"/>
        <w:jc w:val="both"/>
        <w:rPr>
          <w:rFonts w:ascii="Verdana" w:hAnsi="Verdana"/>
        </w:rPr>
      </w:pPr>
      <w:r>
        <w:rPr>
          <w:rFonts w:ascii="Verdana" w:hAnsi="Verdana"/>
        </w:rPr>
        <w:t xml:space="preserve">data om engangsflasker af plast til drikkevarer med en kapacitet på op til tre liter, som er indsamlet særskilt, med henblik på at påvise overensstemmelse med det særskilte indsamlingsmål, der er fastsat i artikel 17; </w:t>
      </w:r>
    </w:p>
    <w:p w14:paraId="67102229" w14:textId="77777777" w:rsidR="00006B68" w:rsidRPr="008855C2" w:rsidRDefault="00006B68" w:rsidP="00C525D6">
      <w:pPr>
        <w:pStyle w:val="ListParagraph"/>
        <w:numPr>
          <w:ilvl w:val="0"/>
          <w:numId w:val="49"/>
        </w:numPr>
        <w:ind w:left="1134"/>
        <w:jc w:val="both"/>
        <w:rPr>
          <w:rFonts w:ascii="Verdana" w:hAnsi="Verdana"/>
        </w:rPr>
      </w:pPr>
      <w:r>
        <w:rPr>
          <w:rFonts w:ascii="Verdana" w:hAnsi="Verdana"/>
        </w:rPr>
        <w:lastRenderedPageBreak/>
        <w:t>data om fiskeredskaber, der indeholder plast, der markedsføres, og fiskeredskaber, der indsamles årligt;</w:t>
      </w:r>
    </w:p>
    <w:p w14:paraId="70FB6219" w14:textId="77777777" w:rsidR="00006B68" w:rsidRPr="008855C2" w:rsidRDefault="00006B68" w:rsidP="00C525D6">
      <w:pPr>
        <w:pStyle w:val="ListParagraph"/>
        <w:numPr>
          <w:ilvl w:val="0"/>
          <w:numId w:val="49"/>
        </w:numPr>
        <w:ind w:left="1134"/>
        <w:jc w:val="both"/>
        <w:rPr>
          <w:rFonts w:ascii="Verdana" w:hAnsi="Verdana"/>
        </w:rPr>
      </w:pPr>
      <w:r>
        <w:rPr>
          <w:rFonts w:ascii="Verdana" w:hAnsi="Verdana"/>
        </w:rPr>
        <w:t>oplysninger om indholdet af genbrugsmateriale i flasker til drikkevarer med henblik på at påvise, at målene i artikel 11 er opfyldt;</w:t>
      </w:r>
    </w:p>
    <w:p w14:paraId="76EF45CD" w14:textId="24CC0CDA" w:rsidR="00006B68" w:rsidRPr="008855C2" w:rsidRDefault="00006B68" w:rsidP="00C525D6">
      <w:pPr>
        <w:pStyle w:val="ListParagraph"/>
        <w:numPr>
          <w:ilvl w:val="0"/>
          <w:numId w:val="49"/>
        </w:numPr>
        <w:ind w:left="1134"/>
        <w:jc w:val="both"/>
        <w:rPr>
          <w:rFonts w:ascii="Verdana" w:hAnsi="Verdana"/>
        </w:rPr>
      </w:pPr>
      <w:r>
        <w:rPr>
          <w:rFonts w:ascii="Verdana" w:hAnsi="Verdana"/>
        </w:rPr>
        <w:t xml:space="preserve">data om affald fra tobaksprodukter med filtre og filtre, der markedsføres med henblik på anvendelse i kombination med tobaksprodukter indsamlet i overensstemmelse med artikel 15, stk. 3. </w:t>
      </w:r>
    </w:p>
    <w:p w14:paraId="626F4EE8" w14:textId="77777777" w:rsidR="00006B68" w:rsidRPr="008855C2" w:rsidRDefault="00006B68" w:rsidP="008855C2">
      <w:pPr>
        <w:pStyle w:val="ListParagraph"/>
        <w:ind w:left="709"/>
        <w:jc w:val="both"/>
        <w:rPr>
          <w:rFonts w:ascii="Verdana" w:hAnsi="Verdana"/>
        </w:rPr>
      </w:pPr>
    </w:p>
    <w:p w14:paraId="56B0C35B" w14:textId="472AB424" w:rsidR="00006B68" w:rsidRPr="006B0045" w:rsidRDefault="00006B68" w:rsidP="00C525D6">
      <w:pPr>
        <w:pStyle w:val="ListParagraph"/>
        <w:numPr>
          <w:ilvl w:val="0"/>
          <w:numId w:val="47"/>
        </w:numPr>
        <w:ind w:left="709"/>
        <w:jc w:val="both"/>
        <w:rPr>
          <w:rFonts w:ascii="Verdana" w:hAnsi="Verdana"/>
        </w:rPr>
      </w:pPr>
      <w:r>
        <w:rPr>
          <w:rFonts w:ascii="Verdana" w:hAnsi="Verdana"/>
        </w:rPr>
        <w:t>Den første rapporteringsperiode, der er omhandlet i litra a)-c), vedrører år 2022.</w:t>
      </w:r>
    </w:p>
    <w:p w14:paraId="1748737B" w14:textId="270DC7A5" w:rsidR="00006B68" w:rsidRPr="006B0045" w:rsidRDefault="00006B68" w:rsidP="00C525D6">
      <w:pPr>
        <w:pStyle w:val="ListParagraph"/>
        <w:numPr>
          <w:ilvl w:val="0"/>
          <w:numId w:val="47"/>
        </w:numPr>
        <w:ind w:left="709"/>
        <w:jc w:val="both"/>
        <w:rPr>
          <w:rFonts w:ascii="Verdana" w:hAnsi="Verdana"/>
        </w:rPr>
      </w:pPr>
      <w:r>
        <w:rPr>
          <w:rFonts w:ascii="Verdana" w:hAnsi="Verdana"/>
        </w:rPr>
        <w:t>Den første rapporteringsperiode, der er omhandlet i litra d) og e), gælder for 2023.</w:t>
      </w:r>
    </w:p>
    <w:bookmarkEnd w:id="52"/>
    <w:p w14:paraId="4C26F6C4" w14:textId="76816B5C" w:rsidR="00B63641" w:rsidRPr="006B0045" w:rsidRDefault="00B63641" w:rsidP="00C525D6">
      <w:pPr>
        <w:pStyle w:val="ListParagraph"/>
        <w:numPr>
          <w:ilvl w:val="0"/>
          <w:numId w:val="47"/>
        </w:numPr>
        <w:ind w:left="709"/>
        <w:jc w:val="both"/>
        <w:rPr>
          <w:rFonts w:ascii="Verdana" w:hAnsi="Verdana"/>
        </w:rPr>
      </w:pPr>
      <w:r>
        <w:rPr>
          <w:rFonts w:ascii="Verdana" w:hAnsi="Verdana"/>
        </w:rPr>
        <w:t>Indsamling og behandling af oplysninger, der følger af de i foregående stykke omhandlede opgaver, er omfattet af lovgivningen om beskyttelse af personoplysninger.</w:t>
      </w:r>
    </w:p>
    <w:p w14:paraId="3D42586E" w14:textId="77777777" w:rsidR="00B63641" w:rsidRPr="003F6B93" w:rsidRDefault="00B63641" w:rsidP="008855C2">
      <w:pPr>
        <w:pStyle w:val="ListParagraph"/>
        <w:ind w:left="709"/>
        <w:jc w:val="both"/>
        <w:rPr>
          <w:rFonts w:ascii="Verdana" w:hAnsi="Verdana"/>
        </w:rPr>
      </w:pPr>
    </w:p>
    <w:p w14:paraId="1D7B605F" w14:textId="3BF02AFE" w:rsidR="006B0668" w:rsidRPr="003F6B93" w:rsidRDefault="00DD1E2B" w:rsidP="008855C2">
      <w:pPr>
        <w:pStyle w:val="Heading1"/>
        <w:tabs>
          <w:tab w:val="clear" w:pos="3969"/>
        </w:tabs>
      </w:pPr>
      <w:r>
        <w:br/>
        <w:t>Overvågnings- og administrativt system</w:t>
      </w:r>
    </w:p>
    <w:p w14:paraId="504AC209" w14:textId="3D54499C" w:rsidR="006B0668" w:rsidRDefault="00AC3F76" w:rsidP="00AC3F76">
      <w:pPr>
        <w:pStyle w:val="Heading2"/>
        <w:numPr>
          <w:ilvl w:val="0"/>
          <w:numId w:val="0"/>
        </w:numPr>
        <w:tabs>
          <w:tab w:val="clear" w:pos="1701"/>
          <w:tab w:val="left" w:pos="1418"/>
        </w:tabs>
        <w:ind w:left="426"/>
      </w:pPr>
      <w:r>
        <w:t>Artikel 20</w:t>
      </w:r>
      <w:r>
        <w:br/>
        <w:t>Inspektion og overvågning</w:t>
      </w:r>
    </w:p>
    <w:p w14:paraId="52BFFB6C" w14:textId="77777777" w:rsidR="00B82A72" w:rsidRPr="00B82A72" w:rsidRDefault="00B82A72" w:rsidP="00B82A72"/>
    <w:p w14:paraId="5F02C2E9" w14:textId="59F292EB" w:rsidR="006B0668" w:rsidRPr="00DD1E2B" w:rsidRDefault="006B0668" w:rsidP="00C525D6">
      <w:pPr>
        <w:pStyle w:val="ListParagraph"/>
        <w:numPr>
          <w:ilvl w:val="0"/>
          <w:numId w:val="50"/>
        </w:numPr>
        <w:ind w:left="709"/>
        <w:jc w:val="both"/>
        <w:rPr>
          <w:rFonts w:ascii="Verdana" w:hAnsi="Verdana"/>
        </w:rPr>
      </w:pPr>
      <w:r>
        <w:rPr>
          <w:rFonts w:ascii="Verdana" w:hAnsi="Verdana"/>
        </w:rPr>
        <w:t>Kontrollen med overholdelsen af bestemmelserne i dette lovdekret varetages af generalinspektoratet for landbrug, hav, miljø og fysisk planlægning (IGAMAOT), fødevare- og økonomisk sikkerhedsautoriteten (ASAE) og skatte- og toldmyndigheden (AT) og politimyndighederne i overensstemmelse med deres territoriale kompetence.</w:t>
      </w:r>
    </w:p>
    <w:p w14:paraId="07FC5737" w14:textId="70AB462A" w:rsidR="006B0668" w:rsidRPr="001D278E" w:rsidRDefault="006B0668" w:rsidP="00C525D6">
      <w:pPr>
        <w:pStyle w:val="ListParagraph"/>
        <w:numPr>
          <w:ilvl w:val="0"/>
          <w:numId w:val="50"/>
        </w:numPr>
        <w:ind w:left="709"/>
        <w:jc w:val="both"/>
        <w:rPr>
          <w:rFonts w:ascii="Verdana" w:hAnsi="Verdana"/>
        </w:rPr>
      </w:pPr>
      <w:r>
        <w:rPr>
          <w:rFonts w:ascii="Verdana" w:hAnsi="Verdana"/>
        </w:rPr>
        <w:t>Bestemmelserne i foregående afsnit berører ikke udøvelsen af de overvågnings- og politibeføjelser, der er tillagt andre offentlige myndigheder.</w:t>
      </w:r>
    </w:p>
    <w:p w14:paraId="3BBF5192" w14:textId="77777777" w:rsidR="006B0668" w:rsidRDefault="006B0668" w:rsidP="006B0668">
      <w:pPr>
        <w:jc w:val="center"/>
        <w:rPr>
          <w:rFonts w:ascii="Verdana" w:hAnsi="Verdana"/>
        </w:rPr>
      </w:pPr>
    </w:p>
    <w:p w14:paraId="64B92E95" w14:textId="6598AC2D" w:rsidR="00D22B19" w:rsidRDefault="00AC3F76" w:rsidP="00AC3F76">
      <w:pPr>
        <w:pStyle w:val="Heading2"/>
        <w:numPr>
          <w:ilvl w:val="0"/>
          <w:numId w:val="0"/>
        </w:numPr>
        <w:tabs>
          <w:tab w:val="clear" w:pos="1701"/>
          <w:tab w:val="left" w:pos="1276"/>
        </w:tabs>
        <w:ind w:left="426"/>
      </w:pPr>
      <w:r>
        <w:t>Artikel 21</w:t>
      </w:r>
      <w:r>
        <w:br/>
        <w:t>Økonomiske administrative lovovertrædelser</w:t>
      </w:r>
    </w:p>
    <w:p w14:paraId="0561408D" w14:textId="77777777" w:rsidR="00B82A72" w:rsidRPr="00B82A72" w:rsidRDefault="00B82A72" w:rsidP="00B82A72"/>
    <w:p w14:paraId="380E9DA4" w14:textId="2D1DBB67" w:rsidR="00D22B19" w:rsidRPr="001D278E" w:rsidRDefault="00757BC4" w:rsidP="00C525D6">
      <w:pPr>
        <w:pStyle w:val="ListParagraph"/>
        <w:numPr>
          <w:ilvl w:val="0"/>
          <w:numId w:val="51"/>
        </w:numPr>
        <w:ind w:left="709"/>
        <w:jc w:val="both"/>
        <w:rPr>
          <w:rFonts w:ascii="Verdana" w:hAnsi="Verdana"/>
        </w:rPr>
      </w:pPr>
      <w:r>
        <w:rPr>
          <w:rFonts w:ascii="Verdana" w:hAnsi="Verdana"/>
        </w:rPr>
        <w:t>Følgende udgør alvorlige økonomiske administrative lovovertrædelser, der kan straffes i henhold til den juridiske ordning for økonomiske administrative overtrædelser, der er godkendt ved lovdekret nr. 9/2021 af 29. januar:</w:t>
      </w:r>
    </w:p>
    <w:p w14:paraId="5D42299A" w14:textId="4C05EAFA" w:rsidR="00757BC4" w:rsidRPr="001D278E" w:rsidRDefault="00757BC4" w:rsidP="00C525D6">
      <w:pPr>
        <w:pStyle w:val="ListParagraph"/>
        <w:numPr>
          <w:ilvl w:val="1"/>
          <w:numId w:val="52"/>
        </w:numPr>
        <w:spacing w:after="0"/>
        <w:ind w:left="1134"/>
        <w:jc w:val="both"/>
        <w:rPr>
          <w:rFonts w:ascii="Verdana" w:hAnsi="Verdana"/>
        </w:rPr>
      </w:pPr>
      <w:r>
        <w:rPr>
          <w:rFonts w:ascii="Verdana" w:hAnsi="Verdana"/>
        </w:rPr>
        <w:t xml:space="preserve">manglende overholdelse af artikel 4, stk. 1; </w:t>
      </w:r>
    </w:p>
    <w:p w14:paraId="423006AE" w14:textId="3B2478D6" w:rsidR="00B94B1F" w:rsidRPr="001D278E" w:rsidRDefault="00B94B1F" w:rsidP="00C525D6">
      <w:pPr>
        <w:pStyle w:val="ListParagraph"/>
        <w:numPr>
          <w:ilvl w:val="1"/>
          <w:numId w:val="52"/>
        </w:numPr>
        <w:spacing w:after="0"/>
        <w:ind w:left="1134"/>
        <w:jc w:val="both"/>
        <w:rPr>
          <w:rFonts w:ascii="Verdana" w:hAnsi="Verdana"/>
        </w:rPr>
      </w:pPr>
      <w:r>
        <w:rPr>
          <w:rFonts w:ascii="Verdana" w:hAnsi="Verdana"/>
        </w:rPr>
        <w:t xml:space="preserve">manglende overholdelse af artikel 4, stk. 2; </w:t>
      </w:r>
    </w:p>
    <w:p w14:paraId="013C6DC8" w14:textId="0AD0363E" w:rsidR="008B1B8C" w:rsidRPr="001D278E" w:rsidRDefault="008B1B8C" w:rsidP="00C525D6">
      <w:pPr>
        <w:pStyle w:val="ListParagraph"/>
        <w:numPr>
          <w:ilvl w:val="1"/>
          <w:numId w:val="52"/>
        </w:numPr>
        <w:spacing w:after="0"/>
        <w:ind w:left="1134"/>
        <w:jc w:val="both"/>
        <w:rPr>
          <w:rFonts w:ascii="Verdana" w:hAnsi="Verdana"/>
        </w:rPr>
      </w:pPr>
      <w:r>
        <w:rPr>
          <w:rFonts w:ascii="Verdana" w:hAnsi="Verdana"/>
        </w:rPr>
        <w:t xml:space="preserve">manglende overholdelse af artikel 5, stk. 1; </w:t>
      </w:r>
    </w:p>
    <w:p w14:paraId="70BD8DE9" w14:textId="49FB245A" w:rsidR="008B1B8C" w:rsidRPr="001D278E" w:rsidRDefault="008B1B8C" w:rsidP="00C525D6">
      <w:pPr>
        <w:pStyle w:val="ListParagraph"/>
        <w:numPr>
          <w:ilvl w:val="1"/>
          <w:numId w:val="52"/>
        </w:numPr>
        <w:spacing w:after="0"/>
        <w:ind w:left="1134"/>
        <w:jc w:val="both"/>
        <w:rPr>
          <w:rFonts w:ascii="Verdana" w:hAnsi="Verdana"/>
        </w:rPr>
      </w:pPr>
      <w:r>
        <w:rPr>
          <w:rFonts w:ascii="Verdana" w:hAnsi="Verdana"/>
        </w:rPr>
        <w:t xml:space="preserve">manglende overholdelse af artikel 5, stk. 2, af enheder, der udfører de deri fastsatte aktiviteter; </w:t>
      </w:r>
    </w:p>
    <w:p w14:paraId="79B7025C" w14:textId="52342E57" w:rsidR="007D2095" w:rsidRPr="001D278E" w:rsidRDefault="007D2095" w:rsidP="00C525D6">
      <w:pPr>
        <w:pStyle w:val="ListParagraph"/>
        <w:numPr>
          <w:ilvl w:val="1"/>
          <w:numId w:val="52"/>
        </w:numPr>
        <w:spacing w:after="0"/>
        <w:ind w:left="1134"/>
        <w:jc w:val="both"/>
        <w:rPr>
          <w:rFonts w:ascii="Verdana" w:hAnsi="Verdana"/>
        </w:rPr>
      </w:pPr>
      <w:r>
        <w:t>manglende overholdelse af foranstaltningerne i artikel 8, stk. 1, 2 og 5 og 6;</w:t>
      </w:r>
    </w:p>
    <w:p w14:paraId="2A1AD62E" w14:textId="24C37A57" w:rsidR="006802F6" w:rsidRPr="001D278E" w:rsidRDefault="006802F6" w:rsidP="00C525D6">
      <w:pPr>
        <w:pStyle w:val="ListParagraph"/>
        <w:numPr>
          <w:ilvl w:val="1"/>
          <w:numId w:val="52"/>
        </w:numPr>
        <w:spacing w:after="0"/>
        <w:ind w:left="1134"/>
        <w:jc w:val="both"/>
        <w:rPr>
          <w:rFonts w:ascii="Verdana" w:hAnsi="Verdana"/>
        </w:rPr>
      </w:pPr>
      <w:r>
        <w:rPr>
          <w:rFonts w:ascii="Verdana" w:hAnsi="Verdana"/>
        </w:rPr>
        <w:t>producentens manglende overholdelse af forpligtelsen til at udpege en bemyndiget repræsentant, jf. artikel 20, stk. 3;</w:t>
      </w:r>
    </w:p>
    <w:p w14:paraId="597A0744" w14:textId="1E4E2581" w:rsidR="00D22B19" w:rsidRPr="001D278E" w:rsidRDefault="00D22B19" w:rsidP="00C525D6">
      <w:pPr>
        <w:pStyle w:val="ListParagraph"/>
        <w:numPr>
          <w:ilvl w:val="0"/>
          <w:numId w:val="51"/>
        </w:numPr>
        <w:ind w:left="709"/>
        <w:jc w:val="both"/>
        <w:rPr>
          <w:rFonts w:ascii="Verdana" w:hAnsi="Verdana"/>
        </w:rPr>
      </w:pPr>
      <w:r>
        <w:rPr>
          <w:rFonts w:ascii="Verdana" w:hAnsi="Verdana"/>
        </w:rPr>
        <w:t xml:space="preserve">2. Forsøg på at begå en lovovertrædelse og uagtsomhed er strafbare, og bødens minimums- og maksimumsgrænser nedsættes til halvdelen. </w:t>
      </w:r>
    </w:p>
    <w:p w14:paraId="46A43068" w14:textId="77777777" w:rsidR="00D22B19" w:rsidRDefault="00D22B19" w:rsidP="00FB0A52">
      <w:pPr>
        <w:rPr>
          <w:rFonts w:ascii="Verdana" w:hAnsi="Verdana"/>
        </w:rPr>
      </w:pPr>
    </w:p>
    <w:p w14:paraId="62AA6CC8" w14:textId="51D77CD8" w:rsidR="002B3376" w:rsidRDefault="00AC3F76" w:rsidP="00AC3F76">
      <w:pPr>
        <w:pStyle w:val="Heading2"/>
        <w:numPr>
          <w:ilvl w:val="0"/>
          <w:numId w:val="0"/>
        </w:numPr>
        <w:ind w:left="426"/>
      </w:pPr>
      <w:r>
        <w:t>Artikel 22</w:t>
      </w:r>
      <w:r>
        <w:br/>
        <w:t>Indtægter fra bøder</w:t>
      </w:r>
    </w:p>
    <w:p w14:paraId="418208D4" w14:textId="77777777" w:rsidR="00B82A72" w:rsidRPr="00B82A72" w:rsidRDefault="00B82A72" w:rsidP="00B82A72"/>
    <w:p w14:paraId="49DD38B3" w14:textId="5F90344D" w:rsidR="008B1B8C" w:rsidRPr="00D22B19" w:rsidRDefault="00D22B19" w:rsidP="00B82A72">
      <w:pPr>
        <w:jc w:val="both"/>
        <w:rPr>
          <w:rFonts w:ascii="Verdana" w:hAnsi="Verdana"/>
        </w:rPr>
      </w:pPr>
      <w:r>
        <w:rPr>
          <w:rFonts w:ascii="Verdana" w:hAnsi="Verdana"/>
        </w:rPr>
        <w:t xml:space="preserve">Provenuet af de bøder, der er omhandlet i den foregående artikel, fordeles i overensstemmelse med den </w:t>
      </w:r>
      <w:r>
        <w:rPr>
          <w:rFonts w:ascii="Verdana" w:hAnsi="Verdana"/>
          <w:color w:val="000000" w:themeColor="text1"/>
          <w:shd w:val="clear" w:color="auto" w:fill="FFFFFF"/>
        </w:rPr>
        <w:t>juridiske ordning for økonomiske administrative overtrædelser</w:t>
      </w:r>
      <w:r>
        <w:rPr>
          <w:rFonts w:ascii="Verdana" w:hAnsi="Verdana"/>
        </w:rPr>
        <w:t xml:space="preserve">. </w:t>
      </w:r>
    </w:p>
    <w:p w14:paraId="7BB9EBFC" w14:textId="77777777" w:rsidR="002B3376" w:rsidRPr="00D22B19" w:rsidRDefault="002B3376" w:rsidP="00FB0A52"/>
    <w:p w14:paraId="29AD576B" w14:textId="0B7D8431" w:rsidR="004551A4" w:rsidRDefault="00AC3F76" w:rsidP="00AC3F76">
      <w:pPr>
        <w:pStyle w:val="Heading2"/>
        <w:numPr>
          <w:ilvl w:val="0"/>
          <w:numId w:val="0"/>
        </w:numPr>
        <w:tabs>
          <w:tab w:val="clear" w:pos="1701"/>
        </w:tabs>
        <w:ind w:left="426"/>
      </w:pPr>
      <w:r>
        <w:t>Artikel 23</w:t>
      </w:r>
      <w:r>
        <w:br/>
        <w:t>Administrative miljøovertrædelser</w:t>
      </w:r>
    </w:p>
    <w:p w14:paraId="37B492A3" w14:textId="77777777" w:rsidR="002B3376" w:rsidRPr="002B3376" w:rsidRDefault="002B3376" w:rsidP="002B3376"/>
    <w:p w14:paraId="04444803" w14:textId="3745F447" w:rsidR="004551A4" w:rsidRPr="001D278E" w:rsidRDefault="004551A4" w:rsidP="00C525D6">
      <w:pPr>
        <w:pStyle w:val="ListParagraph"/>
        <w:numPr>
          <w:ilvl w:val="0"/>
          <w:numId w:val="53"/>
        </w:numPr>
        <w:ind w:left="709"/>
        <w:jc w:val="both"/>
        <w:rPr>
          <w:rFonts w:ascii="Verdana" w:hAnsi="Verdana"/>
        </w:rPr>
      </w:pPr>
      <w:r>
        <w:t xml:space="preserve">Følgende udgør en meget alvorlig miljømæssig administrativ overtrædelse, der kan straffes i henhold til rammeloven om administrative miljøovertrædelser, der er vedtaget i bilaget til </w:t>
      </w:r>
      <w:hyperlink r:id="rId8" w:tgtFrame="_blank" w:tooltip="Lov nr. 50/2006" w:history="1">
        <w:r>
          <w:rPr>
            <w:rFonts w:ascii="Verdana" w:hAnsi="Verdana"/>
          </w:rPr>
          <w:t>lov nr. 50/2006</w:t>
        </w:r>
      </w:hyperlink>
      <w:r>
        <w:t xml:space="preserve"> af 29. august i sin nuværende ordlyd:</w:t>
      </w:r>
    </w:p>
    <w:p w14:paraId="1FC85153" w14:textId="734444EC" w:rsidR="00DD1E2B" w:rsidRPr="001D278E" w:rsidRDefault="005630B1" w:rsidP="00C525D6">
      <w:pPr>
        <w:pStyle w:val="ListParagraph"/>
        <w:numPr>
          <w:ilvl w:val="1"/>
          <w:numId w:val="54"/>
        </w:numPr>
        <w:spacing w:after="0"/>
        <w:ind w:left="1134"/>
        <w:jc w:val="both"/>
        <w:rPr>
          <w:rFonts w:ascii="Verdana" w:hAnsi="Verdana"/>
        </w:rPr>
      </w:pPr>
      <w:r>
        <w:rPr>
          <w:rFonts w:ascii="Verdana" w:hAnsi="Verdana"/>
        </w:rPr>
        <w:t>manglende overholdelse af iblandingen af genvundet plast i flasker til drikkevarer, jf. artikel 11, stk. 5;</w:t>
      </w:r>
    </w:p>
    <w:p w14:paraId="379602CA" w14:textId="7B93E60C" w:rsidR="004551A4" w:rsidRPr="001D278E" w:rsidRDefault="004551A4" w:rsidP="00C525D6">
      <w:pPr>
        <w:pStyle w:val="ListParagraph"/>
        <w:numPr>
          <w:ilvl w:val="0"/>
          <w:numId w:val="53"/>
        </w:numPr>
        <w:ind w:left="709"/>
        <w:jc w:val="both"/>
        <w:rPr>
          <w:rFonts w:ascii="Verdana" w:hAnsi="Verdana"/>
        </w:rPr>
      </w:pPr>
      <w:r>
        <w:t xml:space="preserve">Følgende udgør alvorlige miljømæssige administrative lovovertrædelser, der kan straffes i henhold til rammeloven om administrative miljøovertrædelser, vedtaget i bilaget til </w:t>
      </w:r>
      <w:hyperlink r:id="rId9" w:tgtFrame="_blank" w:tooltip="Lov nr. 50/2006" w:history="1">
        <w:r>
          <w:rPr>
            <w:rFonts w:ascii="Verdana" w:hAnsi="Verdana"/>
          </w:rPr>
          <w:t>Lei n.º 50/2006</w:t>
        </w:r>
      </w:hyperlink>
      <w:r>
        <w:t>Lov nr. 50/2006 af 29. august i den nuværende ordlyd:</w:t>
      </w:r>
    </w:p>
    <w:p w14:paraId="0E19D986" w14:textId="3A86DB1E" w:rsidR="005630B1" w:rsidRPr="001D278E" w:rsidRDefault="009E11DC" w:rsidP="00C525D6">
      <w:pPr>
        <w:pStyle w:val="ListParagraph"/>
        <w:numPr>
          <w:ilvl w:val="1"/>
          <w:numId w:val="55"/>
        </w:numPr>
        <w:spacing w:after="0"/>
        <w:ind w:left="1134"/>
        <w:jc w:val="both"/>
        <w:rPr>
          <w:rFonts w:ascii="Verdana" w:hAnsi="Verdana"/>
        </w:rPr>
      </w:pPr>
      <w:r>
        <w:rPr>
          <w:rFonts w:ascii="Verdana" w:hAnsi="Verdana"/>
        </w:rPr>
        <w:lastRenderedPageBreak/>
        <w:t>markedsføring af beholdere til drikkevarer, der ikke opfylder designkravene i artikel 10, stk. 1;</w:t>
      </w:r>
    </w:p>
    <w:p w14:paraId="59E5084D" w14:textId="6290E616" w:rsidR="00950E5B" w:rsidRPr="001D278E" w:rsidRDefault="009E11DC" w:rsidP="00C525D6">
      <w:pPr>
        <w:pStyle w:val="ListParagraph"/>
        <w:numPr>
          <w:ilvl w:val="1"/>
          <w:numId w:val="55"/>
        </w:numPr>
        <w:spacing w:after="0"/>
        <w:ind w:left="1134"/>
        <w:jc w:val="both"/>
        <w:rPr>
          <w:rFonts w:ascii="Verdana" w:hAnsi="Verdana"/>
        </w:rPr>
      </w:pPr>
      <w:r>
        <w:rPr>
          <w:rFonts w:ascii="Verdana" w:hAnsi="Verdana"/>
        </w:rPr>
        <w:t xml:space="preserve">manglende overholdelse af mærkningskravene i artikel 12, stk. 2; </w:t>
      </w:r>
    </w:p>
    <w:p w14:paraId="2C12473B" w14:textId="2C68299B" w:rsidR="005630B1" w:rsidRPr="001D278E" w:rsidRDefault="00950E5B" w:rsidP="00C525D6">
      <w:pPr>
        <w:pStyle w:val="ListParagraph"/>
        <w:numPr>
          <w:ilvl w:val="1"/>
          <w:numId w:val="55"/>
        </w:numPr>
        <w:spacing w:after="0"/>
        <w:ind w:left="1134"/>
        <w:jc w:val="both"/>
        <w:rPr>
          <w:rFonts w:ascii="Verdana" w:hAnsi="Verdana"/>
        </w:rPr>
      </w:pPr>
      <w:r>
        <w:rPr>
          <w:rFonts w:ascii="Verdana" w:hAnsi="Verdana"/>
        </w:rPr>
        <w:t>manglende overholdelse af reglerne om mærkningsspecifikationer i Kommissionens gennemførelsesforordning (EU) 2020/2151 af 17. december 2020.</w:t>
      </w:r>
    </w:p>
    <w:p w14:paraId="56FB7032" w14:textId="5E0C55B6" w:rsidR="00C64656" w:rsidRPr="001D278E" w:rsidRDefault="00C64656" w:rsidP="00C525D6">
      <w:pPr>
        <w:pStyle w:val="ListParagraph"/>
        <w:numPr>
          <w:ilvl w:val="1"/>
          <w:numId w:val="55"/>
        </w:numPr>
        <w:spacing w:after="0"/>
        <w:ind w:left="1134"/>
        <w:jc w:val="both"/>
        <w:rPr>
          <w:rFonts w:ascii="Verdana" w:hAnsi="Verdana"/>
        </w:rPr>
      </w:pPr>
      <w:r>
        <w:rPr>
          <w:rFonts w:ascii="Verdana" w:hAnsi="Verdana"/>
        </w:rPr>
        <w:t xml:space="preserve">producenternes manglende overholdelse af forpligtelsen i artikel 18, stk. 5; </w:t>
      </w:r>
    </w:p>
    <w:p w14:paraId="0B1C9F8F" w14:textId="4F3555FB" w:rsidR="004551A4" w:rsidRPr="001D278E" w:rsidRDefault="00881A44" w:rsidP="00C525D6">
      <w:pPr>
        <w:pStyle w:val="ListParagraph"/>
        <w:numPr>
          <w:ilvl w:val="1"/>
          <w:numId w:val="55"/>
        </w:numPr>
        <w:spacing w:after="0"/>
        <w:ind w:left="1134"/>
        <w:jc w:val="both"/>
        <w:rPr>
          <w:rFonts w:ascii="Verdana" w:hAnsi="Verdana"/>
        </w:rPr>
      </w:pPr>
      <w:r>
        <w:rPr>
          <w:rFonts w:ascii="Verdana" w:hAnsi="Verdana"/>
        </w:rPr>
        <w:t>producenternes eller producenterne gennem associerings undladelse af at overholde forpligtelsen til at sende den i artikel 18, stk. 6, omhandlede rapport efter proceduren deri;</w:t>
      </w:r>
    </w:p>
    <w:p w14:paraId="358BC049" w14:textId="74925ACB" w:rsidR="006A5FE8" w:rsidRPr="001D278E" w:rsidRDefault="006A5FE8" w:rsidP="00C525D6">
      <w:pPr>
        <w:pStyle w:val="ListParagraph"/>
        <w:numPr>
          <w:ilvl w:val="1"/>
          <w:numId w:val="55"/>
        </w:numPr>
        <w:spacing w:after="0"/>
        <w:ind w:left="1134"/>
        <w:jc w:val="both"/>
        <w:rPr>
          <w:rFonts w:ascii="Verdana" w:hAnsi="Verdana"/>
        </w:rPr>
      </w:pPr>
      <w:r>
        <w:rPr>
          <w:rFonts w:ascii="Verdana" w:hAnsi="Verdana"/>
        </w:rPr>
        <w:t xml:space="preserve">de økonomiske aktørers manglende overholdelse af artikel 18, stk. 7, i de pågældende regler; </w:t>
      </w:r>
    </w:p>
    <w:p w14:paraId="009DF47A" w14:textId="3217E37E" w:rsidR="006A5FE8" w:rsidRPr="001D278E" w:rsidRDefault="006A5FE8" w:rsidP="00C525D6">
      <w:pPr>
        <w:pStyle w:val="ListParagraph"/>
        <w:numPr>
          <w:ilvl w:val="1"/>
          <w:numId w:val="55"/>
        </w:numPr>
        <w:spacing w:after="0"/>
        <w:ind w:left="1134"/>
        <w:jc w:val="both"/>
        <w:rPr>
          <w:rFonts w:ascii="Verdana" w:hAnsi="Verdana"/>
        </w:rPr>
      </w:pPr>
      <w:r>
        <w:rPr>
          <w:rFonts w:ascii="Verdana" w:hAnsi="Verdana"/>
        </w:rPr>
        <w:t xml:space="preserve">manglende overholdelse af artikel 18, stk. 8, foretaget af de erhvervsdrivende, der er omhandlet i artikel, stk. 7. </w:t>
      </w:r>
    </w:p>
    <w:p w14:paraId="53B1C166" w14:textId="77777777" w:rsidR="005630B1" w:rsidRPr="001D278E" w:rsidRDefault="004551A4" w:rsidP="00C525D6">
      <w:pPr>
        <w:pStyle w:val="ListParagraph"/>
        <w:numPr>
          <w:ilvl w:val="0"/>
          <w:numId w:val="53"/>
        </w:numPr>
        <w:ind w:left="709"/>
        <w:jc w:val="both"/>
        <w:rPr>
          <w:rFonts w:ascii="Verdana" w:hAnsi="Verdana"/>
        </w:rPr>
      </w:pPr>
      <w:r>
        <w:t xml:space="preserve">Følgende udgør mindre administrative miljøovertrædelser, der kan straffes i henhold til rammeloven om administrative miljøovertrædelser, der er vedtaget i et bilag til </w:t>
      </w:r>
      <w:hyperlink r:id="rId10" w:tgtFrame="_blank" w:tooltip="Lov nr. 50/2006" w:history="1">
        <w:r>
          <w:rPr>
            <w:rFonts w:ascii="Verdana" w:hAnsi="Verdana"/>
          </w:rPr>
          <w:t>lov nr. 50/2006</w:t>
        </w:r>
      </w:hyperlink>
      <w:r>
        <w:t xml:space="preserve"> af 29. august i dens nuværende formulering:</w:t>
      </w:r>
    </w:p>
    <w:p w14:paraId="4F6BA6A5" w14:textId="6BD7D22D" w:rsidR="006E6B90" w:rsidRPr="001D278E" w:rsidRDefault="006E6B90" w:rsidP="00C525D6">
      <w:pPr>
        <w:pStyle w:val="ListParagraph"/>
        <w:numPr>
          <w:ilvl w:val="1"/>
          <w:numId w:val="55"/>
        </w:numPr>
        <w:spacing w:after="0"/>
        <w:ind w:left="1134"/>
        <w:jc w:val="both"/>
        <w:rPr>
          <w:rFonts w:ascii="Verdana" w:hAnsi="Verdana"/>
        </w:rPr>
      </w:pPr>
      <w:r>
        <w:rPr>
          <w:rFonts w:ascii="Verdana" w:hAnsi="Verdana"/>
        </w:rPr>
        <w:t>manglende overholdelse af den autoriserede repræsentants forpligtelser i overensstemmelse med artikel 16, stk. 4.</w:t>
      </w:r>
    </w:p>
    <w:p w14:paraId="50F93058" w14:textId="691E101E" w:rsidR="009D112F" w:rsidRPr="001D278E" w:rsidRDefault="009D112F" w:rsidP="00C525D6">
      <w:pPr>
        <w:pStyle w:val="ListParagraph"/>
        <w:numPr>
          <w:ilvl w:val="0"/>
          <w:numId w:val="53"/>
        </w:numPr>
        <w:ind w:left="709"/>
        <w:jc w:val="both"/>
        <w:rPr>
          <w:rFonts w:ascii="Verdana" w:hAnsi="Verdana"/>
        </w:rPr>
      </w:pPr>
      <w:r>
        <w:rPr>
          <w:rFonts w:ascii="Verdana" w:hAnsi="Verdana"/>
        </w:rPr>
        <w:t>Uagtsomhed er strafbart i overensstemmelse med rammeloven om administrative miljøovertrædelser.</w:t>
      </w:r>
    </w:p>
    <w:p w14:paraId="02C0935D" w14:textId="0366A113" w:rsidR="009D112F" w:rsidRPr="001D278E" w:rsidRDefault="009D112F" w:rsidP="00C525D6">
      <w:pPr>
        <w:pStyle w:val="ListParagraph"/>
        <w:numPr>
          <w:ilvl w:val="0"/>
          <w:numId w:val="53"/>
        </w:numPr>
        <w:ind w:left="709"/>
        <w:jc w:val="both"/>
        <w:rPr>
          <w:rFonts w:ascii="Verdana" w:hAnsi="Verdana"/>
        </w:rPr>
      </w:pPr>
      <w:r>
        <w:rPr>
          <w:rFonts w:ascii="Verdana" w:hAnsi="Verdana"/>
        </w:rPr>
        <w:t>Provenuet af bøder i henhold til denne artikel fordeles i overensstemmelse med artikel 73 i rammeloven om administrative miljøovertrædelser.</w:t>
      </w:r>
    </w:p>
    <w:p w14:paraId="1E162BA3" w14:textId="7D85120F" w:rsidR="009D112F" w:rsidRPr="001D278E" w:rsidRDefault="009D112F" w:rsidP="00C525D6">
      <w:pPr>
        <w:pStyle w:val="ListParagraph"/>
        <w:numPr>
          <w:ilvl w:val="0"/>
          <w:numId w:val="53"/>
        </w:numPr>
        <w:ind w:left="709"/>
        <w:jc w:val="both"/>
        <w:rPr>
          <w:rFonts w:ascii="Verdana" w:hAnsi="Verdana"/>
        </w:rPr>
      </w:pPr>
      <w:r>
        <w:t>Domfældelse over de meget alvorlige og alvorlige overtrædelser, der er omhandlet i stk. 1 og 2, kan bekendtgøres, hvis den særlige foranstaltning for den pålagte bøde overstiger halvdelen af den maksimale bøde, der finder anvendelse abstrakt, i overensstemmelse med rammeloven om administrative miljøovertrædelser.</w:t>
      </w:r>
    </w:p>
    <w:p w14:paraId="69198DB2" w14:textId="77777777" w:rsidR="009D112F" w:rsidRPr="009D112F" w:rsidRDefault="009D112F" w:rsidP="009D112F">
      <w:pPr>
        <w:jc w:val="both"/>
        <w:rPr>
          <w:rFonts w:ascii="Verdana" w:hAnsi="Verdana"/>
          <w:color w:val="000000" w:themeColor="text1"/>
        </w:rPr>
      </w:pPr>
    </w:p>
    <w:p w14:paraId="14D75E23" w14:textId="5FC68CFC" w:rsidR="009D112F" w:rsidRPr="009D112F" w:rsidRDefault="00AC3F76" w:rsidP="00AC3F76">
      <w:pPr>
        <w:pStyle w:val="Heading2"/>
        <w:numPr>
          <w:ilvl w:val="0"/>
          <w:numId w:val="0"/>
        </w:numPr>
        <w:tabs>
          <w:tab w:val="clear" w:pos="1701"/>
          <w:tab w:val="left" w:pos="1418"/>
        </w:tabs>
        <w:ind w:left="426"/>
      </w:pPr>
      <w:r>
        <w:t>Artikel 24</w:t>
      </w:r>
      <w:r>
        <w:br/>
        <w:t>Undersøgelses- og beslutningsprocesser</w:t>
      </w:r>
    </w:p>
    <w:p w14:paraId="2543265B" w14:textId="07ACC442" w:rsidR="009D112F" w:rsidRPr="009D112F" w:rsidRDefault="009D112F" w:rsidP="00C525D6">
      <w:pPr>
        <w:pStyle w:val="ListParagraph"/>
        <w:numPr>
          <w:ilvl w:val="0"/>
          <w:numId w:val="56"/>
        </w:numPr>
        <w:ind w:left="709"/>
        <w:jc w:val="both"/>
        <w:rPr>
          <w:rFonts w:ascii="Verdana" w:hAnsi="Verdana"/>
        </w:rPr>
      </w:pPr>
      <w:r>
        <w:rPr>
          <w:rFonts w:ascii="Verdana" w:hAnsi="Verdana"/>
        </w:rPr>
        <w:t xml:space="preserve">1 – Det tilkommer IGAMAOT [generalinspektoratet for landbrug, hav, miljø og fysisk planlægning], ASAE [fødevare- og økonomisk sikkerhedsautoriteten] og AT [skat- og toldmyndigheden] inden for rammerne af deres respektive beføjelser at indlede en administrativ overtrædelsesprocedure, der er indgivet inden for rammerne af dette </w:t>
      </w:r>
      <w:r>
        <w:rPr>
          <w:rFonts w:ascii="Verdana" w:hAnsi="Verdana"/>
        </w:rPr>
        <w:lastRenderedPageBreak/>
        <w:t>lovdekret, samt anvendelsen af de tilsvarende bøder og supplerende sanktioner i henhold til artikel 90, stk. 6.</w:t>
      </w:r>
    </w:p>
    <w:p w14:paraId="0E4A6ED5" w14:textId="09F1BE0B" w:rsidR="00A172F1" w:rsidRPr="009D112F" w:rsidRDefault="009D112F" w:rsidP="00C525D6">
      <w:pPr>
        <w:pStyle w:val="ListParagraph"/>
        <w:numPr>
          <w:ilvl w:val="0"/>
          <w:numId w:val="56"/>
        </w:numPr>
        <w:ind w:left="709"/>
        <w:jc w:val="both"/>
        <w:rPr>
          <w:rFonts w:ascii="Verdana" w:hAnsi="Verdana"/>
        </w:rPr>
      </w:pPr>
      <w:r>
        <w:rPr>
          <w:rFonts w:ascii="Verdana" w:hAnsi="Verdana"/>
        </w:rPr>
        <w:t>Hvis behandlingsenheden ikke har beføjelse til at undersøge sagen, undersøger og træffer IGAMAOT afgørelse i tilfælde af administrative miljøovertrædelser, jf. artikel 23, og underretter behandlingsenhederne om afgørelserne.</w:t>
      </w:r>
    </w:p>
    <w:p w14:paraId="162FCAEC" w14:textId="77777777" w:rsidR="009D112F" w:rsidRDefault="009D112F" w:rsidP="009D112F">
      <w:pPr>
        <w:jc w:val="both"/>
        <w:rPr>
          <w:rFonts w:ascii="Verdana" w:hAnsi="Verdana"/>
        </w:rPr>
      </w:pPr>
    </w:p>
    <w:p w14:paraId="43E0AE39" w14:textId="7815CD5A" w:rsidR="009D112F" w:rsidRPr="009D112F" w:rsidRDefault="00AC3F76" w:rsidP="00AC3F76">
      <w:pPr>
        <w:pStyle w:val="Heading2"/>
        <w:numPr>
          <w:ilvl w:val="0"/>
          <w:numId w:val="0"/>
        </w:numPr>
        <w:tabs>
          <w:tab w:val="clear" w:pos="1701"/>
          <w:tab w:val="left" w:pos="1418"/>
        </w:tabs>
        <w:ind w:left="426"/>
      </w:pPr>
      <w:r>
        <w:t>Artikel 25</w:t>
      </w:r>
      <w:r>
        <w:br/>
        <w:t>Forebyggende beslaglæggelse</w:t>
      </w:r>
    </w:p>
    <w:p w14:paraId="0BE9E5AF" w14:textId="3FC2B62D" w:rsidR="009D112F" w:rsidRDefault="009D112F" w:rsidP="009D112F">
      <w:pPr>
        <w:jc w:val="both"/>
        <w:rPr>
          <w:rFonts w:ascii="Verdana" w:hAnsi="Verdana"/>
        </w:rPr>
      </w:pPr>
      <w:r>
        <w:rPr>
          <w:rFonts w:ascii="Verdana" w:hAnsi="Verdana"/>
        </w:rPr>
        <w:t xml:space="preserve">Den kompetente myndighed kan om nødvendigt træffe afgørelse om foreløbig beslaglæggelse af aktiver og dokumenter i henhold til artikel 42 i rammeloven om administrative miljøovertrædelser eller beslaglæggelse af genstande i overensstemmelse med den juridiske ordning for økonomiske administrative overtrædelser. </w:t>
      </w:r>
    </w:p>
    <w:p w14:paraId="40F71398" w14:textId="77777777" w:rsidR="009D112F" w:rsidRPr="003F6B93" w:rsidRDefault="009D112F" w:rsidP="009D112F">
      <w:pPr>
        <w:jc w:val="both"/>
        <w:rPr>
          <w:rFonts w:ascii="Verdana" w:hAnsi="Verdana"/>
        </w:rPr>
      </w:pPr>
    </w:p>
    <w:p w14:paraId="588A90F5" w14:textId="50AF98BA" w:rsidR="00A172F1" w:rsidRPr="003F6B93" w:rsidRDefault="00DD1E2B" w:rsidP="001E4779">
      <w:pPr>
        <w:pStyle w:val="Heading1"/>
        <w:tabs>
          <w:tab w:val="clear" w:pos="3969"/>
          <w:tab w:val="left" w:pos="2410"/>
        </w:tabs>
      </w:pPr>
      <w:r>
        <w:br/>
        <w:t xml:space="preserve">Ændringer i lovgivningen </w:t>
      </w:r>
    </w:p>
    <w:p w14:paraId="3E28DF84" w14:textId="6C30B52E" w:rsidR="008B4B7F" w:rsidRPr="00007109" w:rsidRDefault="008B4B7F" w:rsidP="00A172F1">
      <w:pPr>
        <w:jc w:val="both"/>
        <w:rPr>
          <w:rFonts w:ascii="Verdana" w:hAnsi="Verdana"/>
        </w:rPr>
      </w:pPr>
    </w:p>
    <w:p w14:paraId="1E8AFD6F" w14:textId="4E66953E" w:rsidR="00054EAE" w:rsidRDefault="00AC3F76" w:rsidP="00AC3F76">
      <w:pPr>
        <w:pStyle w:val="Heading2"/>
        <w:numPr>
          <w:ilvl w:val="0"/>
          <w:numId w:val="0"/>
        </w:numPr>
        <w:tabs>
          <w:tab w:val="clear" w:pos="1701"/>
          <w:tab w:val="left" w:pos="1560"/>
        </w:tabs>
        <w:ind w:left="426"/>
      </w:pPr>
      <w:r>
        <w:t>Artikel 26</w:t>
      </w:r>
      <w:r>
        <w:br/>
        <w:t>Ændring af lov nr. 77/2019 af 2. september</w:t>
      </w:r>
    </w:p>
    <w:p w14:paraId="5E323956" w14:textId="77777777" w:rsidR="00A76322" w:rsidRPr="00007109" w:rsidRDefault="00A76322" w:rsidP="00007109">
      <w:pPr>
        <w:jc w:val="both"/>
        <w:rPr>
          <w:rFonts w:ascii="Verdana" w:hAnsi="Verdana"/>
        </w:rPr>
      </w:pPr>
    </w:p>
    <w:p w14:paraId="55295FC4" w14:textId="1EB7775E" w:rsidR="00054EAE" w:rsidRPr="00007109" w:rsidRDefault="00054EAE" w:rsidP="00007109">
      <w:pPr>
        <w:jc w:val="both"/>
        <w:rPr>
          <w:rFonts w:ascii="Verdana" w:hAnsi="Verdana"/>
        </w:rPr>
      </w:pPr>
      <w:r>
        <w:rPr>
          <w:rFonts w:ascii="Verdana" w:hAnsi="Verdana"/>
        </w:rPr>
        <w:t>Artikel 1, 2, 3, 4, 5, 6 og 7 i lov nr. 77/2019 af 2. september affattes således:</w:t>
      </w:r>
    </w:p>
    <w:p w14:paraId="775CD874" w14:textId="77777777" w:rsidR="006A3393" w:rsidRPr="00007109" w:rsidRDefault="006A3393" w:rsidP="00007109">
      <w:pPr>
        <w:jc w:val="both"/>
        <w:rPr>
          <w:rFonts w:ascii="Verdana" w:hAnsi="Verdana"/>
        </w:rPr>
      </w:pPr>
    </w:p>
    <w:p w14:paraId="2F4BD73E" w14:textId="7F37B1FF" w:rsidR="00054EAE" w:rsidRPr="008E2CAE" w:rsidRDefault="000600E7" w:rsidP="00054EAE">
      <w:pPr>
        <w:spacing w:after="0" w:line="360" w:lineRule="auto"/>
        <w:jc w:val="center"/>
        <w:rPr>
          <w:rFonts w:ascii="Verdana" w:hAnsi="Verdana" w:cstheme="minorHAnsi"/>
        </w:rPr>
      </w:pPr>
      <w:r>
        <w:t>Artikel 1</w:t>
      </w:r>
    </w:p>
    <w:p w14:paraId="0B8D34BA" w14:textId="77777777" w:rsidR="00054EAE" w:rsidRPr="008E2CAE" w:rsidRDefault="00054EAE" w:rsidP="00054EAE">
      <w:pPr>
        <w:spacing w:after="0" w:line="360" w:lineRule="auto"/>
        <w:jc w:val="center"/>
        <w:rPr>
          <w:rFonts w:ascii="Verdana" w:hAnsi="Verdana" w:cstheme="minorHAnsi"/>
        </w:rPr>
      </w:pPr>
      <w:r>
        <w:rPr>
          <w:rFonts w:ascii="Verdana" w:hAnsi="Verdana"/>
        </w:rPr>
        <w:t>[…]</w:t>
      </w:r>
    </w:p>
    <w:p w14:paraId="432C76D2" w14:textId="51A6EFAC" w:rsidR="00054EAE" w:rsidRPr="00007109" w:rsidRDefault="00054EAE" w:rsidP="00007109">
      <w:pPr>
        <w:jc w:val="both"/>
        <w:rPr>
          <w:rFonts w:ascii="Verdana" w:hAnsi="Verdana"/>
        </w:rPr>
      </w:pPr>
      <w:bookmarkStart w:id="53" w:name="_Hlk65428420"/>
      <w:r>
        <w:rPr>
          <w:rFonts w:ascii="Verdana" w:hAnsi="Verdana"/>
        </w:rPr>
        <w:t xml:space="preserve">Denne lov forbyder, at meget lette plastposer og engangsbeholdere af plast, f.eks. kuvetter og æsker med eller uden låg, stilles til rådighed i forbindelse med markedsføring af bageri- og konditorvarer, frugt og grøntsager i butikker, og forpligtelsen til at stille alternativer til brugen af meget lette plastposer til rådighed for de endelige forbrugere. </w:t>
      </w:r>
    </w:p>
    <w:bookmarkEnd w:id="53"/>
    <w:p w14:paraId="1BD7396C" w14:textId="77777777" w:rsidR="00054EAE" w:rsidRPr="00007109" w:rsidRDefault="00054EAE" w:rsidP="00007109">
      <w:pPr>
        <w:jc w:val="both"/>
        <w:rPr>
          <w:rFonts w:ascii="Verdana" w:hAnsi="Verdana"/>
        </w:rPr>
      </w:pPr>
    </w:p>
    <w:p w14:paraId="2AC2A3A0" w14:textId="77777777" w:rsidR="00054EAE" w:rsidRPr="008E2CAE" w:rsidRDefault="00054EAE" w:rsidP="00054EAE">
      <w:pPr>
        <w:spacing w:after="0" w:line="360" w:lineRule="auto"/>
        <w:jc w:val="center"/>
        <w:rPr>
          <w:rFonts w:ascii="Verdana" w:hAnsi="Verdana" w:cstheme="minorHAnsi"/>
        </w:rPr>
      </w:pPr>
      <w:r>
        <w:rPr>
          <w:rFonts w:ascii="Verdana" w:hAnsi="Verdana"/>
        </w:rPr>
        <w:lastRenderedPageBreak/>
        <w:t>Artikel 2</w:t>
      </w:r>
    </w:p>
    <w:p w14:paraId="080BFE3B" w14:textId="77777777" w:rsidR="00054EAE" w:rsidRPr="008E2CAE" w:rsidRDefault="00054EAE" w:rsidP="00054EAE">
      <w:pPr>
        <w:spacing w:after="0" w:line="360" w:lineRule="auto"/>
        <w:jc w:val="center"/>
        <w:rPr>
          <w:rFonts w:ascii="Verdana" w:hAnsi="Verdana" w:cstheme="minorHAnsi"/>
        </w:rPr>
      </w:pPr>
      <w:r>
        <w:rPr>
          <w:rFonts w:ascii="Verdana" w:hAnsi="Verdana"/>
        </w:rPr>
        <w:t>[…]</w:t>
      </w:r>
    </w:p>
    <w:p w14:paraId="4F24CD63" w14:textId="77777777" w:rsidR="00054EAE" w:rsidRPr="00007109" w:rsidRDefault="00054EAE" w:rsidP="00007109">
      <w:pPr>
        <w:jc w:val="both"/>
        <w:rPr>
          <w:rFonts w:ascii="Verdana" w:hAnsi="Verdana"/>
        </w:rPr>
      </w:pPr>
      <w:r>
        <w:rPr>
          <w:rFonts w:ascii="Verdana" w:hAnsi="Verdana"/>
        </w:rPr>
        <w:t xml:space="preserve">I denne lov forstås ved: </w:t>
      </w:r>
    </w:p>
    <w:p w14:paraId="53E227F4" w14:textId="3871EE5A" w:rsidR="00054EAE" w:rsidRPr="001D278E" w:rsidRDefault="00054EAE" w:rsidP="00C525D6">
      <w:pPr>
        <w:pStyle w:val="ListParagraph"/>
        <w:numPr>
          <w:ilvl w:val="1"/>
          <w:numId w:val="57"/>
        </w:numPr>
        <w:spacing w:after="0"/>
        <w:ind w:left="1134"/>
        <w:jc w:val="both"/>
        <w:rPr>
          <w:rFonts w:ascii="Verdana" w:hAnsi="Verdana"/>
        </w:rPr>
      </w:pPr>
      <w:bookmarkStart w:id="54" w:name="_Hlk65428543"/>
      <w:r>
        <w:rPr>
          <w:rFonts w:ascii="Verdana" w:hAnsi="Verdana"/>
        </w:rPr>
        <w:t>”meget lette plastposer”: plastposer med en tykkelse på mindre end 15 mikron, der er nødvendige af hygiejnehensyn eller leveres som primæremballage til uemballerede brød, frugter og grøntsager;</w:t>
      </w:r>
    </w:p>
    <w:bookmarkEnd w:id="54"/>
    <w:p w14:paraId="26239E9F" w14:textId="1D1F40AF" w:rsidR="00054EAE" w:rsidRPr="001D278E" w:rsidRDefault="00054EAE" w:rsidP="00C525D6">
      <w:pPr>
        <w:pStyle w:val="ListParagraph"/>
        <w:numPr>
          <w:ilvl w:val="1"/>
          <w:numId w:val="57"/>
        </w:numPr>
        <w:spacing w:after="0"/>
        <w:ind w:left="1134"/>
        <w:jc w:val="both"/>
        <w:rPr>
          <w:rFonts w:ascii="Verdana" w:hAnsi="Verdana"/>
        </w:rPr>
      </w:pPr>
      <w:r>
        <w:rPr>
          <w:rFonts w:ascii="Verdana" w:hAnsi="Verdana"/>
        </w:rPr>
        <w:t>"bionedbrydelig plast": et plastmateriale, der kan undergå fysisk, biologisk nedbrydning, således at det i sidste ende nedbrydes til kuldioxid (CO2), biomasse og vand og er i overensstemmelse med europæiske standarder for emballage, der kan genanvendes via kompostering og anaerob nedbrydning";</w:t>
      </w:r>
    </w:p>
    <w:p w14:paraId="3F891194" w14:textId="44E496B7" w:rsidR="00054EAE" w:rsidRPr="001D278E" w:rsidRDefault="00054EAE" w:rsidP="00C525D6">
      <w:pPr>
        <w:pStyle w:val="ListParagraph"/>
        <w:numPr>
          <w:ilvl w:val="1"/>
          <w:numId w:val="57"/>
        </w:numPr>
        <w:spacing w:after="0"/>
        <w:ind w:left="1134"/>
        <w:jc w:val="both"/>
        <w:rPr>
          <w:rFonts w:ascii="Verdana" w:hAnsi="Verdana"/>
        </w:rPr>
      </w:pPr>
      <w:bookmarkStart w:id="55" w:name="_Hlk65428640"/>
      <w:r>
        <w:rPr>
          <w:rFonts w:ascii="Verdana" w:hAnsi="Verdana"/>
        </w:rPr>
        <w:t>ved "erhvervsvirksomhed" forstås ethvert fast og permanent detailforretningssted, hvor leverandøren af varer eller leverandøren af cateringydelser udøver sin virksomhed permanent, og som markedsfører brød, frugt og grøntsager, der er omfattet af den retlige ordning for adgang til og udøvelse af handel, tjenesteydelser og restaurationsvirksomhed, godkendt ved lovdekret nr. 10/2015 af 16. januar som ændret ved lovdekret nr. 102/2017 af 23. august og ved lov nr. 15/2018 af 27.</w:t>
      </w:r>
    </w:p>
    <w:bookmarkEnd w:id="55"/>
    <w:p w14:paraId="320C7822" w14:textId="77777777" w:rsidR="00054EAE" w:rsidRPr="008B374C" w:rsidRDefault="00054EAE" w:rsidP="00054EAE">
      <w:pPr>
        <w:spacing w:after="0" w:line="360" w:lineRule="auto"/>
        <w:jc w:val="center"/>
        <w:rPr>
          <w:rFonts w:ascii="Verdana" w:hAnsi="Verdana" w:cstheme="minorHAnsi"/>
        </w:rPr>
      </w:pPr>
    </w:p>
    <w:p w14:paraId="23698E8A" w14:textId="77777777" w:rsidR="00054EAE" w:rsidRPr="008B374C" w:rsidRDefault="00054EAE" w:rsidP="00054EAE">
      <w:pPr>
        <w:spacing w:after="0" w:line="360" w:lineRule="auto"/>
        <w:jc w:val="center"/>
        <w:rPr>
          <w:rFonts w:ascii="Verdana" w:hAnsi="Verdana" w:cstheme="minorHAnsi"/>
        </w:rPr>
      </w:pPr>
      <w:r>
        <w:rPr>
          <w:rFonts w:ascii="Verdana" w:hAnsi="Verdana"/>
        </w:rPr>
        <w:t>Artikel 3</w:t>
      </w:r>
    </w:p>
    <w:p w14:paraId="238E03F9" w14:textId="77777777" w:rsidR="00054EAE" w:rsidRPr="008B374C" w:rsidRDefault="00054EAE" w:rsidP="00054EAE">
      <w:pPr>
        <w:spacing w:after="0" w:line="360" w:lineRule="auto"/>
        <w:jc w:val="center"/>
        <w:rPr>
          <w:rFonts w:ascii="Verdana" w:hAnsi="Verdana" w:cstheme="minorHAnsi"/>
        </w:rPr>
      </w:pPr>
      <w:r>
        <w:rPr>
          <w:rFonts w:ascii="Verdana" w:hAnsi="Verdana"/>
        </w:rPr>
        <w:t>[…]</w:t>
      </w:r>
    </w:p>
    <w:p w14:paraId="1A3B3802" w14:textId="4C305360" w:rsidR="00054EAE" w:rsidRPr="00007109" w:rsidRDefault="00054EAE" w:rsidP="00007109">
      <w:pPr>
        <w:jc w:val="both"/>
        <w:rPr>
          <w:rFonts w:ascii="Verdana" w:hAnsi="Verdana"/>
        </w:rPr>
      </w:pPr>
      <w:r>
        <w:rPr>
          <w:rFonts w:ascii="Verdana" w:hAnsi="Verdana"/>
        </w:rPr>
        <w:t>Denne lov gælder for alle handelsvirksomheder, hvor bage- og konditorvarer, frugt og grøntsager markedsføres.</w:t>
      </w:r>
    </w:p>
    <w:p w14:paraId="6CE06251" w14:textId="77777777" w:rsidR="00054EAE" w:rsidRPr="008E2CAE" w:rsidRDefault="00054EAE" w:rsidP="00054EAE">
      <w:pPr>
        <w:spacing w:after="0" w:line="360" w:lineRule="auto"/>
        <w:jc w:val="center"/>
        <w:rPr>
          <w:rFonts w:ascii="Verdana" w:hAnsi="Verdana" w:cstheme="minorHAnsi"/>
        </w:rPr>
      </w:pPr>
    </w:p>
    <w:p w14:paraId="7728A31A" w14:textId="77777777" w:rsidR="00054EAE" w:rsidRPr="008E2CAE" w:rsidRDefault="00054EAE" w:rsidP="00054EAE">
      <w:pPr>
        <w:spacing w:after="0" w:line="360" w:lineRule="auto"/>
        <w:jc w:val="center"/>
        <w:rPr>
          <w:rFonts w:ascii="Verdana" w:hAnsi="Verdana" w:cstheme="minorHAnsi"/>
        </w:rPr>
      </w:pPr>
      <w:r>
        <w:rPr>
          <w:rFonts w:ascii="Verdana" w:hAnsi="Verdana"/>
        </w:rPr>
        <w:t>Artikel 4</w:t>
      </w:r>
    </w:p>
    <w:p w14:paraId="6D060904" w14:textId="77777777" w:rsidR="00054EAE" w:rsidRPr="008E2CAE" w:rsidRDefault="00054EAE" w:rsidP="00054EAE">
      <w:pPr>
        <w:spacing w:after="0" w:line="360" w:lineRule="auto"/>
        <w:jc w:val="center"/>
        <w:rPr>
          <w:rFonts w:ascii="Verdana" w:hAnsi="Verdana" w:cstheme="minorHAnsi"/>
        </w:rPr>
      </w:pPr>
      <w:r>
        <w:rPr>
          <w:rFonts w:ascii="Verdana" w:hAnsi="Verdana"/>
        </w:rPr>
        <w:t>[…]</w:t>
      </w:r>
    </w:p>
    <w:p w14:paraId="797D8056" w14:textId="4A1A464E" w:rsidR="00A75014" w:rsidRPr="00007109" w:rsidRDefault="00EB2667" w:rsidP="00C525D6">
      <w:pPr>
        <w:pStyle w:val="ListParagraph"/>
        <w:numPr>
          <w:ilvl w:val="0"/>
          <w:numId w:val="58"/>
        </w:numPr>
        <w:ind w:left="709"/>
        <w:jc w:val="both"/>
        <w:rPr>
          <w:rFonts w:ascii="Verdana" w:hAnsi="Verdana"/>
        </w:rPr>
      </w:pPr>
      <w:r>
        <w:rPr>
          <w:rFonts w:ascii="Verdana" w:hAnsi="Verdana"/>
        </w:rPr>
        <w:t>Fra den 1. juni 2023 forhindres butikkerne i at:</w:t>
      </w:r>
    </w:p>
    <w:p w14:paraId="4B1574A0" w14:textId="583FEA2E" w:rsidR="00EB2667" w:rsidRPr="00007109" w:rsidRDefault="00A75014" w:rsidP="00C525D6">
      <w:pPr>
        <w:pStyle w:val="ListParagraph"/>
        <w:numPr>
          <w:ilvl w:val="1"/>
          <w:numId w:val="59"/>
        </w:numPr>
        <w:spacing w:after="0"/>
        <w:ind w:left="1134"/>
        <w:jc w:val="both"/>
        <w:rPr>
          <w:rFonts w:ascii="Verdana" w:hAnsi="Verdana"/>
        </w:rPr>
      </w:pPr>
      <w:r>
        <w:t xml:space="preserve">levere meget lette plastposer til emballering </w:t>
      </w:r>
      <w:bookmarkStart w:id="56" w:name="_Hlk66404382"/>
      <w:r>
        <w:t>af bage- og konditorvarer</w:t>
      </w:r>
      <w:bookmarkEnd w:id="56"/>
      <w:r>
        <w:t>, frugt og grøntsager;</w:t>
      </w:r>
    </w:p>
    <w:p w14:paraId="1B94BFF0" w14:textId="71559D2A" w:rsidR="00054EAE" w:rsidRPr="00007109" w:rsidRDefault="00A75014" w:rsidP="00C525D6">
      <w:pPr>
        <w:pStyle w:val="ListParagraph"/>
        <w:numPr>
          <w:ilvl w:val="1"/>
          <w:numId w:val="59"/>
        </w:numPr>
        <w:spacing w:after="0"/>
        <w:ind w:left="1134"/>
        <w:jc w:val="both"/>
        <w:rPr>
          <w:rFonts w:ascii="Verdana" w:hAnsi="Verdana"/>
        </w:rPr>
      </w:pPr>
      <w:r>
        <w:rPr>
          <w:rFonts w:ascii="Verdana" w:hAnsi="Verdana"/>
        </w:rPr>
        <w:t>markedsføre meget lette plastposer, bage- og konditorvarer, frugt og grøntsager, der pakkes på salgsstedet.</w:t>
      </w:r>
    </w:p>
    <w:p w14:paraId="349419CD" w14:textId="5F81FD4E" w:rsidR="00054EAE" w:rsidRPr="00007109" w:rsidRDefault="00EB2667" w:rsidP="00C525D6">
      <w:pPr>
        <w:pStyle w:val="ListParagraph"/>
        <w:numPr>
          <w:ilvl w:val="0"/>
          <w:numId w:val="58"/>
        </w:numPr>
        <w:ind w:left="709"/>
        <w:jc w:val="both"/>
        <w:rPr>
          <w:rFonts w:ascii="Verdana" w:hAnsi="Verdana"/>
        </w:rPr>
      </w:pPr>
      <w:r>
        <w:lastRenderedPageBreak/>
        <w:t xml:space="preserve">Fra den 1. juni 2023 forhindres butikkerne i at </w:t>
      </w:r>
      <w:bookmarkStart w:id="57" w:name="_Hlk66404823"/>
      <w:r>
        <w:t>markedsføre bage- og konditorvarer, frugt og grøntsager, der er pakket i engangsplastbeholdere, såsom kuvetter og æsker, med eller uden låg.</w:t>
      </w:r>
      <w:r>
        <w:rPr>
          <w:rFonts w:ascii="Verdana" w:hAnsi="Verdana"/>
        </w:rPr>
        <w:t xml:space="preserve"> </w:t>
      </w:r>
      <w:bookmarkEnd w:id="57"/>
    </w:p>
    <w:p w14:paraId="70876CC6" w14:textId="7D41C726" w:rsidR="00007109" w:rsidRDefault="00974F5D" w:rsidP="00C525D6">
      <w:pPr>
        <w:pStyle w:val="ListParagraph"/>
        <w:numPr>
          <w:ilvl w:val="0"/>
          <w:numId w:val="58"/>
        </w:numPr>
        <w:ind w:left="709"/>
        <w:jc w:val="both"/>
        <w:rPr>
          <w:rFonts w:ascii="Verdana" w:hAnsi="Verdana"/>
        </w:rPr>
      </w:pPr>
      <w:r>
        <w:rPr>
          <w:rFonts w:ascii="Verdana" w:hAnsi="Verdana"/>
        </w:rPr>
        <w:t>Poser fremstillet af plast, der har vist sig at være bionedbrydelige og komposterbare i overensstemmelse med de gældende standarder på det pågældende tidspunkt, udelukkes fra forbuddet i stk. 1, forudsat at de ikke stilles gratis til rådighed.</w:t>
      </w:r>
    </w:p>
    <w:p w14:paraId="00BA235A" w14:textId="1664DBFF" w:rsidR="00974F5D" w:rsidRPr="00007109" w:rsidRDefault="00974F5D" w:rsidP="00C525D6">
      <w:pPr>
        <w:pStyle w:val="ListParagraph"/>
        <w:numPr>
          <w:ilvl w:val="0"/>
          <w:numId w:val="58"/>
        </w:numPr>
        <w:ind w:left="709"/>
        <w:jc w:val="both"/>
        <w:rPr>
          <w:rFonts w:ascii="Verdana" w:hAnsi="Verdana"/>
        </w:rPr>
      </w:pPr>
      <w:r>
        <w:rPr>
          <w:rFonts w:ascii="Verdana" w:hAnsi="Verdana"/>
        </w:rPr>
        <w:t>Beholdere, der er fremstillet af plast, som har vist sig at være bionedbrydelige og komposterbare i overensstemmelse med de relevante standarder, der var gældende på det pågældende tidspunkt, og som er nødvendige af hensyn til hygiejnen og/eller fødevaresikkerheden, udelukkes fra forbuddet i stk. 2.</w:t>
      </w:r>
    </w:p>
    <w:p w14:paraId="52622FDE" w14:textId="1BD3261A" w:rsidR="00974F5D" w:rsidRPr="00007109" w:rsidRDefault="00974F5D" w:rsidP="00007109">
      <w:pPr>
        <w:jc w:val="both"/>
        <w:rPr>
          <w:rFonts w:ascii="Verdana" w:hAnsi="Verdana"/>
        </w:rPr>
      </w:pPr>
    </w:p>
    <w:p w14:paraId="4ABB2644" w14:textId="77777777" w:rsidR="00054EAE" w:rsidRPr="00007109" w:rsidRDefault="00054EAE" w:rsidP="00007109">
      <w:pPr>
        <w:jc w:val="both"/>
        <w:rPr>
          <w:rFonts w:ascii="Verdana" w:hAnsi="Verdana"/>
        </w:rPr>
      </w:pPr>
    </w:p>
    <w:p w14:paraId="08B7CA3C" w14:textId="77777777" w:rsidR="00054EAE" w:rsidRPr="008E2CAE" w:rsidRDefault="00054EAE" w:rsidP="00054EAE">
      <w:pPr>
        <w:spacing w:after="0" w:line="360" w:lineRule="auto"/>
        <w:jc w:val="center"/>
        <w:rPr>
          <w:rFonts w:ascii="Verdana" w:hAnsi="Verdana" w:cstheme="minorHAnsi"/>
        </w:rPr>
      </w:pPr>
      <w:r>
        <w:rPr>
          <w:rFonts w:ascii="Verdana" w:hAnsi="Verdana"/>
        </w:rPr>
        <w:t>Artikel 5</w:t>
      </w:r>
    </w:p>
    <w:p w14:paraId="0DD616DF" w14:textId="186D58DF" w:rsidR="00054EAE" w:rsidRDefault="00054EAE" w:rsidP="00054EAE">
      <w:pPr>
        <w:spacing w:after="0" w:line="360" w:lineRule="auto"/>
        <w:jc w:val="center"/>
        <w:rPr>
          <w:rFonts w:ascii="Verdana" w:hAnsi="Verdana" w:cstheme="minorHAnsi"/>
        </w:rPr>
      </w:pPr>
      <w:r>
        <w:rPr>
          <w:rFonts w:ascii="Verdana" w:hAnsi="Verdana"/>
        </w:rPr>
        <w:t>[…]</w:t>
      </w:r>
    </w:p>
    <w:p w14:paraId="35F718E3" w14:textId="77777777" w:rsidR="00827E7D" w:rsidRPr="008E2CAE" w:rsidRDefault="00827E7D" w:rsidP="00054EAE">
      <w:pPr>
        <w:spacing w:after="0" w:line="360" w:lineRule="auto"/>
        <w:jc w:val="center"/>
        <w:rPr>
          <w:rFonts w:ascii="Verdana" w:hAnsi="Verdana" w:cstheme="minorHAnsi"/>
        </w:rPr>
      </w:pPr>
    </w:p>
    <w:p w14:paraId="578A57D7" w14:textId="3B2A8640" w:rsidR="00974F5D" w:rsidRPr="00007109" w:rsidRDefault="00827E7D" w:rsidP="00007109">
      <w:pPr>
        <w:jc w:val="both"/>
        <w:rPr>
          <w:rFonts w:ascii="Verdana" w:hAnsi="Verdana"/>
        </w:rPr>
      </w:pPr>
      <w:bookmarkStart w:id="58" w:name="_Hlk65430716"/>
      <w:r>
        <w:t xml:space="preserve">Fra den 1. januar 2022 er det på salgsstederne for uemballerede produkter obligatorisk at give forbrugerne genanvendelige alternativer </w:t>
      </w:r>
      <w:bookmarkStart w:id="59" w:name="_Hlk66404649"/>
      <w:r>
        <w:t>til emballering af bage- og konditorvarer, frugt og grøntsager</w:t>
      </w:r>
      <w:bookmarkEnd w:id="59"/>
      <w:r>
        <w:t xml:space="preserve"> eller, hvis dette ikke er muligt, alternativer fremstillet af et enkelt materiale.</w:t>
      </w:r>
    </w:p>
    <w:bookmarkEnd w:id="58"/>
    <w:p w14:paraId="236B55B4" w14:textId="77777777" w:rsidR="00054EAE" w:rsidRPr="00007109" w:rsidRDefault="00054EAE" w:rsidP="00007109">
      <w:pPr>
        <w:jc w:val="both"/>
        <w:rPr>
          <w:rFonts w:ascii="Verdana" w:hAnsi="Verdana"/>
        </w:rPr>
      </w:pPr>
    </w:p>
    <w:p w14:paraId="5573C051" w14:textId="77777777" w:rsidR="00054EAE" w:rsidRPr="008E2CAE" w:rsidRDefault="00054EAE" w:rsidP="00054EAE">
      <w:pPr>
        <w:spacing w:after="0" w:line="360" w:lineRule="auto"/>
        <w:jc w:val="center"/>
        <w:rPr>
          <w:rFonts w:ascii="Verdana" w:hAnsi="Verdana" w:cstheme="minorHAnsi"/>
        </w:rPr>
      </w:pPr>
      <w:r>
        <w:rPr>
          <w:rFonts w:ascii="Verdana" w:hAnsi="Verdana"/>
        </w:rPr>
        <w:t>Artikel 6</w:t>
      </w:r>
    </w:p>
    <w:p w14:paraId="54A5D17F" w14:textId="638286F1" w:rsidR="00054EAE" w:rsidRDefault="00054EAE" w:rsidP="00054EAE">
      <w:pPr>
        <w:spacing w:after="0" w:line="360" w:lineRule="auto"/>
        <w:jc w:val="center"/>
        <w:rPr>
          <w:rFonts w:ascii="Verdana" w:hAnsi="Verdana"/>
        </w:rPr>
      </w:pPr>
      <w:r>
        <w:rPr>
          <w:rFonts w:ascii="Verdana" w:hAnsi="Verdana"/>
        </w:rPr>
        <w:t>[…]</w:t>
      </w:r>
    </w:p>
    <w:p w14:paraId="217FBA86" w14:textId="77777777" w:rsidR="00827E7D" w:rsidRPr="008E2CAE" w:rsidRDefault="00827E7D" w:rsidP="00054EAE">
      <w:pPr>
        <w:spacing w:after="0" w:line="360" w:lineRule="auto"/>
        <w:jc w:val="center"/>
        <w:rPr>
          <w:rFonts w:ascii="Verdana" w:hAnsi="Verdana"/>
        </w:rPr>
      </w:pPr>
    </w:p>
    <w:p w14:paraId="6100731A" w14:textId="7DE7DB9C" w:rsidR="006923D5" w:rsidRPr="008E2CAE" w:rsidRDefault="00054EAE" w:rsidP="00C525D6">
      <w:pPr>
        <w:pStyle w:val="ListParagraph"/>
        <w:numPr>
          <w:ilvl w:val="0"/>
          <w:numId w:val="60"/>
        </w:numPr>
        <w:ind w:left="709"/>
        <w:jc w:val="both"/>
        <w:rPr>
          <w:rFonts w:ascii="Verdana" w:hAnsi="Verdana"/>
        </w:rPr>
      </w:pPr>
      <w:bookmarkStart w:id="60" w:name="_Hlk37520532"/>
      <w:r>
        <w:rPr>
          <w:rFonts w:ascii="Verdana" w:hAnsi="Verdana"/>
        </w:rPr>
        <w:t xml:space="preserve">Følgende udgør mindre økonomiske administrative lovovertrædelser, der kan straffes i henhold til den juridiske ordning for økonomiske administrative overtrædelser, der er godkendt ved lovdekret nr. 9/2021 af 29. januar (RJCE): </w:t>
      </w:r>
    </w:p>
    <w:p w14:paraId="7862C874" w14:textId="597B1A91" w:rsidR="00054EAE" w:rsidRPr="008E2CAE" w:rsidRDefault="0069117E" w:rsidP="00C525D6">
      <w:pPr>
        <w:pStyle w:val="ListParagraph"/>
        <w:numPr>
          <w:ilvl w:val="1"/>
          <w:numId w:val="61"/>
        </w:numPr>
        <w:spacing w:after="0"/>
        <w:ind w:left="1134"/>
        <w:jc w:val="both"/>
        <w:rPr>
          <w:rFonts w:ascii="Verdana" w:hAnsi="Verdana"/>
        </w:rPr>
      </w:pPr>
      <w:r>
        <w:rPr>
          <w:rFonts w:ascii="Verdana" w:hAnsi="Verdana"/>
        </w:rPr>
        <w:t>ikke-tilgængelighed af genanvendelige alternativer eller fremstillet af et enkelt materiale til forbrugerne i overensstemmelse med den foregående artikel;</w:t>
      </w:r>
    </w:p>
    <w:p w14:paraId="2C6EB85E" w14:textId="24F74B4E" w:rsidR="00590C52" w:rsidRDefault="0069117E" w:rsidP="00C525D6">
      <w:pPr>
        <w:pStyle w:val="ListParagraph"/>
        <w:numPr>
          <w:ilvl w:val="1"/>
          <w:numId w:val="61"/>
        </w:numPr>
        <w:spacing w:after="0"/>
        <w:ind w:left="1134"/>
        <w:jc w:val="both"/>
        <w:rPr>
          <w:rFonts w:ascii="Verdana" w:hAnsi="Verdana"/>
        </w:rPr>
      </w:pPr>
      <w:r>
        <w:rPr>
          <w:rFonts w:ascii="Verdana" w:hAnsi="Verdana"/>
        </w:rPr>
        <w:t xml:space="preserve">levering af meget lette plastposer og markedsføring af produkter i meget lette plastposer i overensstemmelse med artikel 4, stk. 1; </w:t>
      </w:r>
    </w:p>
    <w:p w14:paraId="00B109BF" w14:textId="62524D09" w:rsidR="00054EAE" w:rsidRPr="008E2CAE" w:rsidRDefault="00054EAE" w:rsidP="00C525D6">
      <w:pPr>
        <w:pStyle w:val="ListParagraph"/>
        <w:numPr>
          <w:ilvl w:val="1"/>
          <w:numId w:val="61"/>
        </w:numPr>
        <w:spacing w:after="0"/>
        <w:ind w:left="1134"/>
        <w:jc w:val="both"/>
        <w:rPr>
          <w:rFonts w:ascii="Verdana" w:hAnsi="Verdana"/>
        </w:rPr>
      </w:pPr>
      <w:r>
        <w:rPr>
          <w:rFonts w:ascii="Verdana" w:hAnsi="Verdana"/>
        </w:rPr>
        <w:lastRenderedPageBreak/>
        <w:t xml:space="preserve"> markedsføring af produkter, der er emballeret i engangsplastbeholdere, f.eks. kuvetter og æsker, med eller uden låg, jf. artikel 4, stk. 2.</w:t>
      </w:r>
    </w:p>
    <w:p w14:paraId="1597C149" w14:textId="50E38EC0" w:rsidR="00054EAE" w:rsidRPr="008E2CAE" w:rsidRDefault="00054EAE" w:rsidP="00C525D6">
      <w:pPr>
        <w:pStyle w:val="ListParagraph"/>
        <w:numPr>
          <w:ilvl w:val="0"/>
          <w:numId w:val="60"/>
        </w:numPr>
        <w:ind w:left="709"/>
        <w:jc w:val="both"/>
        <w:rPr>
          <w:rFonts w:ascii="Verdana" w:hAnsi="Verdana"/>
        </w:rPr>
      </w:pPr>
      <w:r>
        <w:rPr>
          <w:rFonts w:ascii="Verdana" w:hAnsi="Verdana"/>
        </w:rPr>
        <w:t xml:space="preserve">Forsøg og forsømmelighed er strafbare under RJCE. </w:t>
      </w:r>
    </w:p>
    <w:bookmarkEnd w:id="60"/>
    <w:p w14:paraId="746A881B" w14:textId="77777777" w:rsidR="00054EAE" w:rsidRPr="008E2CAE" w:rsidRDefault="00054EAE" w:rsidP="00054EAE">
      <w:pPr>
        <w:spacing w:after="0" w:line="360" w:lineRule="auto"/>
        <w:jc w:val="center"/>
        <w:rPr>
          <w:rFonts w:ascii="Verdana" w:hAnsi="Verdana" w:cstheme="minorHAnsi"/>
        </w:rPr>
      </w:pPr>
    </w:p>
    <w:p w14:paraId="35F456F1" w14:textId="77777777" w:rsidR="00054EAE" w:rsidRPr="008E2CAE" w:rsidRDefault="00054EAE" w:rsidP="00054EAE">
      <w:pPr>
        <w:spacing w:after="0" w:line="360" w:lineRule="auto"/>
        <w:jc w:val="center"/>
        <w:rPr>
          <w:rFonts w:ascii="Verdana" w:hAnsi="Verdana" w:cstheme="minorHAnsi"/>
        </w:rPr>
      </w:pPr>
      <w:r>
        <w:rPr>
          <w:rFonts w:ascii="Verdana" w:hAnsi="Verdana"/>
        </w:rPr>
        <w:t>Artikel 7</w:t>
      </w:r>
    </w:p>
    <w:p w14:paraId="79B81B03" w14:textId="7DC95F01" w:rsidR="00054EAE" w:rsidRDefault="00054EAE" w:rsidP="00054EAE">
      <w:pPr>
        <w:spacing w:after="0" w:line="360" w:lineRule="auto"/>
        <w:jc w:val="center"/>
        <w:rPr>
          <w:rFonts w:ascii="Verdana" w:hAnsi="Verdana"/>
        </w:rPr>
      </w:pPr>
      <w:r>
        <w:rPr>
          <w:rFonts w:ascii="Verdana" w:hAnsi="Verdana"/>
        </w:rPr>
        <w:t>Overvågning, undersøgelse og beslutning</w:t>
      </w:r>
    </w:p>
    <w:p w14:paraId="314E96FC" w14:textId="77777777" w:rsidR="00827E7D" w:rsidRPr="008E2CAE" w:rsidRDefault="00827E7D" w:rsidP="00054EAE">
      <w:pPr>
        <w:spacing w:after="0" w:line="360" w:lineRule="auto"/>
        <w:jc w:val="center"/>
        <w:rPr>
          <w:rFonts w:ascii="Verdana" w:hAnsi="Verdana"/>
        </w:rPr>
      </w:pPr>
    </w:p>
    <w:p w14:paraId="26F13C86" w14:textId="231F066B" w:rsidR="00054EAE" w:rsidRPr="008E2CAE" w:rsidRDefault="00054EAE" w:rsidP="00C525D6">
      <w:pPr>
        <w:pStyle w:val="ListParagraph"/>
        <w:numPr>
          <w:ilvl w:val="0"/>
          <w:numId w:val="62"/>
        </w:numPr>
        <w:ind w:left="709"/>
        <w:jc w:val="both"/>
        <w:rPr>
          <w:rFonts w:ascii="Verdana" w:hAnsi="Verdana"/>
        </w:rPr>
      </w:pPr>
      <w:r>
        <w:rPr>
          <w:rFonts w:ascii="Verdana" w:hAnsi="Verdana"/>
        </w:rPr>
        <w:t>Kontrollen med overholdelsen af bestemmelserne i denne lov påhviler inden for rammerne af dens respektive beføjelser, fødevare- og økonomisk sikkerhedsautoriteten (ASAE), uden at dette berører politiets og de administrative myndigheders kompetence.</w:t>
      </w:r>
    </w:p>
    <w:p w14:paraId="0FABB307" w14:textId="0A1F7518" w:rsidR="00054EAE" w:rsidRPr="00007109" w:rsidRDefault="00054EAE" w:rsidP="00C525D6">
      <w:pPr>
        <w:pStyle w:val="ListParagraph"/>
        <w:numPr>
          <w:ilvl w:val="0"/>
          <w:numId w:val="62"/>
        </w:numPr>
        <w:ind w:left="709"/>
        <w:jc w:val="both"/>
        <w:rPr>
          <w:rFonts w:ascii="Verdana" w:hAnsi="Verdana"/>
        </w:rPr>
      </w:pPr>
      <w:r>
        <w:rPr>
          <w:rFonts w:ascii="Verdana" w:hAnsi="Verdana"/>
        </w:rPr>
        <w:t>Det tilkommer ASAE at undersøge sager vedrørende de overtrædelser, der er omhandlet i artikel 6, og at træffe afgørelse om pålæggelse af en bøde.</w:t>
      </w:r>
    </w:p>
    <w:p w14:paraId="4207FFB8" w14:textId="77777777" w:rsidR="008B4B7F" w:rsidRPr="003F6B93" w:rsidRDefault="008B4B7F" w:rsidP="008E2CAE">
      <w:pPr>
        <w:jc w:val="center"/>
        <w:rPr>
          <w:rFonts w:ascii="Verdana" w:hAnsi="Verdana"/>
        </w:rPr>
      </w:pPr>
    </w:p>
    <w:p w14:paraId="692CD72B" w14:textId="1CB18418" w:rsidR="008E2CAE" w:rsidRDefault="000600E7" w:rsidP="000600E7">
      <w:pPr>
        <w:pStyle w:val="Heading2"/>
        <w:numPr>
          <w:ilvl w:val="0"/>
          <w:numId w:val="0"/>
        </w:numPr>
        <w:tabs>
          <w:tab w:val="clear" w:pos="1701"/>
          <w:tab w:val="left" w:pos="1418"/>
        </w:tabs>
        <w:ind w:left="426"/>
      </w:pPr>
      <w:r>
        <w:t>Artikel 27 Tillæg til lov nr. 77/2019 af 2. september:</w:t>
      </w:r>
    </w:p>
    <w:p w14:paraId="23C307B6" w14:textId="77777777" w:rsidR="00827E7D" w:rsidRPr="00007109" w:rsidRDefault="00827E7D" w:rsidP="00007109">
      <w:pPr>
        <w:jc w:val="both"/>
        <w:rPr>
          <w:rFonts w:ascii="Verdana" w:hAnsi="Verdana"/>
        </w:rPr>
      </w:pPr>
    </w:p>
    <w:p w14:paraId="78478EEB" w14:textId="77777777" w:rsidR="008E2CAE" w:rsidRPr="00007109" w:rsidRDefault="008E2CAE" w:rsidP="00007109">
      <w:pPr>
        <w:jc w:val="both"/>
        <w:rPr>
          <w:rFonts w:ascii="Verdana" w:hAnsi="Verdana"/>
        </w:rPr>
      </w:pPr>
      <w:r>
        <w:rPr>
          <w:rFonts w:ascii="Verdana" w:hAnsi="Verdana"/>
        </w:rPr>
        <w:t xml:space="preserve">Som artikel 7, litra a), indsættes i lov nr. 77/2019 af 2. september: </w:t>
      </w:r>
    </w:p>
    <w:p w14:paraId="6C42C8B3" w14:textId="77777777" w:rsidR="008E2CAE" w:rsidRPr="008E2CAE" w:rsidRDefault="008E2CAE" w:rsidP="008E2CAE">
      <w:pPr>
        <w:spacing w:after="0" w:line="360" w:lineRule="auto"/>
        <w:jc w:val="center"/>
        <w:rPr>
          <w:rFonts w:ascii="Verdana" w:hAnsi="Verdana" w:cstheme="minorHAnsi"/>
        </w:rPr>
      </w:pPr>
    </w:p>
    <w:p w14:paraId="591A7AA1" w14:textId="77777777" w:rsidR="008E2CAE" w:rsidRPr="008E2CAE" w:rsidRDefault="008E2CAE" w:rsidP="008E2CAE">
      <w:pPr>
        <w:spacing w:after="0" w:line="360" w:lineRule="auto"/>
        <w:jc w:val="center"/>
        <w:rPr>
          <w:rFonts w:ascii="Verdana" w:hAnsi="Verdana" w:cstheme="minorHAnsi"/>
        </w:rPr>
      </w:pPr>
      <w:r>
        <w:rPr>
          <w:rFonts w:ascii="Verdana" w:hAnsi="Verdana"/>
        </w:rPr>
        <w:t>"Artikel 7, litra a)</w:t>
      </w:r>
    </w:p>
    <w:p w14:paraId="67DF5936" w14:textId="77777777" w:rsidR="008E2CAE" w:rsidRPr="008E2CAE" w:rsidRDefault="008E2CAE" w:rsidP="008E2CAE">
      <w:pPr>
        <w:spacing w:after="0" w:line="360" w:lineRule="auto"/>
        <w:jc w:val="center"/>
        <w:rPr>
          <w:rFonts w:ascii="Verdana" w:hAnsi="Verdana" w:cstheme="minorHAnsi"/>
          <w:b/>
        </w:rPr>
      </w:pPr>
      <w:r>
        <w:rPr>
          <w:rFonts w:ascii="Verdana" w:hAnsi="Verdana"/>
          <w:b/>
        </w:rPr>
        <w:t>Provenu fra bøder</w:t>
      </w:r>
    </w:p>
    <w:p w14:paraId="7E6E6DF1" w14:textId="77777777" w:rsidR="008E2CAE" w:rsidRPr="008E2CAE" w:rsidRDefault="008E2CAE" w:rsidP="008E2CAE">
      <w:pPr>
        <w:spacing w:after="0" w:line="360" w:lineRule="auto"/>
        <w:jc w:val="both"/>
        <w:rPr>
          <w:rFonts w:ascii="Verdana" w:hAnsi="Verdana" w:cstheme="minorHAnsi"/>
        </w:rPr>
      </w:pPr>
      <w:r>
        <w:rPr>
          <w:rFonts w:ascii="Verdana" w:hAnsi="Verdana"/>
        </w:rPr>
        <w:t>Provenuet af bøderne fordeles i overensstemmelse med RJCE."</w:t>
      </w:r>
    </w:p>
    <w:p w14:paraId="2A5DA637" w14:textId="3065A7F9" w:rsidR="008E2CAE" w:rsidRDefault="008E2CAE" w:rsidP="008E2CAE"/>
    <w:p w14:paraId="46E9C03E" w14:textId="0F0B52EB" w:rsidR="00590C52" w:rsidRPr="00412FEF" w:rsidRDefault="00590C52" w:rsidP="00590C52">
      <w:pPr>
        <w:jc w:val="center"/>
        <w:rPr>
          <w:rFonts w:ascii="Verdana" w:hAnsi="Verdana" w:cstheme="minorHAnsi"/>
          <w:b/>
          <w:sz w:val="28"/>
          <w:szCs w:val="28"/>
        </w:rPr>
      </w:pPr>
      <w:r>
        <w:rPr>
          <w:rFonts w:ascii="Verdana" w:hAnsi="Verdana"/>
          <w:b/>
          <w:sz w:val="28"/>
        </w:rPr>
        <w:t>Kapitel XI</w:t>
      </w:r>
    </w:p>
    <w:p w14:paraId="4078BAD7" w14:textId="65125DFF" w:rsidR="00590C52" w:rsidRPr="00412FEF" w:rsidRDefault="00590C52" w:rsidP="00412FEF">
      <w:pPr>
        <w:jc w:val="center"/>
        <w:rPr>
          <w:rFonts w:ascii="Verdana" w:hAnsi="Verdana" w:cstheme="minorHAnsi"/>
          <w:b/>
        </w:rPr>
      </w:pPr>
      <w:r>
        <w:rPr>
          <w:rFonts w:ascii="Verdana" w:hAnsi="Verdana"/>
          <w:b/>
        </w:rPr>
        <w:t>Supplerende, overgangsbestemmelser og afsluttende bestemmelser</w:t>
      </w:r>
    </w:p>
    <w:p w14:paraId="516113FA" w14:textId="77777777" w:rsidR="008E2CAE" w:rsidRPr="008E2CAE" w:rsidRDefault="008E2CAE" w:rsidP="008E2CAE"/>
    <w:p w14:paraId="5E44B2A4" w14:textId="20280901" w:rsidR="008E2CAE" w:rsidRPr="006A3393" w:rsidRDefault="00AC3F76" w:rsidP="00AC3F76">
      <w:pPr>
        <w:pStyle w:val="Heading2"/>
        <w:numPr>
          <w:ilvl w:val="0"/>
          <w:numId w:val="0"/>
        </w:numPr>
        <w:tabs>
          <w:tab w:val="clear" w:pos="1701"/>
          <w:tab w:val="left" w:pos="1560"/>
        </w:tabs>
        <w:ind w:left="426"/>
      </w:pPr>
      <w:r>
        <w:t>Artikel 28</w:t>
      </w:r>
      <w:r>
        <w:br/>
        <w:t>Ophævelsesbestemmelse</w:t>
      </w:r>
    </w:p>
    <w:p w14:paraId="11429E44" w14:textId="31E1C1C5" w:rsidR="008E2CAE" w:rsidRPr="008E2CAE" w:rsidRDefault="00590C52" w:rsidP="00007109">
      <w:pPr>
        <w:jc w:val="both"/>
        <w:rPr>
          <w:rFonts w:ascii="Verdana" w:hAnsi="Verdana"/>
        </w:rPr>
      </w:pPr>
      <w:r>
        <w:rPr>
          <w:rFonts w:ascii="Verdana" w:hAnsi="Verdana"/>
        </w:rPr>
        <w:t>Lov nr. 76/2019 af september 2 ophæves.</w:t>
      </w:r>
    </w:p>
    <w:p w14:paraId="43BE6334" w14:textId="5A32863C" w:rsidR="008E2CAE" w:rsidRPr="008E2CAE" w:rsidRDefault="008E2CAE" w:rsidP="00007109">
      <w:pPr>
        <w:jc w:val="both"/>
        <w:rPr>
          <w:rFonts w:ascii="Verdana" w:hAnsi="Verdana"/>
        </w:rPr>
      </w:pPr>
      <w:bookmarkStart w:id="61" w:name="_Hlk36038265"/>
    </w:p>
    <w:bookmarkEnd w:id="61"/>
    <w:p w14:paraId="0044BACA" w14:textId="5CB7690D" w:rsidR="0037079D" w:rsidRPr="0037079D" w:rsidRDefault="00A315EC" w:rsidP="00A315EC">
      <w:pPr>
        <w:pStyle w:val="Heading2"/>
        <w:numPr>
          <w:ilvl w:val="0"/>
          <w:numId w:val="0"/>
        </w:numPr>
        <w:tabs>
          <w:tab w:val="clear" w:pos="1701"/>
          <w:tab w:val="left" w:pos="1560"/>
        </w:tabs>
        <w:ind w:left="426"/>
      </w:pPr>
      <w:r>
        <w:t>Artikel 29</w:t>
      </w:r>
      <w:r>
        <w:br/>
        <w:t>Subsidiær anvendelse af lovdekret nr. 152-D/2017 af 11. december</w:t>
      </w:r>
    </w:p>
    <w:p w14:paraId="138F4285" w14:textId="75213671" w:rsidR="008E2CAE" w:rsidRPr="003F6B93" w:rsidRDefault="008E2CAE" w:rsidP="008E2CAE">
      <w:pPr>
        <w:jc w:val="both"/>
        <w:rPr>
          <w:rFonts w:ascii="Verdana" w:hAnsi="Verdana"/>
        </w:rPr>
      </w:pPr>
      <w:r>
        <w:rPr>
          <w:rFonts w:ascii="Verdana" w:hAnsi="Verdana"/>
        </w:rPr>
        <w:t>I alt, hvad der ikke udtrykkeligt er fastsat i dette lovdekret, finder GSWM desuden anvendelse.</w:t>
      </w:r>
    </w:p>
    <w:p w14:paraId="180438A2" w14:textId="77777777" w:rsidR="008E2CAE" w:rsidRPr="00007109" w:rsidRDefault="008E2CAE" w:rsidP="00007109">
      <w:pPr>
        <w:jc w:val="both"/>
        <w:rPr>
          <w:rFonts w:ascii="Verdana" w:hAnsi="Verdana"/>
        </w:rPr>
      </w:pPr>
    </w:p>
    <w:p w14:paraId="0F3BF910" w14:textId="2FA11858" w:rsidR="00D573FE" w:rsidRDefault="00AC3F76" w:rsidP="00AC3F76">
      <w:pPr>
        <w:pStyle w:val="Heading2"/>
        <w:numPr>
          <w:ilvl w:val="0"/>
          <w:numId w:val="0"/>
        </w:numPr>
        <w:tabs>
          <w:tab w:val="clear" w:pos="1701"/>
          <w:tab w:val="left" w:pos="1418"/>
        </w:tabs>
        <w:ind w:left="426"/>
      </w:pPr>
      <w:r>
        <w:t>Artikel 30</w:t>
      </w:r>
      <w:r>
        <w:br/>
        <w:t>Samarbejde og forelæggelse af dokumentation</w:t>
      </w:r>
    </w:p>
    <w:p w14:paraId="1201E132" w14:textId="77777777" w:rsidR="0037079D" w:rsidRPr="0037079D" w:rsidRDefault="0037079D" w:rsidP="0037079D"/>
    <w:p w14:paraId="167E15F1" w14:textId="4CFE5D31" w:rsidR="001E4779" w:rsidRPr="001E4779" w:rsidRDefault="001E4779" w:rsidP="00C525D6">
      <w:pPr>
        <w:pStyle w:val="ListParagraph"/>
        <w:numPr>
          <w:ilvl w:val="0"/>
          <w:numId w:val="63"/>
        </w:numPr>
        <w:ind w:left="709"/>
        <w:jc w:val="both"/>
        <w:rPr>
          <w:rFonts w:ascii="Verdana" w:hAnsi="Verdana"/>
        </w:rPr>
      </w:pPr>
      <w:r>
        <w:rPr>
          <w:rFonts w:ascii="Verdana" w:hAnsi="Verdana"/>
        </w:rPr>
        <w:t>APA, I.P., DGAE, DGRM og overvågningsorganerne skal samarbejde med hinanden for at sikre anvendelsen af dette lovdekret, navnlig gennem teknisk samarbejde og udveksling af oplysninger.</w:t>
      </w:r>
    </w:p>
    <w:p w14:paraId="7E1C832E" w14:textId="61023C9E" w:rsidR="001E4779" w:rsidRPr="001E4779" w:rsidRDefault="001E4779" w:rsidP="00C525D6">
      <w:pPr>
        <w:pStyle w:val="ListParagraph"/>
        <w:numPr>
          <w:ilvl w:val="0"/>
          <w:numId w:val="63"/>
        </w:numPr>
        <w:ind w:left="709"/>
        <w:jc w:val="both"/>
        <w:rPr>
          <w:rFonts w:ascii="Verdana" w:hAnsi="Verdana"/>
        </w:rPr>
      </w:pPr>
      <w:r>
        <w:rPr>
          <w:rFonts w:ascii="Verdana" w:hAnsi="Verdana"/>
        </w:rPr>
        <w:t>2 – Det samarbejde, der er omhandlet i foregående afsnit, har til formål at sikre en integreret kontrol og overvågning af de aktiviteter, der gennemføres inden for rammerne af dette lovdekret, idet forpligtelsen til at samarbejde udvides til også at omfatte andre offentlige interessentorganer, navnlig de kompetente organer i de selvstyrende regioner.</w:t>
      </w:r>
    </w:p>
    <w:p w14:paraId="26E18A9A" w14:textId="5F54A302" w:rsidR="001E4779" w:rsidRPr="001E4779" w:rsidRDefault="001E4779" w:rsidP="00C525D6">
      <w:pPr>
        <w:pStyle w:val="ListParagraph"/>
        <w:numPr>
          <w:ilvl w:val="0"/>
          <w:numId w:val="63"/>
        </w:numPr>
        <w:ind w:left="709"/>
        <w:jc w:val="both"/>
        <w:rPr>
          <w:rFonts w:ascii="Verdana" w:hAnsi="Verdana"/>
        </w:rPr>
      </w:pPr>
      <w:r>
        <w:rPr>
          <w:rFonts w:ascii="Verdana" w:hAnsi="Verdana"/>
        </w:rPr>
        <w:t>Fremlæggelse af den dokumentation, der er omhandlet i dette lovdekret, og som er i besiddelse af offentlige forvaltningstjenester eller -organer, kan fritages og indhentes via platformen for interoperabilitet mellem offentlige myndigheder i overensstemmelse med artikel 28-A i lovdekret nr. 135/99 af 22. april 1999 i den nuværende form, hvis borgere eller økonomiske aktører giver deres samtykke hertil.</w:t>
      </w:r>
    </w:p>
    <w:p w14:paraId="1E683183" w14:textId="77777777" w:rsidR="008B4B7F" w:rsidRPr="003F6B93" w:rsidRDefault="008B4B7F" w:rsidP="003035F6">
      <w:pPr>
        <w:jc w:val="center"/>
        <w:rPr>
          <w:rFonts w:ascii="Verdana" w:hAnsi="Verdana"/>
        </w:rPr>
      </w:pPr>
    </w:p>
    <w:p w14:paraId="1E403387" w14:textId="517F0FA0" w:rsidR="008B4B7F" w:rsidRDefault="00AC3F76" w:rsidP="00AC3F76">
      <w:pPr>
        <w:pStyle w:val="Heading2"/>
        <w:numPr>
          <w:ilvl w:val="0"/>
          <w:numId w:val="0"/>
        </w:numPr>
        <w:tabs>
          <w:tab w:val="clear" w:pos="1701"/>
          <w:tab w:val="left" w:pos="1418"/>
        </w:tabs>
        <w:ind w:left="426"/>
      </w:pPr>
      <w:r>
        <w:t>Artikel 31</w:t>
      </w:r>
      <w:r>
        <w:br/>
        <w:t>Selvstyrende regioner</w:t>
      </w:r>
    </w:p>
    <w:p w14:paraId="58156734" w14:textId="77777777" w:rsidR="0037079D" w:rsidRPr="0037079D" w:rsidRDefault="0037079D" w:rsidP="0037079D"/>
    <w:p w14:paraId="45480258" w14:textId="4D486621" w:rsidR="008B4B7F" w:rsidRPr="00875033" w:rsidRDefault="008B4B7F" w:rsidP="00C525D6">
      <w:pPr>
        <w:pStyle w:val="ListParagraph"/>
        <w:numPr>
          <w:ilvl w:val="0"/>
          <w:numId w:val="64"/>
        </w:numPr>
        <w:ind w:left="709"/>
        <w:jc w:val="both"/>
        <w:rPr>
          <w:rFonts w:ascii="Verdana" w:hAnsi="Verdana"/>
        </w:rPr>
      </w:pPr>
      <w:r>
        <w:rPr>
          <w:rFonts w:ascii="Verdana" w:hAnsi="Verdana"/>
        </w:rPr>
        <w:t xml:space="preserve">Dette lovdekret finder anvendelse på de selvstyrende regioner Azorerne og Madeira, uden at dette berører dens egnethed til regionale særegenheder i overensstemmelse med dens respektive politiske og </w:t>
      </w:r>
      <w:r>
        <w:rPr>
          <w:rFonts w:ascii="Verdana" w:hAnsi="Verdana"/>
        </w:rPr>
        <w:lastRenderedPageBreak/>
        <w:t>administrative autonomi, idet gennemførelsen heraf påhviler de respektive autonome regionale regeringers tjenester og organer med opgaver og beføjelser i forbindelse med affaldshåndtering, uden at dette berører organernes beføjelser på nationalt plan.</w:t>
      </w:r>
    </w:p>
    <w:p w14:paraId="3387C8A0" w14:textId="6D82DF72" w:rsidR="008B4B7F" w:rsidRPr="00875033" w:rsidRDefault="008B4B7F" w:rsidP="00C525D6">
      <w:pPr>
        <w:pStyle w:val="ListParagraph"/>
        <w:numPr>
          <w:ilvl w:val="0"/>
          <w:numId w:val="64"/>
        </w:numPr>
        <w:ind w:left="709"/>
        <w:jc w:val="both"/>
        <w:rPr>
          <w:rFonts w:ascii="Verdana" w:hAnsi="Verdana"/>
        </w:rPr>
      </w:pPr>
      <w:r>
        <w:rPr>
          <w:rFonts w:ascii="Verdana" w:hAnsi="Verdana"/>
        </w:rPr>
        <w:t>Provenuet af bøder, der anvendes i de selvstyrende regioner, tildeles udelukkende disse regioners indtægter.</w:t>
      </w:r>
    </w:p>
    <w:p w14:paraId="481EC9CD" w14:textId="77777777" w:rsidR="00667FE9" w:rsidRPr="003F6B93" w:rsidRDefault="00667FE9" w:rsidP="008B4B7F">
      <w:pPr>
        <w:jc w:val="both"/>
        <w:rPr>
          <w:rFonts w:ascii="Verdana" w:hAnsi="Verdana"/>
        </w:rPr>
      </w:pPr>
    </w:p>
    <w:p w14:paraId="284B6D7F" w14:textId="6ADFA1B8" w:rsidR="00667FE9" w:rsidRDefault="00AC3F76" w:rsidP="00AC3F76">
      <w:pPr>
        <w:pStyle w:val="Heading2"/>
        <w:numPr>
          <w:ilvl w:val="0"/>
          <w:numId w:val="0"/>
        </w:numPr>
        <w:tabs>
          <w:tab w:val="clear" w:pos="1701"/>
          <w:tab w:val="left" w:pos="1418"/>
        </w:tabs>
        <w:ind w:left="426"/>
      </w:pPr>
      <w:r>
        <w:t>Artikel 32</w:t>
      </w:r>
      <w:r>
        <w:br/>
        <w:t>Ikrafttrædelse og produktion</w:t>
      </w:r>
    </w:p>
    <w:p w14:paraId="52CD741A" w14:textId="77777777" w:rsidR="0037079D" w:rsidRPr="0037079D" w:rsidRDefault="0037079D" w:rsidP="0037079D"/>
    <w:p w14:paraId="34CDD4A8" w14:textId="200B8CE5" w:rsidR="00DD3E8A" w:rsidRDefault="002A32BE" w:rsidP="00C525D6">
      <w:pPr>
        <w:pStyle w:val="ListParagraph"/>
        <w:numPr>
          <w:ilvl w:val="0"/>
          <w:numId w:val="65"/>
        </w:numPr>
        <w:ind w:left="709"/>
        <w:jc w:val="both"/>
        <w:rPr>
          <w:rFonts w:ascii="Verdana" w:hAnsi="Verdana"/>
        </w:rPr>
      </w:pPr>
      <w:r>
        <w:rPr>
          <w:rFonts w:ascii="Verdana" w:hAnsi="Verdana"/>
        </w:rPr>
        <w:t>Dette lovdekret træder i kraft den 1. juli 2021</w:t>
      </w:r>
    </w:p>
    <w:p w14:paraId="3CC62673" w14:textId="7628EE87" w:rsidR="00DD3E8A" w:rsidRPr="00DD3E8A" w:rsidRDefault="00DD3E8A" w:rsidP="00C525D6">
      <w:pPr>
        <w:pStyle w:val="ListParagraph"/>
        <w:numPr>
          <w:ilvl w:val="0"/>
          <w:numId w:val="65"/>
        </w:numPr>
        <w:ind w:left="709"/>
        <w:jc w:val="both"/>
        <w:rPr>
          <w:rFonts w:ascii="Verdana" w:hAnsi="Verdana"/>
        </w:rPr>
      </w:pPr>
      <w:r>
        <w:rPr>
          <w:rFonts w:ascii="Verdana" w:hAnsi="Verdana"/>
        </w:rPr>
        <w:t>Med forbehold af artikel 183 i lovdekret nr. 9/2021 af 29. januar, som godkendte de juridiske betingelser for økonomiske administrative overtrædelser, finder disse bestemmelser straks anvendelse på de administrative lovovertrædelser, der er omhandlet i artikel 21, stk. 1, i dette lovdekret.</w:t>
      </w:r>
    </w:p>
    <w:p w14:paraId="50C301FD" w14:textId="18BDE172" w:rsidR="00DD3E8A" w:rsidRDefault="00DD3E8A" w:rsidP="00575347">
      <w:pPr>
        <w:jc w:val="both"/>
        <w:rPr>
          <w:rFonts w:ascii="Verdana" w:hAnsi="Verdana"/>
        </w:rPr>
      </w:pPr>
    </w:p>
    <w:p w14:paraId="1ACB74EF" w14:textId="77777777" w:rsidR="00575347" w:rsidRPr="00575347" w:rsidRDefault="00575347" w:rsidP="00575347">
      <w:pPr>
        <w:jc w:val="both"/>
        <w:rPr>
          <w:rFonts w:ascii="Verdana" w:hAnsi="Verdana"/>
        </w:rPr>
        <w:sectPr w:rsidR="00575347" w:rsidRPr="00575347">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pPr>
    </w:p>
    <w:p w14:paraId="1AA09983" w14:textId="240281D8" w:rsidR="00A172F1" w:rsidRPr="003F6B93" w:rsidRDefault="00A172F1" w:rsidP="00A172F1">
      <w:pPr>
        <w:jc w:val="both"/>
        <w:rPr>
          <w:rFonts w:ascii="Verdana" w:hAnsi="Verdana"/>
        </w:rPr>
      </w:pPr>
    </w:p>
    <w:p w14:paraId="0B29489E" w14:textId="11762E8A" w:rsidR="00875033" w:rsidRPr="00575347" w:rsidRDefault="000933C0" w:rsidP="00203CD4">
      <w:pPr>
        <w:pStyle w:val="Heading3"/>
      </w:pPr>
      <w:r>
        <w:br/>
      </w:r>
      <w:bookmarkStart w:id="62" w:name="_Ref63440905"/>
      <w:r>
        <w:t>Plastprodukter til engangsbrug, jf. artikel 2, stk. 1</w:t>
      </w:r>
      <w:bookmarkEnd w:id="62"/>
    </w:p>
    <w:p w14:paraId="43DD799A" w14:textId="77777777" w:rsidR="006418B1" w:rsidRPr="003F6B93" w:rsidRDefault="006418B1" w:rsidP="00575347">
      <w:pPr>
        <w:pStyle w:val="ListParagraph"/>
        <w:numPr>
          <w:ilvl w:val="0"/>
          <w:numId w:val="66"/>
        </w:numPr>
        <w:ind w:left="709"/>
        <w:jc w:val="both"/>
        <w:rPr>
          <w:rFonts w:ascii="Verdana" w:hAnsi="Verdana"/>
        </w:rPr>
      </w:pPr>
      <w:r>
        <w:rPr>
          <w:rFonts w:ascii="Verdana" w:hAnsi="Verdana"/>
        </w:rPr>
        <w:t xml:space="preserve">Bægre til drikkevarer, herunder overtræk og låg; </w:t>
      </w:r>
    </w:p>
    <w:p w14:paraId="228ED85F" w14:textId="77777777" w:rsidR="006418B1" w:rsidRPr="003F6B93" w:rsidRDefault="006418B1" w:rsidP="00575347">
      <w:pPr>
        <w:pStyle w:val="ListParagraph"/>
        <w:numPr>
          <w:ilvl w:val="0"/>
          <w:numId w:val="66"/>
        </w:numPr>
        <w:ind w:left="709"/>
        <w:jc w:val="both"/>
        <w:rPr>
          <w:rFonts w:ascii="Verdana" w:hAnsi="Verdana"/>
        </w:rPr>
      </w:pPr>
      <w:r>
        <w:rPr>
          <w:rFonts w:ascii="Verdana" w:hAnsi="Verdana"/>
        </w:rPr>
        <w:t xml:space="preserve">Fødevarebeholdere, dvs. beholdere, f.eks. æsker, med eller uden låg, der anvendes til at indeholde fødevarer, som: </w:t>
      </w:r>
    </w:p>
    <w:p w14:paraId="5D0F7CAB" w14:textId="58578C70" w:rsidR="006418B1" w:rsidRPr="00875033" w:rsidRDefault="006418B1" w:rsidP="00575347">
      <w:pPr>
        <w:pStyle w:val="ListParagraph"/>
        <w:numPr>
          <w:ilvl w:val="0"/>
          <w:numId w:val="67"/>
        </w:numPr>
        <w:spacing w:line="240" w:lineRule="auto"/>
        <w:rPr>
          <w:rFonts w:ascii="Verdana" w:hAnsi="Verdana"/>
        </w:rPr>
      </w:pPr>
      <w:r>
        <w:rPr>
          <w:rFonts w:ascii="Verdana" w:hAnsi="Verdana"/>
        </w:rPr>
        <w:t xml:space="preserve">er beregnet til umiddelbar fortæring enten på salgsstedet eller som takeaway, </w:t>
      </w:r>
    </w:p>
    <w:p w14:paraId="362E82E4" w14:textId="58405378" w:rsidR="006418B1" w:rsidRPr="00875033" w:rsidRDefault="006418B1" w:rsidP="00575347">
      <w:pPr>
        <w:pStyle w:val="ListParagraph"/>
        <w:numPr>
          <w:ilvl w:val="0"/>
          <w:numId w:val="67"/>
        </w:numPr>
        <w:spacing w:line="240" w:lineRule="auto"/>
        <w:rPr>
          <w:rFonts w:ascii="Verdana" w:hAnsi="Verdana"/>
        </w:rPr>
      </w:pPr>
      <w:r>
        <w:rPr>
          <w:rFonts w:ascii="Verdana" w:hAnsi="Verdana"/>
        </w:rPr>
        <w:t xml:space="preserve">typisk fortæres fra beholderen, og </w:t>
      </w:r>
    </w:p>
    <w:p w14:paraId="31602558" w14:textId="0788487C" w:rsidR="006418B1" w:rsidRPr="00875033" w:rsidRDefault="006418B1" w:rsidP="00575347">
      <w:pPr>
        <w:pStyle w:val="ListParagraph"/>
        <w:numPr>
          <w:ilvl w:val="0"/>
          <w:numId w:val="67"/>
        </w:numPr>
        <w:spacing w:line="240" w:lineRule="auto"/>
        <w:rPr>
          <w:rFonts w:ascii="Verdana" w:hAnsi="Verdana"/>
        </w:rPr>
      </w:pPr>
      <w:r>
        <w:rPr>
          <w:rFonts w:ascii="Verdana" w:hAnsi="Verdana"/>
        </w:rPr>
        <w:t>er klar til at blive fortæret uden yderligere tilberedning såsom stegning, kogning eller opvarmning,</w:t>
      </w:r>
    </w:p>
    <w:p w14:paraId="50856381" w14:textId="77777777" w:rsidR="006418B1" w:rsidRPr="003F6B93" w:rsidRDefault="006418B1" w:rsidP="00575347">
      <w:pPr>
        <w:pStyle w:val="ListParagraph"/>
        <w:ind w:left="709"/>
        <w:jc w:val="both"/>
        <w:rPr>
          <w:rFonts w:ascii="Verdana" w:hAnsi="Verdana"/>
        </w:rPr>
      </w:pPr>
      <w:r>
        <w:rPr>
          <w:rFonts w:ascii="Verdana" w:hAnsi="Verdana"/>
        </w:rPr>
        <w:t>herunder fødevarebeholdere, der anvendes til fastfood, eller andre måltider, som er klar til umiddelbar fortæring, undtagen drikkevarebeholdere, tallerkener og indpakningsposer og -folier indeholdende fødevarer.</w:t>
      </w:r>
    </w:p>
    <w:p w14:paraId="28473118" w14:textId="4C13086B" w:rsidR="006418B1" w:rsidRPr="003F6B93" w:rsidRDefault="006418B1" w:rsidP="00575347">
      <w:pPr>
        <w:pStyle w:val="ListParagraph"/>
        <w:numPr>
          <w:ilvl w:val="0"/>
          <w:numId w:val="66"/>
        </w:numPr>
        <w:tabs>
          <w:tab w:val="left" w:pos="993"/>
        </w:tabs>
        <w:ind w:left="709"/>
        <w:jc w:val="both"/>
        <w:rPr>
          <w:rFonts w:ascii="Verdana" w:hAnsi="Verdana"/>
        </w:rPr>
      </w:pPr>
      <w:r>
        <w:rPr>
          <w:rFonts w:ascii="Verdana" w:hAnsi="Verdana"/>
        </w:rPr>
        <w:t xml:space="preserve">Bomuldsknopper, medmindre de falder ind under anvendelsesområdet for lovdekret nr. 145/2009 af 17. juni i dens nuværende form; </w:t>
      </w:r>
    </w:p>
    <w:p w14:paraId="4E332868" w14:textId="77777777" w:rsidR="006418B1" w:rsidRPr="003F6B93" w:rsidRDefault="006418B1" w:rsidP="00575347">
      <w:pPr>
        <w:pStyle w:val="ListParagraph"/>
        <w:numPr>
          <w:ilvl w:val="0"/>
          <w:numId w:val="66"/>
        </w:numPr>
        <w:tabs>
          <w:tab w:val="left" w:pos="993"/>
        </w:tabs>
        <w:ind w:left="709"/>
        <w:jc w:val="both"/>
        <w:rPr>
          <w:rFonts w:ascii="Verdana" w:hAnsi="Verdana"/>
        </w:rPr>
      </w:pPr>
      <w:r>
        <w:rPr>
          <w:rFonts w:ascii="Verdana" w:hAnsi="Verdana"/>
        </w:rPr>
        <w:t xml:space="preserve">Bestik (gafler, knive, skeer, spisepinde); </w:t>
      </w:r>
    </w:p>
    <w:p w14:paraId="1BA1EA96" w14:textId="77777777" w:rsidR="006418B1" w:rsidRPr="003F6B93" w:rsidRDefault="006418B1" w:rsidP="00575347">
      <w:pPr>
        <w:pStyle w:val="ListParagraph"/>
        <w:numPr>
          <w:ilvl w:val="0"/>
          <w:numId w:val="66"/>
        </w:numPr>
        <w:tabs>
          <w:tab w:val="left" w:pos="993"/>
        </w:tabs>
        <w:ind w:left="709"/>
        <w:jc w:val="both"/>
        <w:rPr>
          <w:rFonts w:ascii="Verdana" w:hAnsi="Verdana"/>
        </w:rPr>
      </w:pPr>
      <w:r>
        <w:rPr>
          <w:rFonts w:ascii="Verdana" w:hAnsi="Verdana"/>
        </w:rPr>
        <w:t xml:space="preserve">Tallerkener; </w:t>
      </w:r>
    </w:p>
    <w:p w14:paraId="2DB136F0" w14:textId="7FEE640F" w:rsidR="006418B1" w:rsidRPr="003F6B93" w:rsidRDefault="006418B1" w:rsidP="00575347">
      <w:pPr>
        <w:pStyle w:val="ListParagraph"/>
        <w:numPr>
          <w:ilvl w:val="0"/>
          <w:numId w:val="66"/>
        </w:numPr>
        <w:tabs>
          <w:tab w:val="left" w:pos="993"/>
        </w:tabs>
        <w:ind w:left="709"/>
        <w:jc w:val="both"/>
        <w:rPr>
          <w:rFonts w:ascii="Verdana" w:hAnsi="Verdana"/>
        </w:rPr>
      </w:pPr>
      <w:r>
        <w:rPr>
          <w:rFonts w:ascii="Verdana" w:hAnsi="Verdana"/>
        </w:rPr>
        <w:t xml:space="preserve">Strå, medmindre de falder ind under anvendelsesområdet for lovdekret nr. 145/2009 af 17. juni i dens nuværende form; </w:t>
      </w:r>
    </w:p>
    <w:p w14:paraId="029562BE" w14:textId="77777777" w:rsidR="006418B1" w:rsidRPr="003F6B93" w:rsidRDefault="006418B1" w:rsidP="00575347">
      <w:pPr>
        <w:pStyle w:val="ListParagraph"/>
        <w:numPr>
          <w:ilvl w:val="0"/>
          <w:numId w:val="66"/>
        </w:numPr>
        <w:tabs>
          <w:tab w:val="left" w:pos="993"/>
        </w:tabs>
        <w:ind w:left="709"/>
        <w:jc w:val="both"/>
        <w:rPr>
          <w:rFonts w:ascii="Verdana" w:hAnsi="Verdana"/>
        </w:rPr>
      </w:pPr>
      <w:r>
        <w:rPr>
          <w:rFonts w:ascii="Verdana" w:hAnsi="Verdana"/>
        </w:rPr>
        <w:t xml:space="preserve">Rørepinde til drikkevarer; </w:t>
      </w:r>
    </w:p>
    <w:p w14:paraId="37F9C66D" w14:textId="77777777" w:rsidR="007879A9" w:rsidRPr="003F6B93" w:rsidRDefault="006418B1" w:rsidP="00575347">
      <w:pPr>
        <w:pStyle w:val="ListParagraph"/>
        <w:numPr>
          <w:ilvl w:val="0"/>
          <w:numId w:val="66"/>
        </w:numPr>
        <w:tabs>
          <w:tab w:val="left" w:pos="993"/>
        </w:tabs>
        <w:ind w:left="709"/>
        <w:jc w:val="both"/>
        <w:rPr>
          <w:rFonts w:ascii="Verdana" w:hAnsi="Verdana"/>
        </w:rPr>
      </w:pPr>
      <w:r>
        <w:rPr>
          <w:rFonts w:ascii="Verdana" w:hAnsi="Verdana"/>
        </w:rPr>
        <w:t>Pinde bestemt til at blive fastgjort til og understøtte balloner, undtagen balloner til industriel eller anden erhvervsmæssig anvendelse samt anvendelser, der ikke distribueres til forbrugere, herunder mekanismerne til sådanne pinde;</w:t>
      </w:r>
    </w:p>
    <w:p w14:paraId="3BD5CD2C" w14:textId="77777777" w:rsidR="00502353" w:rsidRPr="003F6B93" w:rsidRDefault="00F957CC" w:rsidP="00575347">
      <w:pPr>
        <w:pStyle w:val="ListParagraph"/>
        <w:numPr>
          <w:ilvl w:val="0"/>
          <w:numId w:val="66"/>
        </w:numPr>
        <w:tabs>
          <w:tab w:val="left" w:pos="993"/>
        </w:tabs>
        <w:ind w:left="709"/>
        <w:jc w:val="both"/>
        <w:rPr>
          <w:rFonts w:ascii="Verdana" w:hAnsi="Verdana"/>
        </w:rPr>
      </w:pPr>
      <w:r>
        <w:rPr>
          <w:rFonts w:ascii="Verdana" w:hAnsi="Verdana"/>
        </w:rPr>
        <w:t xml:space="preserve">Fødevarebeholdere af ekspanderet polystyren, dvs. beholdere såsom æsker, med eller uden låg, til fødevarer, som: </w:t>
      </w:r>
    </w:p>
    <w:p w14:paraId="134BCB71" w14:textId="66E95134" w:rsidR="00FD6DE7" w:rsidRPr="003F6B93" w:rsidRDefault="00F957CC" w:rsidP="00575347">
      <w:pPr>
        <w:pStyle w:val="ListParagraph"/>
        <w:numPr>
          <w:ilvl w:val="0"/>
          <w:numId w:val="68"/>
        </w:numPr>
        <w:spacing w:line="240" w:lineRule="auto"/>
        <w:rPr>
          <w:rFonts w:ascii="Verdana" w:hAnsi="Verdana"/>
        </w:rPr>
      </w:pPr>
      <w:r>
        <w:rPr>
          <w:rFonts w:ascii="Verdana" w:hAnsi="Verdana"/>
        </w:rPr>
        <w:t xml:space="preserve">er beregnet til umiddelbar fortæring enten på salgsstedet eller som takeaway, </w:t>
      </w:r>
    </w:p>
    <w:p w14:paraId="6CE4B79B" w14:textId="1FDD2417" w:rsidR="00FD6DE7" w:rsidRPr="003F6B93" w:rsidRDefault="00F957CC" w:rsidP="00575347">
      <w:pPr>
        <w:pStyle w:val="ListParagraph"/>
        <w:numPr>
          <w:ilvl w:val="0"/>
          <w:numId w:val="68"/>
        </w:numPr>
        <w:spacing w:line="240" w:lineRule="auto"/>
        <w:rPr>
          <w:rFonts w:ascii="Verdana" w:hAnsi="Verdana"/>
        </w:rPr>
      </w:pPr>
      <w:r>
        <w:rPr>
          <w:rFonts w:ascii="Verdana" w:hAnsi="Verdana"/>
        </w:rPr>
        <w:t xml:space="preserve">Typisk fortæres fra beholderen, og </w:t>
      </w:r>
    </w:p>
    <w:p w14:paraId="3B4977B3" w14:textId="01BE44ED" w:rsidR="00FD6DE7" w:rsidRPr="003F6B93" w:rsidRDefault="00F957CC" w:rsidP="00575347">
      <w:pPr>
        <w:pStyle w:val="ListParagraph"/>
        <w:numPr>
          <w:ilvl w:val="0"/>
          <w:numId w:val="68"/>
        </w:numPr>
        <w:spacing w:line="240" w:lineRule="auto"/>
        <w:rPr>
          <w:rFonts w:ascii="Verdana" w:hAnsi="Verdana"/>
        </w:rPr>
      </w:pPr>
      <w:r>
        <w:rPr>
          <w:rFonts w:ascii="Verdana" w:hAnsi="Verdana"/>
        </w:rPr>
        <w:t xml:space="preserve">er klar til at blive fortæret uden yderligere tilberedning såsom stegning, kogning eller opvarmning, </w:t>
      </w:r>
    </w:p>
    <w:p w14:paraId="574EB5F8" w14:textId="0C81E672" w:rsidR="00502353" w:rsidRPr="003F6B93" w:rsidRDefault="00F957CC" w:rsidP="00575347">
      <w:pPr>
        <w:pStyle w:val="ListParagraph"/>
        <w:tabs>
          <w:tab w:val="left" w:pos="993"/>
        </w:tabs>
        <w:ind w:left="709"/>
        <w:jc w:val="both"/>
        <w:rPr>
          <w:rFonts w:ascii="Verdana" w:hAnsi="Verdana"/>
        </w:rPr>
      </w:pPr>
      <w:r>
        <w:rPr>
          <w:rFonts w:ascii="Verdana" w:hAnsi="Verdana"/>
        </w:rPr>
        <w:t xml:space="preserve">herunder fødevarebeholdere, der anvendes til fastfood, eller andre måltider, som er klar til umiddelbar fortæring, undtagen drikkevarebeholdere, tallerkener og indpakningsposer og -folier indeholdende fødevarer; </w:t>
      </w:r>
    </w:p>
    <w:p w14:paraId="391C3ED9" w14:textId="77777777" w:rsidR="00502353" w:rsidRPr="003F6B93" w:rsidRDefault="00F957CC" w:rsidP="00575347">
      <w:pPr>
        <w:pStyle w:val="ListParagraph"/>
        <w:numPr>
          <w:ilvl w:val="0"/>
          <w:numId w:val="66"/>
        </w:numPr>
        <w:tabs>
          <w:tab w:val="left" w:pos="993"/>
        </w:tabs>
        <w:ind w:left="709"/>
        <w:jc w:val="both"/>
        <w:rPr>
          <w:rFonts w:ascii="Verdana" w:hAnsi="Verdana"/>
        </w:rPr>
      </w:pPr>
      <w:r>
        <w:rPr>
          <w:rFonts w:ascii="Verdana" w:hAnsi="Verdana"/>
        </w:rPr>
        <w:t xml:space="preserve">Drikkevarebeholdere af ekspanderet polystyren, herunder kapsler og låg til disse; </w:t>
      </w:r>
    </w:p>
    <w:p w14:paraId="11679328" w14:textId="356AA442" w:rsidR="00F957CC" w:rsidRPr="003F6B93" w:rsidRDefault="00F957CC" w:rsidP="00575347">
      <w:pPr>
        <w:pStyle w:val="ListParagraph"/>
        <w:numPr>
          <w:ilvl w:val="0"/>
          <w:numId w:val="66"/>
        </w:numPr>
        <w:tabs>
          <w:tab w:val="left" w:pos="993"/>
        </w:tabs>
        <w:ind w:left="709"/>
        <w:jc w:val="both"/>
        <w:rPr>
          <w:rFonts w:ascii="Verdana" w:hAnsi="Verdana"/>
        </w:rPr>
      </w:pPr>
      <w:r>
        <w:rPr>
          <w:rFonts w:ascii="Verdana" w:hAnsi="Verdana"/>
        </w:rPr>
        <w:lastRenderedPageBreak/>
        <w:t>Drikkebægre af ekspanderet polystyren, herunder kapsler og låg til disse;</w:t>
      </w:r>
    </w:p>
    <w:p w14:paraId="58289D5C" w14:textId="77777777"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t xml:space="preserve">Drikkevarebeholdere med en kapacitet på op til tre liter, dvs. beholdere, der bruges til at indeholde væske, såsom flasker til drikkevarer, herunder kapsler og låg, og kompositemballage til drikkevarer, herunder kapsler og låg, men ikke: </w:t>
      </w:r>
    </w:p>
    <w:p w14:paraId="42BC013C" w14:textId="11D5E5C8" w:rsidR="00FD6DE7" w:rsidRPr="003F6B93" w:rsidRDefault="00FD6DE7" w:rsidP="00575347">
      <w:pPr>
        <w:pStyle w:val="ListParagraph"/>
        <w:numPr>
          <w:ilvl w:val="0"/>
          <w:numId w:val="69"/>
        </w:numPr>
        <w:spacing w:line="240" w:lineRule="auto"/>
        <w:rPr>
          <w:rFonts w:ascii="Verdana" w:hAnsi="Verdana"/>
        </w:rPr>
      </w:pPr>
      <w:r>
        <w:rPr>
          <w:rFonts w:ascii="Verdana" w:hAnsi="Verdana"/>
        </w:rPr>
        <w:t xml:space="preserve">beholdere af glas eller metal til drikkevarer med kapsler og låg af plast; </w:t>
      </w:r>
    </w:p>
    <w:p w14:paraId="6E7263C6" w14:textId="6B820680" w:rsidR="00FD6DE7" w:rsidRPr="003F6B93" w:rsidRDefault="00FD6DE7" w:rsidP="00575347">
      <w:pPr>
        <w:pStyle w:val="ListParagraph"/>
        <w:numPr>
          <w:ilvl w:val="0"/>
          <w:numId w:val="69"/>
        </w:numPr>
        <w:spacing w:line="240" w:lineRule="auto"/>
        <w:rPr>
          <w:rFonts w:ascii="Verdana" w:hAnsi="Verdana"/>
        </w:rPr>
      </w:pPr>
      <w:r>
        <w:rPr>
          <w:rFonts w:ascii="Verdana" w:hAnsi="Verdana"/>
        </w:rPr>
        <w:t>drikkevarebeholdere, der er bestemt til og anvendes til fødevarer i flydende form til særlige medicinske formål som defineret i artikel 2, litra g), i Europa-Parlamentets og Rådets forordning (EU) nr. 609/2013 (3).</w:t>
      </w:r>
    </w:p>
    <w:p w14:paraId="70363A60" w14:textId="77777777"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t xml:space="preserve">Hygiejnebind, tamponer og tamponapplikatorer; </w:t>
      </w:r>
    </w:p>
    <w:p w14:paraId="4FE8461D" w14:textId="77777777"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t xml:space="preserve">Vådservietter, dvs. forvædede servietter til personlig pleje og husholdningsbrug; </w:t>
      </w:r>
    </w:p>
    <w:p w14:paraId="027317AB" w14:textId="77777777"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t xml:space="preserve">Tobaksprodukter med filtre og filtre, der markedsføres med henblik på anvendelse i kombination med tobaksvarer; </w:t>
      </w:r>
    </w:p>
    <w:p w14:paraId="45459176" w14:textId="2227CC27"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t>Pakker og indpakninger fremstillet af fleksibelt materiale, der indeholder fødevarer, som er bestemt til umiddelbar indtagelse fra pakningen eller indpakningen uden yderligere tilberedning;</w:t>
      </w:r>
    </w:p>
    <w:p w14:paraId="6BCFB3EE" w14:textId="7C3E78E1"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t>Letvægtsplastbæreposer;</w:t>
      </w:r>
    </w:p>
    <w:p w14:paraId="289B47C5" w14:textId="50B62608"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t>Balloner, undtagen balloner til industriel eller anden erhvervsmæssig brug og applikationer, der ikke distribueres til forbrugerne.</w:t>
      </w:r>
    </w:p>
    <w:bookmarkEnd w:id="0"/>
    <w:p w14:paraId="199D7A21" w14:textId="77777777" w:rsidR="00092BC2" w:rsidRPr="00B73AFF" w:rsidRDefault="00092BC2" w:rsidP="00092BC2">
      <w:pPr>
        <w:rPr>
          <w:rFonts w:ascii="Verdana" w:hAnsi="Verdana"/>
        </w:rPr>
      </w:pPr>
    </w:p>
    <w:sectPr w:rsidR="00092BC2" w:rsidRPr="00B73AF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AA4E6" w14:textId="77777777" w:rsidR="005157EE" w:rsidRDefault="005157EE" w:rsidP="007879A9">
      <w:pPr>
        <w:spacing w:after="0" w:line="240" w:lineRule="auto"/>
      </w:pPr>
      <w:r>
        <w:separator/>
      </w:r>
    </w:p>
  </w:endnote>
  <w:endnote w:type="continuationSeparator" w:id="0">
    <w:p w14:paraId="6E959FBA" w14:textId="77777777" w:rsidR="005157EE" w:rsidRDefault="005157EE" w:rsidP="00787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EU 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5C216" w14:textId="77777777" w:rsidR="00D4270E" w:rsidRDefault="00D42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105A1" w14:textId="66925990" w:rsidR="00D4270E" w:rsidRDefault="00D4270E">
    <w:pPr>
      <w:pStyle w:val="Footer"/>
    </w:pPr>
    <w:r>
      <w:t xml:space="preserve">Version </w:t>
    </w:r>
    <w:r>
      <w:t>15.03.2021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84A1F" w14:textId="77777777" w:rsidR="00D4270E" w:rsidRDefault="00D42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6B83F" w14:textId="77777777" w:rsidR="005157EE" w:rsidRDefault="005157EE" w:rsidP="007879A9">
      <w:pPr>
        <w:spacing w:after="0" w:line="240" w:lineRule="auto"/>
      </w:pPr>
      <w:r>
        <w:separator/>
      </w:r>
    </w:p>
  </w:footnote>
  <w:footnote w:type="continuationSeparator" w:id="0">
    <w:p w14:paraId="1F5356D4" w14:textId="77777777" w:rsidR="005157EE" w:rsidRDefault="005157EE" w:rsidP="00787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7344D" w14:textId="77777777" w:rsidR="00D4270E" w:rsidRDefault="00D427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90618" w14:textId="203BD1E5" w:rsidR="00D4270E" w:rsidRPr="00C82E2D" w:rsidRDefault="00D4270E" w:rsidP="00C82E2D">
    <w:pPr>
      <w:tabs>
        <w:tab w:val="right" w:pos="7655"/>
      </w:tabs>
      <w:spacing w:after="360"/>
      <w:ind w:firstLine="993"/>
      <w:jc w:val="center"/>
      <w:rPr>
        <w:rFonts w:ascii="Palatino" w:eastAsia="Times New Roman" w:hAnsi="Palatino" w:cs="Times New Roman"/>
        <w:sz w:val="32"/>
        <w:szCs w:val="32"/>
      </w:rPr>
    </w:pPr>
    <w:r>
      <w:rPr>
        <w:rFonts w:ascii="Times New Roman" w:hAnsi="Times New Roman"/>
        <w:noProof/>
        <w:sz w:val="24"/>
      </w:rPr>
      <w:drawing>
        <wp:inline distT="0" distB="0" distL="0" distR="0" wp14:anchorId="1210180C" wp14:editId="0E774AB8">
          <wp:extent cx="409575" cy="409575"/>
          <wp:effectExtent l="0" t="0" r="9525" b="9525"/>
          <wp:docPr id="1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14:paraId="34BB9339" w14:textId="77777777" w:rsidR="00D4270E" w:rsidRPr="00C82E2D" w:rsidRDefault="00D4270E" w:rsidP="00C82E2D">
    <w:pPr>
      <w:tabs>
        <w:tab w:val="right" w:pos="7655"/>
      </w:tabs>
      <w:spacing w:after="360" w:line="240" w:lineRule="auto"/>
      <w:ind w:firstLine="993"/>
      <w:jc w:val="both"/>
      <w:rPr>
        <w:rFonts w:ascii="Palatino" w:eastAsia="Times New Roman" w:hAnsi="Palatino" w:cs="Times New Roman"/>
        <w:sz w:val="32"/>
        <w:szCs w:val="32"/>
      </w:rPr>
    </w:pPr>
    <w:r>
      <w:rPr>
        <w:rFonts w:ascii="Palatino" w:hAnsi="Palatino"/>
        <w:sz w:val="32"/>
      </w:rPr>
      <w:t xml:space="preserve"> </w:t>
    </w:r>
    <w:r>
      <w:rPr>
        <w:rFonts w:ascii="Palatino" w:hAnsi="Palatino"/>
        <w:sz w:val="32"/>
      </w:rPr>
      <w:t>Minister for</w:t>
    </w:r>
    <w:r>
      <w:rPr>
        <w:rFonts w:ascii="Times New Roman" w:hAnsi="Times New Roman"/>
        <w:sz w:val="32"/>
        <w:u w:val="dotted"/>
      </w:rPr>
      <w:tab/>
    </w:r>
  </w:p>
  <w:p w14:paraId="1B0BB6A5" w14:textId="77777777" w:rsidR="00D4270E" w:rsidRPr="00C82E2D" w:rsidRDefault="00D4270E" w:rsidP="00C82E2D">
    <w:pPr>
      <w:tabs>
        <w:tab w:val="center" w:pos="4252"/>
        <w:tab w:val="left" w:pos="6210"/>
      </w:tabs>
      <w:spacing w:before="120" w:after="120" w:line="240" w:lineRule="auto"/>
      <w:rPr>
        <w:rFonts w:ascii="Cambria" w:eastAsia="Times New Roman" w:hAnsi="Cambria" w:cs="Times New Roman"/>
        <w:sz w:val="32"/>
        <w:szCs w:val="32"/>
      </w:rPr>
    </w:pPr>
    <w:r>
      <w:rPr>
        <w:rFonts w:ascii="Times New Roman" w:hAnsi="Times New Roman"/>
        <w:sz w:val="32"/>
      </w:rPr>
      <w:tab/>
    </w:r>
    <w:r w:rsidR="005157EE">
      <w:rPr>
        <w:rFonts w:ascii="Cambria" w:hAnsi="Cambria"/>
      </w:rPr>
      <w:pict w14:anchorId="6C2C0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5pt;height:16.1pt">
          <v:imagedata r:id="rId2" o:title=""/>
        </v:shape>
      </w:pict>
    </w:r>
    <w:r>
      <w:rPr>
        <w:rFonts w:ascii="Times New Roman" w:hAnsi="Times New Roman"/>
        <w:sz w:val="32"/>
      </w:rPr>
      <w:tab/>
    </w:r>
  </w:p>
  <w:p w14:paraId="2B6A8F9D" w14:textId="77777777" w:rsidR="00D4270E" w:rsidRPr="00C82E2D" w:rsidRDefault="00D4270E" w:rsidP="00C82E2D">
    <w:pPr>
      <w:tabs>
        <w:tab w:val="left" w:pos="4678"/>
        <w:tab w:val="left" w:pos="6237"/>
      </w:tabs>
      <w:spacing w:after="0" w:line="240" w:lineRule="auto"/>
      <w:ind w:firstLine="2410"/>
      <w:jc w:val="both"/>
      <w:rPr>
        <w:rFonts w:ascii="Palatino" w:eastAsia="Times New Roman" w:hAnsi="Palatino" w:cs="Times New Roman"/>
        <w:sz w:val="24"/>
        <w:szCs w:val="24"/>
        <w:lang w:eastAsia="pt-PT"/>
      </w:rPr>
    </w:pPr>
  </w:p>
  <w:p w14:paraId="3214524D" w14:textId="77777777" w:rsidR="00D4270E" w:rsidRPr="00C82E2D" w:rsidRDefault="00D4270E" w:rsidP="00C82E2D">
    <w:pPr>
      <w:tabs>
        <w:tab w:val="left" w:pos="4678"/>
        <w:tab w:val="left" w:pos="6237"/>
      </w:tabs>
      <w:spacing w:after="0" w:line="240" w:lineRule="auto"/>
      <w:ind w:firstLine="2410"/>
      <w:jc w:val="both"/>
      <w:rPr>
        <w:rFonts w:ascii="Cambria" w:eastAsia="Times New Roman" w:hAnsi="Cambria" w:cs="Times New Roman"/>
        <w:sz w:val="32"/>
        <w:szCs w:val="32"/>
      </w:rPr>
    </w:pPr>
    <w:r>
      <w:rPr>
        <w:rFonts w:ascii="Palatino" w:hAnsi="Palatino"/>
        <w:sz w:val="24"/>
      </w:rPr>
      <w:t xml:space="preserve">Dekret </w:t>
    </w:r>
    <w:r>
      <w:rPr>
        <w:rFonts w:ascii="Times New Roman" w:hAnsi="Times New Roman"/>
        <w:sz w:val="32"/>
        <w:u w:val="dotted"/>
        <w:vertAlign w:val="subscript"/>
      </w:rPr>
      <w:tab/>
    </w:r>
    <w:r>
      <w:rPr>
        <w:rFonts w:ascii="Palatino" w:hAnsi="Palatino"/>
        <w:sz w:val="24"/>
      </w:rPr>
      <w:t xml:space="preserve"> nr.</w:t>
    </w:r>
    <w:r>
      <w:rPr>
        <w:rFonts w:ascii="Arial" w:hAnsi="Arial"/>
        <w:sz w:val="32"/>
      </w:rPr>
      <w:t xml:space="preserve"> </w:t>
    </w:r>
    <w:r>
      <w:rPr>
        <w:rFonts w:ascii="Times New Roman" w:hAnsi="Times New Roman"/>
        <w:sz w:val="32"/>
        <w:u w:val="dotted"/>
        <w:vertAlign w:val="subscript"/>
      </w:rPr>
      <w:tab/>
    </w:r>
  </w:p>
  <w:p w14:paraId="66BF1573" w14:textId="50A62CC3" w:rsidR="00D4270E" w:rsidRDefault="00D4270E" w:rsidP="007879A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F8E7A" w14:textId="77777777" w:rsidR="00D4270E" w:rsidRDefault="00D42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A04A7"/>
    <w:multiLevelType w:val="hybridMultilevel"/>
    <w:tmpl w:val="41CA431A"/>
    <w:lvl w:ilvl="0" w:tplc="2B4682E0">
      <w:start w:val="1"/>
      <w:numFmt w:val="decimal"/>
      <w:lvlText w:val="%1 -"/>
      <w:lvlJc w:val="left"/>
      <w:pPr>
        <w:ind w:left="720" w:hanging="360"/>
      </w:pPr>
      <w:rPr>
        <w:rFonts w:hint="default"/>
      </w:rPr>
    </w:lvl>
    <w:lvl w:ilvl="1" w:tplc="4774ADE4">
      <w:start w:val="1"/>
      <w:numFmt w:val="lowerLetter"/>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2232881"/>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4183190"/>
    <w:multiLevelType w:val="hybridMultilevel"/>
    <w:tmpl w:val="D8A833BC"/>
    <w:lvl w:ilvl="0" w:tplc="1348FCFE">
      <w:start w:val="1"/>
      <w:numFmt w:val="lowerLetter"/>
      <w:lvlText w:val="%1)"/>
      <w:lvlJc w:val="left"/>
      <w:pPr>
        <w:ind w:left="720" w:hanging="360"/>
      </w:pPr>
      <w:rPr>
        <w:rFonts w:hint="default"/>
        <w:i/>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2B4682E0">
      <w:start w:val="1"/>
      <w:numFmt w:val="decimal"/>
      <w:lvlText w:val="%4 -"/>
      <w:lvlJc w:val="left"/>
      <w:pPr>
        <w:ind w:left="928" w:hanging="360"/>
      </w:pPr>
      <w:rPr>
        <w:rFonts w:hint="default"/>
      </w:r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 w15:restartNumberingAfterBreak="0">
    <w:nsid w:val="08F84C74"/>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9693BF9"/>
    <w:multiLevelType w:val="multilevel"/>
    <w:tmpl w:val="CD70D7A0"/>
    <w:lvl w:ilvl="0">
      <w:start w:val="1"/>
      <w:numFmt w:val="decimal"/>
      <w:pStyle w:val="Chapitre"/>
      <w:suff w:val="nothing"/>
      <w:lvlText w:val="Chapitre %1"/>
      <w:lvlJc w:val="left"/>
      <w:pPr>
        <w:ind w:left="360" w:hanging="360"/>
      </w:pPr>
      <w:rPr>
        <w:rFonts w:ascii="Verdana" w:hAnsi="Verdana" w:hint="default"/>
        <w:b/>
        <w:i w:val="0"/>
        <w:sz w:val="20"/>
      </w:rPr>
    </w:lvl>
    <w:lvl w:ilvl="1">
      <w:start w:val="1"/>
      <w:numFmt w:val="decimal"/>
      <w:pStyle w:val="Section"/>
      <w:suff w:val="nothing"/>
      <w:lvlText w:val="Section %2"/>
      <w:lvlJc w:val="left"/>
      <w:pPr>
        <w:ind w:left="3970" w:firstLine="0"/>
      </w:pPr>
      <w:rPr>
        <w:rFonts w:ascii="Verdana" w:hAnsi="Verdana" w:hint="default"/>
        <w:b/>
        <w:i w:val="0"/>
        <w:sz w:val="20"/>
      </w:rPr>
    </w:lvl>
    <w:lvl w:ilvl="2">
      <w:start w:val="1"/>
      <w:numFmt w:val="decimal"/>
      <w:pStyle w:val="Sous-section"/>
      <w:suff w:val="nothing"/>
      <w:lvlText w:val="Sous-section %3"/>
      <w:lvlJc w:val="left"/>
      <w:pPr>
        <w:ind w:left="0" w:firstLine="0"/>
      </w:pPr>
      <w:rPr>
        <w:rFonts w:ascii="Verdana" w:hAnsi="Verdana" w:hint="default"/>
        <w:b/>
        <w:i w:val="0"/>
        <w:sz w:val="20"/>
      </w:rPr>
    </w:lvl>
    <w:lvl w:ilvl="3">
      <w:start w:val="1"/>
      <w:numFmt w:val="decimal"/>
      <w:lvlRestart w:val="0"/>
      <w:pStyle w:val="Article"/>
      <w:suff w:val="nothing"/>
      <w:lvlText w:val="Art. %4"/>
      <w:lvlJc w:val="left"/>
      <w:pPr>
        <w:ind w:left="494" w:firstLine="357"/>
      </w:pPr>
      <w:rPr>
        <w:rFonts w:ascii="Verdana" w:hAnsi="Verdana" w:hint="default"/>
        <w:b/>
        <w:i w:val="0"/>
        <w:sz w:val="20"/>
      </w:rPr>
    </w:lvl>
    <w:lvl w:ilvl="4">
      <w:start w:val="1"/>
      <w:numFmt w:val="decimal"/>
      <w:pStyle w:val="Liste1"/>
      <w:suff w:val="space"/>
      <w:lvlText w:val="(%5)"/>
      <w:lvlJc w:val="left"/>
      <w:pPr>
        <w:ind w:left="0" w:firstLine="357"/>
      </w:pPr>
      <w:rPr>
        <w:rFonts w:ascii="Verdana" w:hAnsi="Verdana" w:hint="default"/>
        <w:sz w:val="20"/>
      </w:rPr>
    </w:lvl>
    <w:lvl w:ilvl="5">
      <w:start w:val="1"/>
      <w:numFmt w:val="decimal"/>
      <w:pStyle w:val="Liste10"/>
      <w:suff w:val="space"/>
      <w:lvlText w:val="%6."/>
      <w:lvlJc w:val="left"/>
      <w:pPr>
        <w:ind w:left="964" w:hanging="255"/>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pStyle w:val="Listea"/>
      <w:lvlText w:val="%7)"/>
      <w:lvlJc w:val="left"/>
      <w:pPr>
        <w:ind w:left="1276" w:hanging="255"/>
      </w:pPr>
    </w:lvl>
    <w:lvl w:ilvl="7">
      <w:start w:val="1"/>
      <w:numFmt w:val="decimal"/>
      <w:pStyle w:val="Numerotation1"/>
      <w:lvlText w:val="%8."/>
      <w:lvlJc w:val="left"/>
      <w:pPr>
        <w:ind w:left="726" w:hanging="369"/>
      </w:pPr>
      <w:rPr>
        <w:rFonts w:ascii="Verdana" w:hAnsi="Verdana" w:hint="default"/>
        <w:sz w:val="20"/>
      </w:rPr>
    </w:lvl>
    <w:lvl w:ilvl="8">
      <w:start w:val="1"/>
      <w:numFmt w:val="lowerLetter"/>
      <w:pStyle w:val="Numerotationa"/>
      <w:lvlText w:val="%9)"/>
      <w:lvlJc w:val="left"/>
      <w:pPr>
        <w:tabs>
          <w:tab w:val="num" w:pos="1219"/>
        </w:tabs>
        <w:ind w:left="1219" w:hanging="368"/>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5" w15:restartNumberingAfterBreak="0">
    <w:nsid w:val="0AC00B75"/>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0EBD274A"/>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0F514703"/>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0FE15EFC"/>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0FE31CC5"/>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15E812E6"/>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16C66415"/>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17F54B4B"/>
    <w:multiLevelType w:val="hybridMultilevel"/>
    <w:tmpl w:val="894CA528"/>
    <w:lvl w:ilvl="0" w:tplc="2B4682E0">
      <w:start w:val="1"/>
      <w:numFmt w:val="decimal"/>
      <w:lvlText w:val="%1 -"/>
      <w:lvlJc w:val="left"/>
      <w:pPr>
        <w:ind w:left="2880" w:hanging="360"/>
      </w:pPr>
      <w:rPr>
        <w:rFonts w:hint="default"/>
      </w:rPr>
    </w:lvl>
    <w:lvl w:ilvl="1" w:tplc="08160019" w:tentative="1">
      <w:start w:val="1"/>
      <w:numFmt w:val="lowerLetter"/>
      <w:lvlText w:val="%2."/>
      <w:lvlJc w:val="left"/>
      <w:pPr>
        <w:ind w:left="3392" w:hanging="360"/>
      </w:pPr>
    </w:lvl>
    <w:lvl w:ilvl="2" w:tplc="0816001B" w:tentative="1">
      <w:start w:val="1"/>
      <w:numFmt w:val="lowerRoman"/>
      <w:lvlText w:val="%3."/>
      <w:lvlJc w:val="right"/>
      <w:pPr>
        <w:ind w:left="4112" w:hanging="180"/>
      </w:pPr>
    </w:lvl>
    <w:lvl w:ilvl="3" w:tplc="0816000F" w:tentative="1">
      <w:start w:val="1"/>
      <w:numFmt w:val="decimal"/>
      <w:lvlText w:val="%4."/>
      <w:lvlJc w:val="left"/>
      <w:pPr>
        <w:ind w:left="4832" w:hanging="360"/>
      </w:pPr>
    </w:lvl>
    <w:lvl w:ilvl="4" w:tplc="08160019" w:tentative="1">
      <w:start w:val="1"/>
      <w:numFmt w:val="lowerLetter"/>
      <w:lvlText w:val="%5."/>
      <w:lvlJc w:val="left"/>
      <w:pPr>
        <w:ind w:left="5552" w:hanging="360"/>
      </w:pPr>
    </w:lvl>
    <w:lvl w:ilvl="5" w:tplc="0816001B" w:tentative="1">
      <w:start w:val="1"/>
      <w:numFmt w:val="lowerRoman"/>
      <w:lvlText w:val="%6."/>
      <w:lvlJc w:val="right"/>
      <w:pPr>
        <w:ind w:left="6272" w:hanging="180"/>
      </w:pPr>
    </w:lvl>
    <w:lvl w:ilvl="6" w:tplc="0816000F" w:tentative="1">
      <w:start w:val="1"/>
      <w:numFmt w:val="decimal"/>
      <w:lvlText w:val="%7."/>
      <w:lvlJc w:val="left"/>
      <w:pPr>
        <w:ind w:left="6992" w:hanging="360"/>
      </w:pPr>
    </w:lvl>
    <w:lvl w:ilvl="7" w:tplc="08160019" w:tentative="1">
      <w:start w:val="1"/>
      <w:numFmt w:val="lowerLetter"/>
      <w:lvlText w:val="%8."/>
      <w:lvlJc w:val="left"/>
      <w:pPr>
        <w:ind w:left="7712" w:hanging="360"/>
      </w:pPr>
    </w:lvl>
    <w:lvl w:ilvl="8" w:tplc="0816001B" w:tentative="1">
      <w:start w:val="1"/>
      <w:numFmt w:val="lowerRoman"/>
      <w:lvlText w:val="%9."/>
      <w:lvlJc w:val="right"/>
      <w:pPr>
        <w:ind w:left="8432" w:hanging="180"/>
      </w:pPr>
    </w:lvl>
  </w:abstractNum>
  <w:abstractNum w:abstractNumId="13" w15:restartNumberingAfterBreak="0">
    <w:nsid w:val="1AF86172"/>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930894"/>
    <w:multiLevelType w:val="hybridMultilevel"/>
    <w:tmpl w:val="E7D096DE"/>
    <w:lvl w:ilvl="0" w:tplc="2B4682E0">
      <w:start w:val="1"/>
      <w:numFmt w:val="decimal"/>
      <w:lvlText w:val="%1 -"/>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5" w15:restartNumberingAfterBreak="0">
    <w:nsid w:val="1F0125F7"/>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21171F0D"/>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23B33B48"/>
    <w:multiLevelType w:val="hybridMultilevel"/>
    <w:tmpl w:val="894CA528"/>
    <w:lvl w:ilvl="0" w:tplc="2B4682E0">
      <w:start w:val="1"/>
      <w:numFmt w:val="decimal"/>
      <w:lvlText w:val="%1 -"/>
      <w:lvlJc w:val="left"/>
      <w:pPr>
        <w:ind w:left="2880" w:hanging="360"/>
      </w:pPr>
      <w:rPr>
        <w:rFonts w:hint="default"/>
      </w:rPr>
    </w:lvl>
    <w:lvl w:ilvl="1" w:tplc="08160019" w:tentative="1">
      <w:start w:val="1"/>
      <w:numFmt w:val="lowerLetter"/>
      <w:lvlText w:val="%2."/>
      <w:lvlJc w:val="left"/>
      <w:pPr>
        <w:ind w:left="3392" w:hanging="360"/>
      </w:pPr>
    </w:lvl>
    <w:lvl w:ilvl="2" w:tplc="0816001B" w:tentative="1">
      <w:start w:val="1"/>
      <w:numFmt w:val="lowerRoman"/>
      <w:lvlText w:val="%3."/>
      <w:lvlJc w:val="right"/>
      <w:pPr>
        <w:ind w:left="4112" w:hanging="180"/>
      </w:pPr>
    </w:lvl>
    <w:lvl w:ilvl="3" w:tplc="0816000F" w:tentative="1">
      <w:start w:val="1"/>
      <w:numFmt w:val="decimal"/>
      <w:lvlText w:val="%4."/>
      <w:lvlJc w:val="left"/>
      <w:pPr>
        <w:ind w:left="4832" w:hanging="360"/>
      </w:pPr>
    </w:lvl>
    <w:lvl w:ilvl="4" w:tplc="08160019" w:tentative="1">
      <w:start w:val="1"/>
      <w:numFmt w:val="lowerLetter"/>
      <w:lvlText w:val="%5."/>
      <w:lvlJc w:val="left"/>
      <w:pPr>
        <w:ind w:left="5552" w:hanging="360"/>
      </w:pPr>
    </w:lvl>
    <w:lvl w:ilvl="5" w:tplc="0816001B" w:tentative="1">
      <w:start w:val="1"/>
      <w:numFmt w:val="lowerRoman"/>
      <w:lvlText w:val="%6."/>
      <w:lvlJc w:val="right"/>
      <w:pPr>
        <w:ind w:left="6272" w:hanging="180"/>
      </w:pPr>
    </w:lvl>
    <w:lvl w:ilvl="6" w:tplc="0816000F" w:tentative="1">
      <w:start w:val="1"/>
      <w:numFmt w:val="decimal"/>
      <w:lvlText w:val="%7."/>
      <w:lvlJc w:val="left"/>
      <w:pPr>
        <w:ind w:left="6992" w:hanging="360"/>
      </w:pPr>
    </w:lvl>
    <w:lvl w:ilvl="7" w:tplc="08160019" w:tentative="1">
      <w:start w:val="1"/>
      <w:numFmt w:val="lowerLetter"/>
      <w:lvlText w:val="%8."/>
      <w:lvlJc w:val="left"/>
      <w:pPr>
        <w:ind w:left="7712" w:hanging="360"/>
      </w:pPr>
    </w:lvl>
    <w:lvl w:ilvl="8" w:tplc="0816001B" w:tentative="1">
      <w:start w:val="1"/>
      <w:numFmt w:val="lowerRoman"/>
      <w:lvlText w:val="%9."/>
      <w:lvlJc w:val="right"/>
      <w:pPr>
        <w:ind w:left="8432" w:hanging="180"/>
      </w:pPr>
    </w:lvl>
  </w:abstractNum>
  <w:abstractNum w:abstractNumId="18" w15:restartNumberingAfterBreak="0">
    <w:nsid w:val="28E20FF0"/>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30B25800"/>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31C05378"/>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33CA0EB8"/>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355650C8"/>
    <w:multiLevelType w:val="hybridMultilevel"/>
    <w:tmpl w:val="41CA431A"/>
    <w:lvl w:ilvl="0" w:tplc="2B4682E0">
      <w:start w:val="1"/>
      <w:numFmt w:val="decimal"/>
      <w:lvlText w:val="%1 -"/>
      <w:lvlJc w:val="left"/>
      <w:pPr>
        <w:ind w:left="720" w:hanging="360"/>
      </w:pPr>
      <w:rPr>
        <w:rFonts w:hint="default"/>
      </w:rPr>
    </w:lvl>
    <w:lvl w:ilvl="1" w:tplc="4774ADE4">
      <w:start w:val="1"/>
      <w:numFmt w:val="lowerLetter"/>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362A1B50"/>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3697716C"/>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79E73B2"/>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393C7C6A"/>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3DBA4468"/>
    <w:multiLevelType w:val="hybridMultilevel"/>
    <w:tmpl w:val="16761180"/>
    <w:lvl w:ilvl="0" w:tplc="4774ADE4">
      <w:start w:val="1"/>
      <w:numFmt w:val="lowerLetter"/>
      <w:lvlText w:val="%1)"/>
      <w:lvlJc w:val="left"/>
      <w:pPr>
        <w:ind w:left="1428" w:hanging="360"/>
      </w:pPr>
      <w:rPr>
        <w:rFonts w:hint="default"/>
      </w:rPr>
    </w:lvl>
    <w:lvl w:ilvl="1" w:tplc="08160017">
      <w:start w:val="1"/>
      <w:numFmt w:val="lowerLetter"/>
      <w:lvlText w:val="%2)"/>
      <w:lvlJc w:val="left"/>
      <w:pPr>
        <w:ind w:left="2148" w:hanging="360"/>
      </w:pPr>
    </w:lvl>
    <w:lvl w:ilvl="2" w:tplc="0816001B" w:tentative="1">
      <w:start w:val="1"/>
      <w:numFmt w:val="lowerRoman"/>
      <w:lvlText w:val="%3."/>
      <w:lvlJc w:val="right"/>
      <w:pPr>
        <w:ind w:left="2868" w:hanging="180"/>
      </w:pPr>
    </w:lvl>
    <w:lvl w:ilvl="3" w:tplc="0816000F" w:tentative="1">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28" w15:restartNumberingAfterBreak="0">
    <w:nsid w:val="3E4D3EF5"/>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 w15:restartNumberingAfterBreak="0">
    <w:nsid w:val="42E04A98"/>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43166C4F"/>
    <w:multiLevelType w:val="hybridMultilevel"/>
    <w:tmpl w:val="894CA528"/>
    <w:lvl w:ilvl="0" w:tplc="2B4682E0">
      <w:start w:val="1"/>
      <w:numFmt w:val="decimal"/>
      <w:lvlText w:val="%1 -"/>
      <w:lvlJc w:val="left"/>
      <w:pPr>
        <w:ind w:left="2880" w:hanging="360"/>
      </w:pPr>
      <w:rPr>
        <w:rFonts w:hint="default"/>
      </w:rPr>
    </w:lvl>
    <w:lvl w:ilvl="1" w:tplc="08160019" w:tentative="1">
      <w:start w:val="1"/>
      <w:numFmt w:val="lowerLetter"/>
      <w:lvlText w:val="%2."/>
      <w:lvlJc w:val="left"/>
      <w:pPr>
        <w:ind w:left="3392" w:hanging="360"/>
      </w:pPr>
    </w:lvl>
    <w:lvl w:ilvl="2" w:tplc="0816001B" w:tentative="1">
      <w:start w:val="1"/>
      <w:numFmt w:val="lowerRoman"/>
      <w:lvlText w:val="%3."/>
      <w:lvlJc w:val="right"/>
      <w:pPr>
        <w:ind w:left="4112" w:hanging="180"/>
      </w:pPr>
    </w:lvl>
    <w:lvl w:ilvl="3" w:tplc="0816000F" w:tentative="1">
      <w:start w:val="1"/>
      <w:numFmt w:val="decimal"/>
      <w:lvlText w:val="%4."/>
      <w:lvlJc w:val="left"/>
      <w:pPr>
        <w:ind w:left="4832" w:hanging="360"/>
      </w:pPr>
    </w:lvl>
    <w:lvl w:ilvl="4" w:tplc="08160019" w:tentative="1">
      <w:start w:val="1"/>
      <w:numFmt w:val="lowerLetter"/>
      <w:lvlText w:val="%5."/>
      <w:lvlJc w:val="left"/>
      <w:pPr>
        <w:ind w:left="5552" w:hanging="360"/>
      </w:pPr>
    </w:lvl>
    <w:lvl w:ilvl="5" w:tplc="0816001B" w:tentative="1">
      <w:start w:val="1"/>
      <w:numFmt w:val="lowerRoman"/>
      <w:lvlText w:val="%6."/>
      <w:lvlJc w:val="right"/>
      <w:pPr>
        <w:ind w:left="6272" w:hanging="180"/>
      </w:pPr>
    </w:lvl>
    <w:lvl w:ilvl="6" w:tplc="0816000F" w:tentative="1">
      <w:start w:val="1"/>
      <w:numFmt w:val="decimal"/>
      <w:lvlText w:val="%7."/>
      <w:lvlJc w:val="left"/>
      <w:pPr>
        <w:ind w:left="6992" w:hanging="360"/>
      </w:pPr>
    </w:lvl>
    <w:lvl w:ilvl="7" w:tplc="08160019" w:tentative="1">
      <w:start w:val="1"/>
      <w:numFmt w:val="lowerLetter"/>
      <w:lvlText w:val="%8."/>
      <w:lvlJc w:val="left"/>
      <w:pPr>
        <w:ind w:left="7712" w:hanging="360"/>
      </w:pPr>
    </w:lvl>
    <w:lvl w:ilvl="8" w:tplc="0816001B" w:tentative="1">
      <w:start w:val="1"/>
      <w:numFmt w:val="lowerRoman"/>
      <w:lvlText w:val="%9."/>
      <w:lvlJc w:val="right"/>
      <w:pPr>
        <w:ind w:left="8432" w:hanging="180"/>
      </w:pPr>
    </w:lvl>
  </w:abstractNum>
  <w:abstractNum w:abstractNumId="31" w15:restartNumberingAfterBreak="0">
    <w:nsid w:val="43541F79"/>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4856D98"/>
    <w:multiLevelType w:val="hybridMultilevel"/>
    <w:tmpl w:val="D8A833BC"/>
    <w:lvl w:ilvl="0" w:tplc="1348FCFE">
      <w:start w:val="1"/>
      <w:numFmt w:val="lowerLetter"/>
      <w:lvlText w:val="%1)"/>
      <w:lvlJc w:val="left"/>
      <w:pPr>
        <w:ind w:left="720" w:hanging="360"/>
      </w:pPr>
      <w:rPr>
        <w:rFonts w:hint="default"/>
        <w:i/>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2B4682E0">
      <w:start w:val="1"/>
      <w:numFmt w:val="decimal"/>
      <w:lvlText w:val="%4 -"/>
      <w:lvlJc w:val="left"/>
      <w:pPr>
        <w:ind w:left="928" w:hanging="360"/>
      </w:pPr>
      <w:rPr>
        <w:rFonts w:hint="default"/>
      </w:r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3" w15:restartNumberingAfterBreak="0">
    <w:nsid w:val="44E71D84"/>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15:restartNumberingAfterBreak="0">
    <w:nsid w:val="47596925"/>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9D418A9"/>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6" w15:restartNumberingAfterBreak="0">
    <w:nsid w:val="4C1C19B7"/>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D0E4615"/>
    <w:multiLevelType w:val="hybridMultilevel"/>
    <w:tmpl w:val="894CA528"/>
    <w:lvl w:ilvl="0" w:tplc="2B4682E0">
      <w:start w:val="1"/>
      <w:numFmt w:val="decimal"/>
      <w:lvlText w:val="%1 -"/>
      <w:lvlJc w:val="left"/>
      <w:pPr>
        <w:ind w:left="2880" w:hanging="360"/>
      </w:pPr>
      <w:rPr>
        <w:rFonts w:hint="default"/>
      </w:rPr>
    </w:lvl>
    <w:lvl w:ilvl="1" w:tplc="08160019" w:tentative="1">
      <w:start w:val="1"/>
      <w:numFmt w:val="lowerLetter"/>
      <w:lvlText w:val="%2."/>
      <w:lvlJc w:val="left"/>
      <w:pPr>
        <w:ind w:left="3392" w:hanging="360"/>
      </w:pPr>
    </w:lvl>
    <w:lvl w:ilvl="2" w:tplc="0816001B" w:tentative="1">
      <w:start w:val="1"/>
      <w:numFmt w:val="lowerRoman"/>
      <w:lvlText w:val="%3."/>
      <w:lvlJc w:val="right"/>
      <w:pPr>
        <w:ind w:left="4112" w:hanging="180"/>
      </w:pPr>
    </w:lvl>
    <w:lvl w:ilvl="3" w:tplc="0816000F" w:tentative="1">
      <w:start w:val="1"/>
      <w:numFmt w:val="decimal"/>
      <w:lvlText w:val="%4."/>
      <w:lvlJc w:val="left"/>
      <w:pPr>
        <w:ind w:left="4832" w:hanging="360"/>
      </w:pPr>
    </w:lvl>
    <w:lvl w:ilvl="4" w:tplc="08160019" w:tentative="1">
      <w:start w:val="1"/>
      <w:numFmt w:val="lowerLetter"/>
      <w:lvlText w:val="%5."/>
      <w:lvlJc w:val="left"/>
      <w:pPr>
        <w:ind w:left="5552" w:hanging="360"/>
      </w:pPr>
    </w:lvl>
    <w:lvl w:ilvl="5" w:tplc="0816001B" w:tentative="1">
      <w:start w:val="1"/>
      <w:numFmt w:val="lowerRoman"/>
      <w:lvlText w:val="%6."/>
      <w:lvlJc w:val="right"/>
      <w:pPr>
        <w:ind w:left="6272" w:hanging="180"/>
      </w:pPr>
    </w:lvl>
    <w:lvl w:ilvl="6" w:tplc="0816000F" w:tentative="1">
      <w:start w:val="1"/>
      <w:numFmt w:val="decimal"/>
      <w:lvlText w:val="%7."/>
      <w:lvlJc w:val="left"/>
      <w:pPr>
        <w:ind w:left="6992" w:hanging="360"/>
      </w:pPr>
    </w:lvl>
    <w:lvl w:ilvl="7" w:tplc="08160019" w:tentative="1">
      <w:start w:val="1"/>
      <w:numFmt w:val="lowerLetter"/>
      <w:lvlText w:val="%8."/>
      <w:lvlJc w:val="left"/>
      <w:pPr>
        <w:ind w:left="7712" w:hanging="360"/>
      </w:pPr>
    </w:lvl>
    <w:lvl w:ilvl="8" w:tplc="0816001B" w:tentative="1">
      <w:start w:val="1"/>
      <w:numFmt w:val="lowerRoman"/>
      <w:lvlText w:val="%9."/>
      <w:lvlJc w:val="right"/>
      <w:pPr>
        <w:ind w:left="8432" w:hanging="180"/>
      </w:pPr>
    </w:lvl>
  </w:abstractNum>
  <w:abstractNum w:abstractNumId="38" w15:restartNumberingAfterBreak="0">
    <w:nsid w:val="4F9418F5"/>
    <w:multiLevelType w:val="hybridMultilevel"/>
    <w:tmpl w:val="3A1490E8"/>
    <w:lvl w:ilvl="0" w:tplc="EC3A1064">
      <w:start w:val="1"/>
      <w:numFmt w:val="lowerRoman"/>
      <w:lvlText w:val="%1)"/>
      <w:lvlJc w:val="left"/>
      <w:pPr>
        <w:ind w:left="1068" w:hanging="360"/>
      </w:pPr>
      <w:rPr>
        <w:i/>
      </w:rPr>
    </w:lvl>
    <w:lvl w:ilvl="1" w:tplc="08160019">
      <w:start w:val="1"/>
      <w:numFmt w:val="lowerLetter"/>
      <w:lvlText w:val="%2."/>
      <w:lvlJc w:val="left"/>
      <w:pPr>
        <w:ind w:left="1788" w:hanging="360"/>
      </w:pPr>
    </w:lvl>
    <w:lvl w:ilvl="2" w:tplc="0816001B">
      <w:start w:val="1"/>
      <w:numFmt w:val="lowerRoman"/>
      <w:lvlText w:val="%3."/>
      <w:lvlJc w:val="right"/>
      <w:pPr>
        <w:ind w:left="2508" w:hanging="180"/>
      </w:pPr>
    </w:lvl>
    <w:lvl w:ilvl="3" w:tplc="0816000F">
      <w:start w:val="1"/>
      <w:numFmt w:val="decimal"/>
      <w:lvlText w:val="%4."/>
      <w:lvlJc w:val="left"/>
      <w:pPr>
        <w:ind w:left="3228" w:hanging="360"/>
      </w:pPr>
    </w:lvl>
    <w:lvl w:ilvl="4" w:tplc="08160019">
      <w:start w:val="1"/>
      <w:numFmt w:val="lowerLetter"/>
      <w:lvlText w:val="%5."/>
      <w:lvlJc w:val="left"/>
      <w:pPr>
        <w:ind w:left="3948" w:hanging="360"/>
      </w:pPr>
    </w:lvl>
    <w:lvl w:ilvl="5" w:tplc="0816001B">
      <w:start w:val="1"/>
      <w:numFmt w:val="lowerRoman"/>
      <w:lvlText w:val="%6."/>
      <w:lvlJc w:val="right"/>
      <w:pPr>
        <w:ind w:left="4668" w:hanging="180"/>
      </w:pPr>
    </w:lvl>
    <w:lvl w:ilvl="6" w:tplc="0816000F">
      <w:start w:val="1"/>
      <w:numFmt w:val="decimal"/>
      <w:lvlText w:val="%7."/>
      <w:lvlJc w:val="left"/>
      <w:pPr>
        <w:ind w:left="5388" w:hanging="360"/>
      </w:pPr>
    </w:lvl>
    <w:lvl w:ilvl="7" w:tplc="08160019">
      <w:start w:val="1"/>
      <w:numFmt w:val="lowerLetter"/>
      <w:lvlText w:val="%8."/>
      <w:lvlJc w:val="left"/>
      <w:pPr>
        <w:ind w:left="6108" w:hanging="360"/>
      </w:pPr>
    </w:lvl>
    <w:lvl w:ilvl="8" w:tplc="0816001B">
      <w:start w:val="1"/>
      <w:numFmt w:val="lowerRoman"/>
      <w:lvlText w:val="%9."/>
      <w:lvlJc w:val="right"/>
      <w:pPr>
        <w:ind w:left="6828" w:hanging="180"/>
      </w:pPr>
    </w:lvl>
  </w:abstractNum>
  <w:abstractNum w:abstractNumId="39" w15:restartNumberingAfterBreak="0">
    <w:nsid w:val="50F6432A"/>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0" w15:restartNumberingAfterBreak="0">
    <w:nsid w:val="53FF195F"/>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1" w15:restartNumberingAfterBreak="0">
    <w:nsid w:val="54F45FE2"/>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70A5F79"/>
    <w:multiLevelType w:val="hybridMultilevel"/>
    <w:tmpl w:val="1C181F7E"/>
    <w:lvl w:ilvl="0" w:tplc="154A20B4">
      <w:start w:val="1"/>
      <w:numFmt w:val="upperRoman"/>
      <w:pStyle w:val="Heading1"/>
      <w:lvlText w:val="KAPITEL %1"/>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3" w15:restartNumberingAfterBreak="0">
    <w:nsid w:val="572F726B"/>
    <w:multiLevelType w:val="hybridMultilevel"/>
    <w:tmpl w:val="2236D358"/>
    <w:lvl w:ilvl="0" w:tplc="54D85534">
      <w:start w:val="1"/>
      <w:numFmt w:val="decimal"/>
      <w:pStyle w:val="Heading2"/>
      <w:lvlText w:val="Artigo %1.º"/>
      <w:lvlJc w:val="left"/>
      <w:pPr>
        <w:ind w:left="5400" w:hanging="360"/>
      </w:pPr>
      <w:rPr>
        <w:rFonts w:hint="default"/>
        <w:b w:val="0"/>
      </w:rPr>
    </w:lvl>
    <w:lvl w:ilvl="1" w:tplc="08160019" w:tentative="1">
      <w:start w:val="1"/>
      <w:numFmt w:val="lowerLetter"/>
      <w:lvlText w:val="%2."/>
      <w:lvlJc w:val="left"/>
      <w:pPr>
        <w:ind w:left="-2026" w:hanging="360"/>
      </w:pPr>
    </w:lvl>
    <w:lvl w:ilvl="2" w:tplc="0816001B" w:tentative="1">
      <w:start w:val="1"/>
      <w:numFmt w:val="lowerRoman"/>
      <w:lvlText w:val="%3."/>
      <w:lvlJc w:val="right"/>
      <w:pPr>
        <w:ind w:left="-1306" w:hanging="180"/>
      </w:pPr>
    </w:lvl>
    <w:lvl w:ilvl="3" w:tplc="0816000F" w:tentative="1">
      <w:start w:val="1"/>
      <w:numFmt w:val="decimal"/>
      <w:lvlText w:val="%4."/>
      <w:lvlJc w:val="left"/>
      <w:pPr>
        <w:ind w:left="-586" w:hanging="360"/>
      </w:pPr>
    </w:lvl>
    <w:lvl w:ilvl="4" w:tplc="08160019" w:tentative="1">
      <w:start w:val="1"/>
      <w:numFmt w:val="lowerLetter"/>
      <w:lvlText w:val="%5."/>
      <w:lvlJc w:val="left"/>
      <w:pPr>
        <w:ind w:left="134" w:hanging="360"/>
      </w:pPr>
    </w:lvl>
    <w:lvl w:ilvl="5" w:tplc="0816001B" w:tentative="1">
      <w:start w:val="1"/>
      <w:numFmt w:val="lowerRoman"/>
      <w:lvlText w:val="%6."/>
      <w:lvlJc w:val="right"/>
      <w:pPr>
        <w:ind w:left="854" w:hanging="180"/>
      </w:pPr>
    </w:lvl>
    <w:lvl w:ilvl="6" w:tplc="0816000F" w:tentative="1">
      <w:start w:val="1"/>
      <w:numFmt w:val="decimal"/>
      <w:lvlText w:val="%7."/>
      <w:lvlJc w:val="left"/>
      <w:pPr>
        <w:ind w:left="1574" w:hanging="360"/>
      </w:pPr>
    </w:lvl>
    <w:lvl w:ilvl="7" w:tplc="08160019" w:tentative="1">
      <w:start w:val="1"/>
      <w:numFmt w:val="lowerLetter"/>
      <w:lvlText w:val="%8."/>
      <w:lvlJc w:val="left"/>
      <w:pPr>
        <w:ind w:left="2294" w:hanging="360"/>
      </w:pPr>
    </w:lvl>
    <w:lvl w:ilvl="8" w:tplc="0816001B" w:tentative="1">
      <w:start w:val="1"/>
      <w:numFmt w:val="lowerRoman"/>
      <w:lvlText w:val="%9."/>
      <w:lvlJc w:val="right"/>
      <w:pPr>
        <w:ind w:left="3014" w:hanging="180"/>
      </w:pPr>
    </w:lvl>
  </w:abstractNum>
  <w:abstractNum w:abstractNumId="44" w15:restartNumberingAfterBreak="0">
    <w:nsid w:val="573C4F20"/>
    <w:multiLevelType w:val="hybridMultilevel"/>
    <w:tmpl w:val="23EC7F56"/>
    <w:lvl w:ilvl="0" w:tplc="9BB280BA">
      <w:start w:val="1"/>
      <w:numFmt w:val="lowerLetter"/>
      <w:lvlText w:val="%1)"/>
      <w:lvlJc w:val="left"/>
      <w:pPr>
        <w:ind w:left="1080" w:hanging="360"/>
      </w:pPr>
      <w:rPr>
        <w:i/>
      </w:rPr>
    </w:lvl>
    <w:lvl w:ilvl="1" w:tplc="08160019">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45" w15:restartNumberingAfterBreak="0">
    <w:nsid w:val="593C1F19"/>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6" w15:restartNumberingAfterBreak="0">
    <w:nsid w:val="60141F53"/>
    <w:multiLevelType w:val="hybridMultilevel"/>
    <w:tmpl w:val="D8A833BC"/>
    <w:lvl w:ilvl="0" w:tplc="1348FCFE">
      <w:start w:val="1"/>
      <w:numFmt w:val="lowerLetter"/>
      <w:lvlText w:val="%1)"/>
      <w:lvlJc w:val="left"/>
      <w:pPr>
        <w:ind w:left="720" w:hanging="360"/>
      </w:pPr>
      <w:rPr>
        <w:rFonts w:hint="default"/>
        <w:i/>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2B4682E0">
      <w:start w:val="1"/>
      <w:numFmt w:val="decimal"/>
      <w:lvlText w:val="%4 -"/>
      <w:lvlJc w:val="left"/>
      <w:pPr>
        <w:ind w:left="928" w:hanging="360"/>
      </w:pPr>
      <w:rPr>
        <w:rFonts w:hint="default"/>
      </w:r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47" w15:restartNumberingAfterBreak="0">
    <w:nsid w:val="603345C6"/>
    <w:multiLevelType w:val="hybridMultilevel"/>
    <w:tmpl w:val="FB5A2F40"/>
    <w:lvl w:ilvl="0" w:tplc="2B4682E0">
      <w:start w:val="1"/>
      <w:numFmt w:val="decimal"/>
      <w:lvlText w:val="%1 -"/>
      <w:lvlJc w:val="left"/>
      <w:pPr>
        <w:ind w:left="1920" w:hanging="360"/>
      </w:pPr>
      <w:rPr>
        <w:rFonts w:hint="default"/>
      </w:rPr>
    </w:lvl>
    <w:lvl w:ilvl="1" w:tplc="08160019">
      <w:start w:val="1"/>
      <w:numFmt w:val="lowerLetter"/>
      <w:lvlText w:val="%2."/>
      <w:lvlJc w:val="left"/>
      <w:pPr>
        <w:ind w:left="2411" w:hanging="360"/>
      </w:pPr>
    </w:lvl>
    <w:lvl w:ilvl="2" w:tplc="EC3A1064">
      <w:start w:val="1"/>
      <w:numFmt w:val="lowerRoman"/>
      <w:lvlText w:val="%3)"/>
      <w:lvlJc w:val="left"/>
      <w:pPr>
        <w:ind w:left="3360" w:hanging="180"/>
      </w:pPr>
      <w:rPr>
        <w:i/>
      </w:rPr>
    </w:lvl>
    <w:lvl w:ilvl="3" w:tplc="0816000F" w:tentative="1">
      <w:start w:val="1"/>
      <w:numFmt w:val="decimal"/>
      <w:lvlText w:val="%4."/>
      <w:lvlJc w:val="left"/>
      <w:pPr>
        <w:ind w:left="4080" w:hanging="360"/>
      </w:pPr>
    </w:lvl>
    <w:lvl w:ilvl="4" w:tplc="08160019" w:tentative="1">
      <w:start w:val="1"/>
      <w:numFmt w:val="lowerLetter"/>
      <w:lvlText w:val="%5."/>
      <w:lvlJc w:val="left"/>
      <w:pPr>
        <w:ind w:left="4800" w:hanging="360"/>
      </w:pPr>
    </w:lvl>
    <w:lvl w:ilvl="5" w:tplc="0816001B" w:tentative="1">
      <w:start w:val="1"/>
      <w:numFmt w:val="lowerRoman"/>
      <w:lvlText w:val="%6."/>
      <w:lvlJc w:val="right"/>
      <w:pPr>
        <w:ind w:left="5520" w:hanging="180"/>
      </w:pPr>
    </w:lvl>
    <w:lvl w:ilvl="6" w:tplc="0816000F" w:tentative="1">
      <w:start w:val="1"/>
      <w:numFmt w:val="decimal"/>
      <w:lvlText w:val="%7."/>
      <w:lvlJc w:val="left"/>
      <w:pPr>
        <w:ind w:left="6240" w:hanging="360"/>
      </w:pPr>
    </w:lvl>
    <w:lvl w:ilvl="7" w:tplc="08160019" w:tentative="1">
      <w:start w:val="1"/>
      <w:numFmt w:val="lowerLetter"/>
      <w:lvlText w:val="%8."/>
      <w:lvlJc w:val="left"/>
      <w:pPr>
        <w:ind w:left="6960" w:hanging="360"/>
      </w:pPr>
    </w:lvl>
    <w:lvl w:ilvl="8" w:tplc="0816001B" w:tentative="1">
      <w:start w:val="1"/>
      <w:numFmt w:val="lowerRoman"/>
      <w:lvlText w:val="%9."/>
      <w:lvlJc w:val="right"/>
      <w:pPr>
        <w:ind w:left="7680" w:hanging="180"/>
      </w:pPr>
    </w:lvl>
  </w:abstractNum>
  <w:abstractNum w:abstractNumId="48" w15:restartNumberingAfterBreak="0">
    <w:nsid w:val="615C4592"/>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9" w15:restartNumberingAfterBreak="0">
    <w:nsid w:val="61820723"/>
    <w:multiLevelType w:val="hybridMultilevel"/>
    <w:tmpl w:val="E5069E18"/>
    <w:lvl w:ilvl="0" w:tplc="703E7332">
      <w:start w:val="1"/>
      <w:numFmt w:val="lowerLetter"/>
      <w:lvlText w:val="%1)"/>
      <w:lvlJc w:val="left"/>
      <w:pPr>
        <w:ind w:left="720" w:hanging="360"/>
      </w:pPr>
      <w:rPr>
        <w:i/>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2B4682E0">
      <w:start w:val="1"/>
      <w:numFmt w:val="decimal"/>
      <w:lvlText w:val="%4 -"/>
      <w:lvlJc w:val="left"/>
      <w:pPr>
        <w:ind w:left="928" w:hanging="360"/>
      </w:pPr>
      <w:rPr>
        <w:rFonts w:hint="default"/>
      </w:r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50" w15:restartNumberingAfterBreak="0">
    <w:nsid w:val="61C75E52"/>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1" w15:restartNumberingAfterBreak="0">
    <w:nsid w:val="62C60394"/>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2" w15:restartNumberingAfterBreak="0">
    <w:nsid w:val="64560072"/>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3" w15:restartNumberingAfterBreak="0">
    <w:nsid w:val="64736F18"/>
    <w:multiLevelType w:val="hybridMultilevel"/>
    <w:tmpl w:val="5C606C2C"/>
    <w:lvl w:ilvl="0" w:tplc="BDDC2812">
      <w:start w:val="1"/>
      <w:numFmt w:val="lowerRoman"/>
      <w:lvlText w:val="%1)"/>
      <w:lvlJc w:val="right"/>
      <w:pPr>
        <w:ind w:left="1428" w:hanging="360"/>
      </w:pPr>
      <w:rPr>
        <w:rFonts w:hint="default"/>
        <w:b w:val="0"/>
        <w:i/>
      </w:rPr>
    </w:lvl>
    <w:lvl w:ilvl="1" w:tplc="08160019" w:tentative="1">
      <w:start w:val="1"/>
      <w:numFmt w:val="lowerLetter"/>
      <w:lvlText w:val="%2."/>
      <w:lvlJc w:val="left"/>
      <w:pPr>
        <w:ind w:left="2148" w:hanging="360"/>
      </w:pPr>
    </w:lvl>
    <w:lvl w:ilvl="2" w:tplc="EC3A1064">
      <w:start w:val="1"/>
      <w:numFmt w:val="lowerRoman"/>
      <w:lvlText w:val="%3)"/>
      <w:lvlJc w:val="left"/>
      <w:pPr>
        <w:ind w:left="2868" w:hanging="180"/>
      </w:pPr>
      <w:rPr>
        <w:i/>
      </w:rPr>
    </w:lvl>
    <w:lvl w:ilvl="3" w:tplc="0816000F">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54" w15:restartNumberingAfterBreak="0">
    <w:nsid w:val="65D7410C"/>
    <w:multiLevelType w:val="hybridMultilevel"/>
    <w:tmpl w:val="894CA528"/>
    <w:lvl w:ilvl="0" w:tplc="2B4682E0">
      <w:start w:val="1"/>
      <w:numFmt w:val="decimal"/>
      <w:lvlText w:val="%1 -"/>
      <w:lvlJc w:val="left"/>
      <w:pPr>
        <w:ind w:left="2880" w:hanging="360"/>
      </w:pPr>
      <w:rPr>
        <w:rFonts w:hint="default"/>
      </w:rPr>
    </w:lvl>
    <w:lvl w:ilvl="1" w:tplc="08160019" w:tentative="1">
      <w:start w:val="1"/>
      <w:numFmt w:val="lowerLetter"/>
      <w:lvlText w:val="%2."/>
      <w:lvlJc w:val="left"/>
      <w:pPr>
        <w:ind w:left="3392" w:hanging="360"/>
      </w:pPr>
    </w:lvl>
    <w:lvl w:ilvl="2" w:tplc="0816001B" w:tentative="1">
      <w:start w:val="1"/>
      <w:numFmt w:val="lowerRoman"/>
      <w:lvlText w:val="%3."/>
      <w:lvlJc w:val="right"/>
      <w:pPr>
        <w:ind w:left="4112" w:hanging="180"/>
      </w:pPr>
    </w:lvl>
    <w:lvl w:ilvl="3" w:tplc="0816000F" w:tentative="1">
      <w:start w:val="1"/>
      <w:numFmt w:val="decimal"/>
      <w:lvlText w:val="%4."/>
      <w:lvlJc w:val="left"/>
      <w:pPr>
        <w:ind w:left="4832" w:hanging="360"/>
      </w:pPr>
    </w:lvl>
    <w:lvl w:ilvl="4" w:tplc="08160019" w:tentative="1">
      <w:start w:val="1"/>
      <w:numFmt w:val="lowerLetter"/>
      <w:lvlText w:val="%5."/>
      <w:lvlJc w:val="left"/>
      <w:pPr>
        <w:ind w:left="5552" w:hanging="360"/>
      </w:pPr>
    </w:lvl>
    <w:lvl w:ilvl="5" w:tplc="0816001B" w:tentative="1">
      <w:start w:val="1"/>
      <w:numFmt w:val="lowerRoman"/>
      <w:lvlText w:val="%6."/>
      <w:lvlJc w:val="right"/>
      <w:pPr>
        <w:ind w:left="6272" w:hanging="180"/>
      </w:pPr>
    </w:lvl>
    <w:lvl w:ilvl="6" w:tplc="0816000F" w:tentative="1">
      <w:start w:val="1"/>
      <w:numFmt w:val="decimal"/>
      <w:lvlText w:val="%7."/>
      <w:lvlJc w:val="left"/>
      <w:pPr>
        <w:ind w:left="6992" w:hanging="360"/>
      </w:pPr>
    </w:lvl>
    <w:lvl w:ilvl="7" w:tplc="08160019" w:tentative="1">
      <w:start w:val="1"/>
      <w:numFmt w:val="lowerLetter"/>
      <w:lvlText w:val="%8."/>
      <w:lvlJc w:val="left"/>
      <w:pPr>
        <w:ind w:left="7712" w:hanging="360"/>
      </w:pPr>
    </w:lvl>
    <w:lvl w:ilvl="8" w:tplc="0816001B" w:tentative="1">
      <w:start w:val="1"/>
      <w:numFmt w:val="lowerRoman"/>
      <w:lvlText w:val="%9."/>
      <w:lvlJc w:val="right"/>
      <w:pPr>
        <w:ind w:left="8432" w:hanging="180"/>
      </w:pPr>
    </w:lvl>
  </w:abstractNum>
  <w:abstractNum w:abstractNumId="55" w15:restartNumberingAfterBreak="0">
    <w:nsid w:val="66C864AC"/>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6" w15:restartNumberingAfterBreak="0">
    <w:nsid w:val="67126E0D"/>
    <w:multiLevelType w:val="hybridMultilevel"/>
    <w:tmpl w:val="16B8EEDE"/>
    <w:lvl w:ilvl="0" w:tplc="5436115A">
      <w:start w:val="1"/>
      <w:numFmt w:val="upperRoman"/>
      <w:pStyle w:val="Heading3"/>
      <w:lvlText w:val="Bilag %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7" w15:restartNumberingAfterBreak="0">
    <w:nsid w:val="6FA67F0D"/>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8" w15:restartNumberingAfterBreak="0">
    <w:nsid w:val="700F4586"/>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9" w15:restartNumberingAfterBreak="0">
    <w:nsid w:val="72A32F8E"/>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0" w15:restartNumberingAfterBreak="0">
    <w:nsid w:val="72EA5288"/>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1" w15:restartNumberingAfterBreak="0">
    <w:nsid w:val="73974408"/>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2" w15:restartNumberingAfterBreak="0">
    <w:nsid w:val="741F1A1B"/>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3" w15:restartNumberingAfterBreak="0">
    <w:nsid w:val="74715A9E"/>
    <w:multiLevelType w:val="hybridMultilevel"/>
    <w:tmpl w:val="41CA431A"/>
    <w:lvl w:ilvl="0" w:tplc="2B4682E0">
      <w:start w:val="1"/>
      <w:numFmt w:val="decimal"/>
      <w:lvlText w:val="%1 -"/>
      <w:lvlJc w:val="left"/>
      <w:pPr>
        <w:ind w:left="720" w:hanging="360"/>
      </w:pPr>
      <w:rPr>
        <w:rFonts w:hint="default"/>
      </w:rPr>
    </w:lvl>
    <w:lvl w:ilvl="1" w:tplc="4774ADE4">
      <w:start w:val="1"/>
      <w:numFmt w:val="lowerLetter"/>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4" w15:restartNumberingAfterBreak="0">
    <w:nsid w:val="78F77A6A"/>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7E031AE6"/>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6" w15:restartNumberingAfterBreak="0">
    <w:nsid w:val="7F2C15CA"/>
    <w:multiLevelType w:val="hybridMultilevel"/>
    <w:tmpl w:val="3A1490E8"/>
    <w:lvl w:ilvl="0" w:tplc="EC3A1064">
      <w:start w:val="1"/>
      <w:numFmt w:val="lowerRoman"/>
      <w:lvlText w:val="%1)"/>
      <w:lvlJc w:val="left"/>
      <w:pPr>
        <w:ind w:left="1068" w:hanging="360"/>
      </w:pPr>
      <w:rPr>
        <w:i/>
      </w:rPr>
    </w:lvl>
    <w:lvl w:ilvl="1" w:tplc="08160019">
      <w:start w:val="1"/>
      <w:numFmt w:val="lowerLetter"/>
      <w:lvlText w:val="%2."/>
      <w:lvlJc w:val="left"/>
      <w:pPr>
        <w:ind w:left="1788" w:hanging="360"/>
      </w:pPr>
    </w:lvl>
    <w:lvl w:ilvl="2" w:tplc="0816001B">
      <w:start w:val="1"/>
      <w:numFmt w:val="lowerRoman"/>
      <w:lvlText w:val="%3."/>
      <w:lvlJc w:val="right"/>
      <w:pPr>
        <w:ind w:left="2508" w:hanging="180"/>
      </w:pPr>
    </w:lvl>
    <w:lvl w:ilvl="3" w:tplc="0816000F">
      <w:start w:val="1"/>
      <w:numFmt w:val="decimal"/>
      <w:lvlText w:val="%4."/>
      <w:lvlJc w:val="left"/>
      <w:pPr>
        <w:ind w:left="3228" w:hanging="360"/>
      </w:pPr>
    </w:lvl>
    <w:lvl w:ilvl="4" w:tplc="08160019">
      <w:start w:val="1"/>
      <w:numFmt w:val="lowerLetter"/>
      <w:lvlText w:val="%5."/>
      <w:lvlJc w:val="left"/>
      <w:pPr>
        <w:ind w:left="3948" w:hanging="360"/>
      </w:pPr>
    </w:lvl>
    <w:lvl w:ilvl="5" w:tplc="0816001B">
      <w:start w:val="1"/>
      <w:numFmt w:val="lowerRoman"/>
      <w:lvlText w:val="%6."/>
      <w:lvlJc w:val="right"/>
      <w:pPr>
        <w:ind w:left="4668" w:hanging="180"/>
      </w:pPr>
    </w:lvl>
    <w:lvl w:ilvl="6" w:tplc="0816000F">
      <w:start w:val="1"/>
      <w:numFmt w:val="decimal"/>
      <w:lvlText w:val="%7."/>
      <w:lvlJc w:val="left"/>
      <w:pPr>
        <w:ind w:left="5388" w:hanging="360"/>
      </w:pPr>
    </w:lvl>
    <w:lvl w:ilvl="7" w:tplc="08160019">
      <w:start w:val="1"/>
      <w:numFmt w:val="lowerLetter"/>
      <w:lvlText w:val="%8."/>
      <w:lvlJc w:val="left"/>
      <w:pPr>
        <w:ind w:left="6108" w:hanging="360"/>
      </w:pPr>
    </w:lvl>
    <w:lvl w:ilvl="8" w:tplc="0816001B">
      <w:start w:val="1"/>
      <w:numFmt w:val="lowerRoman"/>
      <w:lvlText w:val="%9."/>
      <w:lvlJc w:val="right"/>
      <w:pPr>
        <w:ind w:left="6828" w:hanging="180"/>
      </w:pPr>
    </w:lvl>
  </w:abstractNum>
  <w:abstractNum w:abstractNumId="67" w15:restartNumberingAfterBreak="0">
    <w:nsid w:val="7F3C0250"/>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8" w15:restartNumberingAfterBreak="0">
    <w:nsid w:val="7FC626B1"/>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44"/>
  </w:num>
  <w:num w:numId="2">
    <w:abstractNumId w:val="2"/>
  </w:num>
  <w:num w:numId="3">
    <w:abstractNumId w:val="3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43"/>
  </w:num>
  <w:num w:numId="7">
    <w:abstractNumId w:val="53"/>
  </w:num>
  <w:num w:numId="8">
    <w:abstractNumId w:val="56"/>
  </w:num>
  <w:num w:numId="9">
    <w:abstractNumId w:val="14"/>
  </w:num>
  <w:num w:numId="10">
    <w:abstractNumId w:val="27"/>
  </w:num>
  <w:num w:numId="11">
    <w:abstractNumId w:val="0"/>
  </w:num>
  <w:num w:numId="12">
    <w:abstractNumId w:val="49"/>
  </w:num>
  <w:num w:numId="13">
    <w:abstractNumId w:val="62"/>
  </w:num>
  <w:num w:numId="14">
    <w:abstractNumId w:val="47"/>
  </w:num>
  <w:num w:numId="15">
    <w:abstractNumId w:val="64"/>
  </w:num>
  <w:num w:numId="16">
    <w:abstractNumId w:val="52"/>
  </w:num>
  <w:num w:numId="17">
    <w:abstractNumId w:val="22"/>
  </w:num>
  <w:num w:numId="18">
    <w:abstractNumId w:val="63"/>
  </w:num>
  <w:num w:numId="19">
    <w:abstractNumId w:val="50"/>
  </w:num>
  <w:num w:numId="20">
    <w:abstractNumId w:val="20"/>
  </w:num>
  <w:num w:numId="21">
    <w:abstractNumId w:val="15"/>
  </w:num>
  <w:num w:numId="22">
    <w:abstractNumId w:val="39"/>
  </w:num>
  <w:num w:numId="23">
    <w:abstractNumId w:val="68"/>
  </w:num>
  <w:num w:numId="24">
    <w:abstractNumId w:val="40"/>
  </w:num>
  <w:num w:numId="25">
    <w:abstractNumId w:val="11"/>
  </w:num>
  <w:num w:numId="26">
    <w:abstractNumId w:val="7"/>
  </w:num>
  <w:num w:numId="27">
    <w:abstractNumId w:val="51"/>
  </w:num>
  <w:num w:numId="28">
    <w:abstractNumId w:val="8"/>
  </w:num>
  <w:num w:numId="29">
    <w:abstractNumId w:val="21"/>
  </w:num>
  <w:num w:numId="30">
    <w:abstractNumId w:val="1"/>
  </w:num>
  <w:num w:numId="31">
    <w:abstractNumId w:val="18"/>
  </w:num>
  <w:num w:numId="32">
    <w:abstractNumId w:val="61"/>
  </w:num>
  <w:num w:numId="33">
    <w:abstractNumId w:val="55"/>
  </w:num>
  <w:num w:numId="34">
    <w:abstractNumId w:val="16"/>
  </w:num>
  <w:num w:numId="35">
    <w:abstractNumId w:val="57"/>
  </w:num>
  <w:num w:numId="36">
    <w:abstractNumId w:val="65"/>
  </w:num>
  <w:num w:numId="37">
    <w:abstractNumId w:val="25"/>
  </w:num>
  <w:num w:numId="38">
    <w:abstractNumId w:val="19"/>
  </w:num>
  <w:num w:numId="39">
    <w:abstractNumId w:val="28"/>
  </w:num>
  <w:num w:numId="40">
    <w:abstractNumId w:val="48"/>
  </w:num>
  <w:num w:numId="41">
    <w:abstractNumId w:val="3"/>
  </w:num>
  <w:num w:numId="42">
    <w:abstractNumId w:val="26"/>
  </w:num>
  <w:num w:numId="43">
    <w:abstractNumId w:val="23"/>
  </w:num>
  <w:num w:numId="44">
    <w:abstractNumId w:val="6"/>
  </w:num>
  <w:num w:numId="45">
    <w:abstractNumId w:val="66"/>
  </w:num>
  <w:num w:numId="46">
    <w:abstractNumId w:val="58"/>
  </w:num>
  <w:num w:numId="47">
    <w:abstractNumId w:val="37"/>
  </w:num>
  <w:num w:numId="48">
    <w:abstractNumId w:val="32"/>
  </w:num>
  <w:num w:numId="49">
    <w:abstractNumId w:val="46"/>
  </w:num>
  <w:num w:numId="50">
    <w:abstractNumId w:val="54"/>
  </w:num>
  <w:num w:numId="51">
    <w:abstractNumId w:val="30"/>
  </w:num>
  <w:num w:numId="52">
    <w:abstractNumId w:val="34"/>
  </w:num>
  <w:num w:numId="53">
    <w:abstractNumId w:val="17"/>
  </w:num>
  <w:num w:numId="54">
    <w:abstractNumId w:val="24"/>
  </w:num>
  <w:num w:numId="55">
    <w:abstractNumId w:val="13"/>
  </w:num>
  <w:num w:numId="56">
    <w:abstractNumId w:val="12"/>
  </w:num>
  <w:num w:numId="57">
    <w:abstractNumId w:val="41"/>
  </w:num>
  <w:num w:numId="58">
    <w:abstractNumId w:val="35"/>
  </w:num>
  <w:num w:numId="59">
    <w:abstractNumId w:val="31"/>
  </w:num>
  <w:num w:numId="60">
    <w:abstractNumId w:val="29"/>
  </w:num>
  <w:num w:numId="61">
    <w:abstractNumId w:val="36"/>
  </w:num>
  <w:num w:numId="62">
    <w:abstractNumId w:val="33"/>
  </w:num>
  <w:num w:numId="63">
    <w:abstractNumId w:val="59"/>
  </w:num>
  <w:num w:numId="64">
    <w:abstractNumId w:val="67"/>
  </w:num>
  <w:num w:numId="65">
    <w:abstractNumId w:val="10"/>
  </w:num>
  <w:num w:numId="66">
    <w:abstractNumId w:val="60"/>
  </w:num>
  <w:num w:numId="67">
    <w:abstractNumId w:val="45"/>
  </w:num>
  <w:num w:numId="68">
    <w:abstractNumId w:val="9"/>
  </w:num>
  <w:num w:numId="69">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757"/>
    <w:rsid w:val="00004334"/>
    <w:rsid w:val="000062E0"/>
    <w:rsid w:val="00006B68"/>
    <w:rsid w:val="00007109"/>
    <w:rsid w:val="00010D04"/>
    <w:rsid w:val="0001108C"/>
    <w:rsid w:val="00014396"/>
    <w:rsid w:val="00014E5F"/>
    <w:rsid w:val="000216F2"/>
    <w:rsid w:val="0002587F"/>
    <w:rsid w:val="00033B03"/>
    <w:rsid w:val="00036184"/>
    <w:rsid w:val="00040333"/>
    <w:rsid w:val="00040D73"/>
    <w:rsid w:val="00041479"/>
    <w:rsid w:val="00045ECB"/>
    <w:rsid w:val="00052FC6"/>
    <w:rsid w:val="00054A1A"/>
    <w:rsid w:val="00054EAE"/>
    <w:rsid w:val="0005584B"/>
    <w:rsid w:val="00055892"/>
    <w:rsid w:val="00057951"/>
    <w:rsid w:val="000600E7"/>
    <w:rsid w:val="00061AA4"/>
    <w:rsid w:val="000624C7"/>
    <w:rsid w:val="0006435A"/>
    <w:rsid w:val="00067FE6"/>
    <w:rsid w:val="00070A0C"/>
    <w:rsid w:val="00073215"/>
    <w:rsid w:val="00077048"/>
    <w:rsid w:val="00081139"/>
    <w:rsid w:val="00081672"/>
    <w:rsid w:val="000843A0"/>
    <w:rsid w:val="00091DD7"/>
    <w:rsid w:val="00091E78"/>
    <w:rsid w:val="00092AED"/>
    <w:rsid w:val="00092BC2"/>
    <w:rsid w:val="000933C0"/>
    <w:rsid w:val="000A440A"/>
    <w:rsid w:val="000A5AF9"/>
    <w:rsid w:val="000A6D64"/>
    <w:rsid w:val="000B1395"/>
    <w:rsid w:val="000B232D"/>
    <w:rsid w:val="000B5D90"/>
    <w:rsid w:val="000C1496"/>
    <w:rsid w:val="000C351A"/>
    <w:rsid w:val="000C5357"/>
    <w:rsid w:val="000C6EEA"/>
    <w:rsid w:val="000C7AD4"/>
    <w:rsid w:val="000D3116"/>
    <w:rsid w:val="000D53C5"/>
    <w:rsid w:val="000E29F8"/>
    <w:rsid w:val="000E33FB"/>
    <w:rsid w:val="000E38BD"/>
    <w:rsid w:val="000F077F"/>
    <w:rsid w:val="000F1553"/>
    <w:rsid w:val="000F5032"/>
    <w:rsid w:val="000F6DCC"/>
    <w:rsid w:val="001012F9"/>
    <w:rsid w:val="0010209F"/>
    <w:rsid w:val="00105C80"/>
    <w:rsid w:val="00116D8C"/>
    <w:rsid w:val="001171C4"/>
    <w:rsid w:val="001222AD"/>
    <w:rsid w:val="00124A0A"/>
    <w:rsid w:val="001257FD"/>
    <w:rsid w:val="0012646D"/>
    <w:rsid w:val="00127D8B"/>
    <w:rsid w:val="0013619A"/>
    <w:rsid w:val="0014162A"/>
    <w:rsid w:val="00144B84"/>
    <w:rsid w:val="001508BE"/>
    <w:rsid w:val="00152321"/>
    <w:rsid w:val="001617A7"/>
    <w:rsid w:val="00162EF3"/>
    <w:rsid w:val="00163405"/>
    <w:rsid w:val="00164BE8"/>
    <w:rsid w:val="00165ADE"/>
    <w:rsid w:val="00166A58"/>
    <w:rsid w:val="00170628"/>
    <w:rsid w:val="00171A5A"/>
    <w:rsid w:val="00172DCA"/>
    <w:rsid w:val="00172E85"/>
    <w:rsid w:val="0018147D"/>
    <w:rsid w:val="00182AD4"/>
    <w:rsid w:val="00186111"/>
    <w:rsid w:val="00190667"/>
    <w:rsid w:val="001912BE"/>
    <w:rsid w:val="001976FC"/>
    <w:rsid w:val="00197BF8"/>
    <w:rsid w:val="001A0286"/>
    <w:rsid w:val="001A4AAD"/>
    <w:rsid w:val="001A4D54"/>
    <w:rsid w:val="001B0B31"/>
    <w:rsid w:val="001C5248"/>
    <w:rsid w:val="001C5980"/>
    <w:rsid w:val="001C632F"/>
    <w:rsid w:val="001D278E"/>
    <w:rsid w:val="001D3C9D"/>
    <w:rsid w:val="001D4FEE"/>
    <w:rsid w:val="001D7D5A"/>
    <w:rsid w:val="001E0B00"/>
    <w:rsid w:val="001E12B7"/>
    <w:rsid w:val="001E337A"/>
    <w:rsid w:val="001E4779"/>
    <w:rsid w:val="001F4E2F"/>
    <w:rsid w:val="001F7456"/>
    <w:rsid w:val="00200376"/>
    <w:rsid w:val="00201636"/>
    <w:rsid w:val="00203CD4"/>
    <w:rsid w:val="00205C37"/>
    <w:rsid w:val="00216CAB"/>
    <w:rsid w:val="002310F9"/>
    <w:rsid w:val="00231C0A"/>
    <w:rsid w:val="0023255A"/>
    <w:rsid w:val="0023346E"/>
    <w:rsid w:val="00241552"/>
    <w:rsid w:val="002421EA"/>
    <w:rsid w:val="002521A7"/>
    <w:rsid w:val="0025489D"/>
    <w:rsid w:val="00262186"/>
    <w:rsid w:val="00263C94"/>
    <w:rsid w:val="00271F5B"/>
    <w:rsid w:val="0027294A"/>
    <w:rsid w:val="00272EF8"/>
    <w:rsid w:val="0027492F"/>
    <w:rsid w:val="00275E26"/>
    <w:rsid w:val="00276240"/>
    <w:rsid w:val="0027658F"/>
    <w:rsid w:val="00280359"/>
    <w:rsid w:val="0028259B"/>
    <w:rsid w:val="002845B5"/>
    <w:rsid w:val="00284CB1"/>
    <w:rsid w:val="002856D7"/>
    <w:rsid w:val="00285B71"/>
    <w:rsid w:val="002943D5"/>
    <w:rsid w:val="002A1520"/>
    <w:rsid w:val="002A32BE"/>
    <w:rsid w:val="002B07FB"/>
    <w:rsid w:val="002B3376"/>
    <w:rsid w:val="002B37F4"/>
    <w:rsid w:val="002B499A"/>
    <w:rsid w:val="002B4BF3"/>
    <w:rsid w:val="002B55CA"/>
    <w:rsid w:val="002D5416"/>
    <w:rsid w:val="002E1128"/>
    <w:rsid w:val="002E1C35"/>
    <w:rsid w:val="002E39C6"/>
    <w:rsid w:val="002F0C08"/>
    <w:rsid w:val="002F5600"/>
    <w:rsid w:val="002F5931"/>
    <w:rsid w:val="002F5B07"/>
    <w:rsid w:val="002F684F"/>
    <w:rsid w:val="0030214C"/>
    <w:rsid w:val="00302848"/>
    <w:rsid w:val="003035F6"/>
    <w:rsid w:val="003067B2"/>
    <w:rsid w:val="00307CFE"/>
    <w:rsid w:val="003120A6"/>
    <w:rsid w:val="003146BB"/>
    <w:rsid w:val="003163DE"/>
    <w:rsid w:val="003176D3"/>
    <w:rsid w:val="00317D24"/>
    <w:rsid w:val="003207BA"/>
    <w:rsid w:val="003241D2"/>
    <w:rsid w:val="00324CCE"/>
    <w:rsid w:val="003279D7"/>
    <w:rsid w:val="00327A73"/>
    <w:rsid w:val="003307FF"/>
    <w:rsid w:val="00330E63"/>
    <w:rsid w:val="0033525C"/>
    <w:rsid w:val="0034515E"/>
    <w:rsid w:val="003517C6"/>
    <w:rsid w:val="00351C72"/>
    <w:rsid w:val="0035214A"/>
    <w:rsid w:val="00355C0C"/>
    <w:rsid w:val="003679EF"/>
    <w:rsid w:val="0037079D"/>
    <w:rsid w:val="00371285"/>
    <w:rsid w:val="00373A84"/>
    <w:rsid w:val="00380A5C"/>
    <w:rsid w:val="0038660E"/>
    <w:rsid w:val="00390143"/>
    <w:rsid w:val="003929D2"/>
    <w:rsid w:val="003955BA"/>
    <w:rsid w:val="00397243"/>
    <w:rsid w:val="00397D00"/>
    <w:rsid w:val="003A31EA"/>
    <w:rsid w:val="003A4480"/>
    <w:rsid w:val="003A48D5"/>
    <w:rsid w:val="003A568F"/>
    <w:rsid w:val="003A6EB6"/>
    <w:rsid w:val="003B1E95"/>
    <w:rsid w:val="003B2C53"/>
    <w:rsid w:val="003B40FD"/>
    <w:rsid w:val="003B6098"/>
    <w:rsid w:val="003B738C"/>
    <w:rsid w:val="003B7AD3"/>
    <w:rsid w:val="003B7CDD"/>
    <w:rsid w:val="003B7D3E"/>
    <w:rsid w:val="003B7EF0"/>
    <w:rsid w:val="003C2FA4"/>
    <w:rsid w:val="003C5F97"/>
    <w:rsid w:val="003D077F"/>
    <w:rsid w:val="003D0F20"/>
    <w:rsid w:val="003E2913"/>
    <w:rsid w:val="003E48A6"/>
    <w:rsid w:val="003E7269"/>
    <w:rsid w:val="003F14EA"/>
    <w:rsid w:val="003F3CD8"/>
    <w:rsid w:val="003F40CB"/>
    <w:rsid w:val="003F42AF"/>
    <w:rsid w:val="003F5B7B"/>
    <w:rsid w:val="003F5BA9"/>
    <w:rsid w:val="003F6B93"/>
    <w:rsid w:val="004010E0"/>
    <w:rsid w:val="00401F93"/>
    <w:rsid w:val="0040499B"/>
    <w:rsid w:val="004060D1"/>
    <w:rsid w:val="004072AD"/>
    <w:rsid w:val="00407DEE"/>
    <w:rsid w:val="00410873"/>
    <w:rsid w:val="00412F32"/>
    <w:rsid w:val="00412FEF"/>
    <w:rsid w:val="00417E45"/>
    <w:rsid w:val="00423282"/>
    <w:rsid w:val="004243A1"/>
    <w:rsid w:val="00433A38"/>
    <w:rsid w:val="0043511D"/>
    <w:rsid w:val="004352AA"/>
    <w:rsid w:val="004366EF"/>
    <w:rsid w:val="004400C2"/>
    <w:rsid w:val="004412FD"/>
    <w:rsid w:val="0044301E"/>
    <w:rsid w:val="00444B37"/>
    <w:rsid w:val="0045113B"/>
    <w:rsid w:val="00451876"/>
    <w:rsid w:val="004526A9"/>
    <w:rsid w:val="00452EC4"/>
    <w:rsid w:val="004551A4"/>
    <w:rsid w:val="00455329"/>
    <w:rsid w:val="00460F43"/>
    <w:rsid w:val="0046301F"/>
    <w:rsid w:val="004728F7"/>
    <w:rsid w:val="00480D92"/>
    <w:rsid w:val="004829AB"/>
    <w:rsid w:val="004854CF"/>
    <w:rsid w:val="00485945"/>
    <w:rsid w:val="00486308"/>
    <w:rsid w:val="004864E7"/>
    <w:rsid w:val="004A192F"/>
    <w:rsid w:val="004A2BF1"/>
    <w:rsid w:val="004A318C"/>
    <w:rsid w:val="004A480B"/>
    <w:rsid w:val="004A6360"/>
    <w:rsid w:val="004B3546"/>
    <w:rsid w:val="004B632A"/>
    <w:rsid w:val="004C6401"/>
    <w:rsid w:val="004C777A"/>
    <w:rsid w:val="004D1142"/>
    <w:rsid w:val="004E09D6"/>
    <w:rsid w:val="004E1231"/>
    <w:rsid w:val="004E62F8"/>
    <w:rsid w:val="004F01C9"/>
    <w:rsid w:val="004F67BE"/>
    <w:rsid w:val="004F6945"/>
    <w:rsid w:val="004F7464"/>
    <w:rsid w:val="00500119"/>
    <w:rsid w:val="005016C9"/>
    <w:rsid w:val="00502353"/>
    <w:rsid w:val="005109DB"/>
    <w:rsid w:val="005130A5"/>
    <w:rsid w:val="005143F2"/>
    <w:rsid w:val="005157EE"/>
    <w:rsid w:val="00522335"/>
    <w:rsid w:val="0052378C"/>
    <w:rsid w:val="005248A7"/>
    <w:rsid w:val="00536AC7"/>
    <w:rsid w:val="00537243"/>
    <w:rsid w:val="00540495"/>
    <w:rsid w:val="005414C1"/>
    <w:rsid w:val="00541F00"/>
    <w:rsid w:val="00542A5A"/>
    <w:rsid w:val="00544073"/>
    <w:rsid w:val="0055353E"/>
    <w:rsid w:val="00562DB6"/>
    <w:rsid w:val="005630B1"/>
    <w:rsid w:val="005644EA"/>
    <w:rsid w:val="005665D8"/>
    <w:rsid w:val="00567B64"/>
    <w:rsid w:val="00573522"/>
    <w:rsid w:val="00575347"/>
    <w:rsid w:val="005760FA"/>
    <w:rsid w:val="00580E90"/>
    <w:rsid w:val="00583B4E"/>
    <w:rsid w:val="00583C6E"/>
    <w:rsid w:val="00586839"/>
    <w:rsid w:val="00586A43"/>
    <w:rsid w:val="00590C52"/>
    <w:rsid w:val="00590D62"/>
    <w:rsid w:val="005A5E59"/>
    <w:rsid w:val="005B7604"/>
    <w:rsid w:val="005B7E3F"/>
    <w:rsid w:val="005C2187"/>
    <w:rsid w:val="005C584A"/>
    <w:rsid w:val="005C70F1"/>
    <w:rsid w:val="005C719D"/>
    <w:rsid w:val="005D2783"/>
    <w:rsid w:val="005D3824"/>
    <w:rsid w:val="005D508B"/>
    <w:rsid w:val="005D68EA"/>
    <w:rsid w:val="005E08E7"/>
    <w:rsid w:val="005E5AC3"/>
    <w:rsid w:val="005E70D6"/>
    <w:rsid w:val="005F1FD7"/>
    <w:rsid w:val="005F417E"/>
    <w:rsid w:val="005F42E9"/>
    <w:rsid w:val="005F5411"/>
    <w:rsid w:val="00600886"/>
    <w:rsid w:val="00602922"/>
    <w:rsid w:val="006079A7"/>
    <w:rsid w:val="006139D1"/>
    <w:rsid w:val="00615E24"/>
    <w:rsid w:val="006236DA"/>
    <w:rsid w:val="00627930"/>
    <w:rsid w:val="00630471"/>
    <w:rsid w:val="00632F42"/>
    <w:rsid w:val="00633146"/>
    <w:rsid w:val="006336DE"/>
    <w:rsid w:val="0063372A"/>
    <w:rsid w:val="0063711A"/>
    <w:rsid w:val="00637341"/>
    <w:rsid w:val="00640B81"/>
    <w:rsid w:val="006418B1"/>
    <w:rsid w:val="00644A07"/>
    <w:rsid w:val="00647079"/>
    <w:rsid w:val="0065229B"/>
    <w:rsid w:val="006539B8"/>
    <w:rsid w:val="00655287"/>
    <w:rsid w:val="00660F8D"/>
    <w:rsid w:val="006610EC"/>
    <w:rsid w:val="00661287"/>
    <w:rsid w:val="00664F99"/>
    <w:rsid w:val="0066664C"/>
    <w:rsid w:val="006670DD"/>
    <w:rsid w:val="0066757C"/>
    <w:rsid w:val="00667FE9"/>
    <w:rsid w:val="00671CF1"/>
    <w:rsid w:val="006802F6"/>
    <w:rsid w:val="006804AE"/>
    <w:rsid w:val="00687AAA"/>
    <w:rsid w:val="00687CC3"/>
    <w:rsid w:val="00690F31"/>
    <w:rsid w:val="0069117E"/>
    <w:rsid w:val="006923D5"/>
    <w:rsid w:val="00694109"/>
    <w:rsid w:val="0069538A"/>
    <w:rsid w:val="00697A64"/>
    <w:rsid w:val="006A0EC2"/>
    <w:rsid w:val="006A3393"/>
    <w:rsid w:val="006A48D0"/>
    <w:rsid w:val="006A5C0B"/>
    <w:rsid w:val="006A5FE8"/>
    <w:rsid w:val="006A6A15"/>
    <w:rsid w:val="006B0045"/>
    <w:rsid w:val="006B0668"/>
    <w:rsid w:val="006B1ABC"/>
    <w:rsid w:val="006B2A11"/>
    <w:rsid w:val="006C58E5"/>
    <w:rsid w:val="006C7BE2"/>
    <w:rsid w:val="006D472D"/>
    <w:rsid w:val="006D7B8B"/>
    <w:rsid w:val="006E492C"/>
    <w:rsid w:val="006E5E19"/>
    <w:rsid w:val="006E6B90"/>
    <w:rsid w:val="006F23E4"/>
    <w:rsid w:val="00700314"/>
    <w:rsid w:val="00701DFF"/>
    <w:rsid w:val="00702B09"/>
    <w:rsid w:val="00710998"/>
    <w:rsid w:val="0071171C"/>
    <w:rsid w:val="00714103"/>
    <w:rsid w:val="00720039"/>
    <w:rsid w:val="00720090"/>
    <w:rsid w:val="00726285"/>
    <w:rsid w:val="00727AB1"/>
    <w:rsid w:val="007311B2"/>
    <w:rsid w:val="0073210C"/>
    <w:rsid w:val="0073669A"/>
    <w:rsid w:val="0073716A"/>
    <w:rsid w:val="00737467"/>
    <w:rsid w:val="0074102C"/>
    <w:rsid w:val="00742CC9"/>
    <w:rsid w:val="00742FDD"/>
    <w:rsid w:val="00743415"/>
    <w:rsid w:val="007443AC"/>
    <w:rsid w:val="00745A82"/>
    <w:rsid w:val="00745F8D"/>
    <w:rsid w:val="00747BE6"/>
    <w:rsid w:val="007501D7"/>
    <w:rsid w:val="0075174E"/>
    <w:rsid w:val="00757BC4"/>
    <w:rsid w:val="00757D3C"/>
    <w:rsid w:val="0076137D"/>
    <w:rsid w:val="007627B3"/>
    <w:rsid w:val="00767829"/>
    <w:rsid w:val="00771237"/>
    <w:rsid w:val="00780E56"/>
    <w:rsid w:val="00786257"/>
    <w:rsid w:val="00786C9D"/>
    <w:rsid w:val="007879A9"/>
    <w:rsid w:val="007922B0"/>
    <w:rsid w:val="00794BCB"/>
    <w:rsid w:val="00796318"/>
    <w:rsid w:val="007A078C"/>
    <w:rsid w:val="007A09FC"/>
    <w:rsid w:val="007A4B3C"/>
    <w:rsid w:val="007A4E87"/>
    <w:rsid w:val="007A7C70"/>
    <w:rsid w:val="007B286C"/>
    <w:rsid w:val="007B2E82"/>
    <w:rsid w:val="007B6FE0"/>
    <w:rsid w:val="007B7409"/>
    <w:rsid w:val="007C0F01"/>
    <w:rsid w:val="007C610D"/>
    <w:rsid w:val="007C6D38"/>
    <w:rsid w:val="007D2095"/>
    <w:rsid w:val="007D5D97"/>
    <w:rsid w:val="007E04D1"/>
    <w:rsid w:val="007E0AD6"/>
    <w:rsid w:val="007E1EED"/>
    <w:rsid w:val="007E35A4"/>
    <w:rsid w:val="007E41E8"/>
    <w:rsid w:val="007E651E"/>
    <w:rsid w:val="007F022A"/>
    <w:rsid w:val="007F0AD8"/>
    <w:rsid w:val="008018E8"/>
    <w:rsid w:val="00801916"/>
    <w:rsid w:val="00805BAF"/>
    <w:rsid w:val="00815B0E"/>
    <w:rsid w:val="0082184E"/>
    <w:rsid w:val="00824535"/>
    <w:rsid w:val="00825CC5"/>
    <w:rsid w:val="008271EC"/>
    <w:rsid w:val="00827E7D"/>
    <w:rsid w:val="008320B9"/>
    <w:rsid w:val="00833B19"/>
    <w:rsid w:val="00835407"/>
    <w:rsid w:val="00836720"/>
    <w:rsid w:val="008429BA"/>
    <w:rsid w:val="008464FF"/>
    <w:rsid w:val="00860049"/>
    <w:rsid w:val="00863DCE"/>
    <w:rsid w:val="0086714F"/>
    <w:rsid w:val="008716CA"/>
    <w:rsid w:val="00871AB7"/>
    <w:rsid w:val="00872666"/>
    <w:rsid w:val="00873D89"/>
    <w:rsid w:val="0087474A"/>
    <w:rsid w:val="00874A86"/>
    <w:rsid w:val="00875033"/>
    <w:rsid w:val="00877F02"/>
    <w:rsid w:val="00880837"/>
    <w:rsid w:val="00881A44"/>
    <w:rsid w:val="00882892"/>
    <w:rsid w:val="008855C2"/>
    <w:rsid w:val="00890411"/>
    <w:rsid w:val="00891961"/>
    <w:rsid w:val="00893B34"/>
    <w:rsid w:val="008A3EE5"/>
    <w:rsid w:val="008A461E"/>
    <w:rsid w:val="008A5EE0"/>
    <w:rsid w:val="008A723D"/>
    <w:rsid w:val="008B1B8C"/>
    <w:rsid w:val="008B374C"/>
    <w:rsid w:val="008B4B7F"/>
    <w:rsid w:val="008B4F8D"/>
    <w:rsid w:val="008B6561"/>
    <w:rsid w:val="008C24CC"/>
    <w:rsid w:val="008C286A"/>
    <w:rsid w:val="008C701F"/>
    <w:rsid w:val="008C7FA9"/>
    <w:rsid w:val="008D2DA3"/>
    <w:rsid w:val="008E2CAE"/>
    <w:rsid w:val="008F329A"/>
    <w:rsid w:val="008F5012"/>
    <w:rsid w:val="008F60B1"/>
    <w:rsid w:val="00902E8C"/>
    <w:rsid w:val="009056DE"/>
    <w:rsid w:val="00905D0B"/>
    <w:rsid w:val="009060EC"/>
    <w:rsid w:val="00906955"/>
    <w:rsid w:val="00910B5B"/>
    <w:rsid w:val="00910FE3"/>
    <w:rsid w:val="00911BA9"/>
    <w:rsid w:val="0091273F"/>
    <w:rsid w:val="00915230"/>
    <w:rsid w:val="00916749"/>
    <w:rsid w:val="00925731"/>
    <w:rsid w:val="00932172"/>
    <w:rsid w:val="00936247"/>
    <w:rsid w:val="00941D35"/>
    <w:rsid w:val="0094255D"/>
    <w:rsid w:val="0094645D"/>
    <w:rsid w:val="00947951"/>
    <w:rsid w:val="0094799C"/>
    <w:rsid w:val="00947FD9"/>
    <w:rsid w:val="00950E5B"/>
    <w:rsid w:val="00951CCF"/>
    <w:rsid w:val="00953C37"/>
    <w:rsid w:val="00954B1A"/>
    <w:rsid w:val="00954BAB"/>
    <w:rsid w:val="0095583C"/>
    <w:rsid w:val="009571C1"/>
    <w:rsid w:val="00962A63"/>
    <w:rsid w:val="009637A8"/>
    <w:rsid w:val="0096640F"/>
    <w:rsid w:val="009724CB"/>
    <w:rsid w:val="0097371A"/>
    <w:rsid w:val="00974F5D"/>
    <w:rsid w:val="00975B2D"/>
    <w:rsid w:val="00977D4D"/>
    <w:rsid w:val="009820C4"/>
    <w:rsid w:val="00982814"/>
    <w:rsid w:val="00982B0F"/>
    <w:rsid w:val="00982E49"/>
    <w:rsid w:val="009870C4"/>
    <w:rsid w:val="00991E89"/>
    <w:rsid w:val="00997587"/>
    <w:rsid w:val="00997AC5"/>
    <w:rsid w:val="009A04E8"/>
    <w:rsid w:val="009A1A39"/>
    <w:rsid w:val="009B01EE"/>
    <w:rsid w:val="009B7BF2"/>
    <w:rsid w:val="009C3670"/>
    <w:rsid w:val="009D112F"/>
    <w:rsid w:val="009D2C5C"/>
    <w:rsid w:val="009D6685"/>
    <w:rsid w:val="009D685C"/>
    <w:rsid w:val="009D7707"/>
    <w:rsid w:val="009E11DC"/>
    <w:rsid w:val="009E5334"/>
    <w:rsid w:val="009E63FF"/>
    <w:rsid w:val="009F0BDA"/>
    <w:rsid w:val="009F229E"/>
    <w:rsid w:val="009F4869"/>
    <w:rsid w:val="009F5F74"/>
    <w:rsid w:val="009F77FA"/>
    <w:rsid w:val="00A0135C"/>
    <w:rsid w:val="00A04379"/>
    <w:rsid w:val="00A12632"/>
    <w:rsid w:val="00A13400"/>
    <w:rsid w:val="00A172F1"/>
    <w:rsid w:val="00A21790"/>
    <w:rsid w:val="00A26F33"/>
    <w:rsid w:val="00A27EAE"/>
    <w:rsid w:val="00A30DF7"/>
    <w:rsid w:val="00A315EC"/>
    <w:rsid w:val="00A36DA8"/>
    <w:rsid w:val="00A412C4"/>
    <w:rsid w:val="00A421A0"/>
    <w:rsid w:val="00A44BAD"/>
    <w:rsid w:val="00A51A0D"/>
    <w:rsid w:val="00A53FF8"/>
    <w:rsid w:val="00A569F6"/>
    <w:rsid w:val="00A6409C"/>
    <w:rsid w:val="00A6504A"/>
    <w:rsid w:val="00A66A89"/>
    <w:rsid w:val="00A7205B"/>
    <w:rsid w:val="00A74B5E"/>
    <w:rsid w:val="00A75014"/>
    <w:rsid w:val="00A7556F"/>
    <w:rsid w:val="00A756A5"/>
    <w:rsid w:val="00A75EDB"/>
    <w:rsid w:val="00A76322"/>
    <w:rsid w:val="00A842D7"/>
    <w:rsid w:val="00A85085"/>
    <w:rsid w:val="00A95F20"/>
    <w:rsid w:val="00A96BD3"/>
    <w:rsid w:val="00AA057C"/>
    <w:rsid w:val="00AA1E2E"/>
    <w:rsid w:val="00AA3A44"/>
    <w:rsid w:val="00AA54E8"/>
    <w:rsid w:val="00AA57E3"/>
    <w:rsid w:val="00AA76FE"/>
    <w:rsid w:val="00AB3078"/>
    <w:rsid w:val="00AB54DE"/>
    <w:rsid w:val="00AB5B9A"/>
    <w:rsid w:val="00AC1392"/>
    <w:rsid w:val="00AC3F76"/>
    <w:rsid w:val="00AC6AEB"/>
    <w:rsid w:val="00AD0378"/>
    <w:rsid w:val="00AD140F"/>
    <w:rsid w:val="00AD1546"/>
    <w:rsid w:val="00AD17C9"/>
    <w:rsid w:val="00AE0971"/>
    <w:rsid w:val="00AE50FA"/>
    <w:rsid w:val="00AE7131"/>
    <w:rsid w:val="00AE74DB"/>
    <w:rsid w:val="00AE76FD"/>
    <w:rsid w:val="00AF0F49"/>
    <w:rsid w:val="00AF4392"/>
    <w:rsid w:val="00AF5C5D"/>
    <w:rsid w:val="00AF6757"/>
    <w:rsid w:val="00AF69E9"/>
    <w:rsid w:val="00B109CB"/>
    <w:rsid w:val="00B11AF4"/>
    <w:rsid w:val="00B1457B"/>
    <w:rsid w:val="00B17AB0"/>
    <w:rsid w:val="00B20085"/>
    <w:rsid w:val="00B25C34"/>
    <w:rsid w:val="00B31050"/>
    <w:rsid w:val="00B33CF2"/>
    <w:rsid w:val="00B342D0"/>
    <w:rsid w:val="00B349CA"/>
    <w:rsid w:val="00B3789F"/>
    <w:rsid w:val="00B425B3"/>
    <w:rsid w:val="00B46206"/>
    <w:rsid w:val="00B50531"/>
    <w:rsid w:val="00B52B4F"/>
    <w:rsid w:val="00B63641"/>
    <w:rsid w:val="00B65C65"/>
    <w:rsid w:val="00B6773F"/>
    <w:rsid w:val="00B73AFF"/>
    <w:rsid w:val="00B779E1"/>
    <w:rsid w:val="00B828B5"/>
    <w:rsid w:val="00B82A72"/>
    <w:rsid w:val="00B915B2"/>
    <w:rsid w:val="00B92520"/>
    <w:rsid w:val="00B92ACB"/>
    <w:rsid w:val="00B933C4"/>
    <w:rsid w:val="00B94B1F"/>
    <w:rsid w:val="00BA0152"/>
    <w:rsid w:val="00BA18DD"/>
    <w:rsid w:val="00BA1982"/>
    <w:rsid w:val="00BA2797"/>
    <w:rsid w:val="00BA6C11"/>
    <w:rsid w:val="00BA75AD"/>
    <w:rsid w:val="00BB0671"/>
    <w:rsid w:val="00BB3230"/>
    <w:rsid w:val="00BC18BB"/>
    <w:rsid w:val="00BC2957"/>
    <w:rsid w:val="00BD58EB"/>
    <w:rsid w:val="00BD72E0"/>
    <w:rsid w:val="00BD7BB0"/>
    <w:rsid w:val="00BE10CB"/>
    <w:rsid w:val="00BF2101"/>
    <w:rsid w:val="00BF314B"/>
    <w:rsid w:val="00BF55A0"/>
    <w:rsid w:val="00BF5EF9"/>
    <w:rsid w:val="00BF777F"/>
    <w:rsid w:val="00C011F4"/>
    <w:rsid w:val="00C02B32"/>
    <w:rsid w:val="00C04707"/>
    <w:rsid w:val="00C04AC8"/>
    <w:rsid w:val="00C053D3"/>
    <w:rsid w:val="00C1016D"/>
    <w:rsid w:val="00C35B58"/>
    <w:rsid w:val="00C432BB"/>
    <w:rsid w:val="00C4660B"/>
    <w:rsid w:val="00C50FA7"/>
    <w:rsid w:val="00C525D6"/>
    <w:rsid w:val="00C5297A"/>
    <w:rsid w:val="00C533DE"/>
    <w:rsid w:val="00C60CF8"/>
    <w:rsid w:val="00C63B34"/>
    <w:rsid w:val="00C64656"/>
    <w:rsid w:val="00C67A42"/>
    <w:rsid w:val="00C73230"/>
    <w:rsid w:val="00C73235"/>
    <w:rsid w:val="00C756A3"/>
    <w:rsid w:val="00C8168B"/>
    <w:rsid w:val="00C816AD"/>
    <w:rsid w:val="00C82D3F"/>
    <w:rsid w:val="00C82E2D"/>
    <w:rsid w:val="00C83A0F"/>
    <w:rsid w:val="00C859B4"/>
    <w:rsid w:val="00C86F32"/>
    <w:rsid w:val="00C8780B"/>
    <w:rsid w:val="00C9165B"/>
    <w:rsid w:val="00CA2D86"/>
    <w:rsid w:val="00CA6349"/>
    <w:rsid w:val="00CB2CFD"/>
    <w:rsid w:val="00CB46D1"/>
    <w:rsid w:val="00CB4A94"/>
    <w:rsid w:val="00CB61AB"/>
    <w:rsid w:val="00CC50F8"/>
    <w:rsid w:val="00CC5401"/>
    <w:rsid w:val="00CD02F1"/>
    <w:rsid w:val="00CD1E3A"/>
    <w:rsid w:val="00CD4ECA"/>
    <w:rsid w:val="00CE4719"/>
    <w:rsid w:val="00CF0B7D"/>
    <w:rsid w:val="00CF3B6A"/>
    <w:rsid w:val="00CF55DA"/>
    <w:rsid w:val="00CF61CD"/>
    <w:rsid w:val="00CF6469"/>
    <w:rsid w:val="00D03557"/>
    <w:rsid w:val="00D063E0"/>
    <w:rsid w:val="00D1020F"/>
    <w:rsid w:val="00D10707"/>
    <w:rsid w:val="00D10EED"/>
    <w:rsid w:val="00D17E59"/>
    <w:rsid w:val="00D207CE"/>
    <w:rsid w:val="00D22B19"/>
    <w:rsid w:val="00D27005"/>
    <w:rsid w:val="00D27FFC"/>
    <w:rsid w:val="00D30E28"/>
    <w:rsid w:val="00D31F7B"/>
    <w:rsid w:val="00D36D0D"/>
    <w:rsid w:val="00D37F66"/>
    <w:rsid w:val="00D4270E"/>
    <w:rsid w:val="00D50C7B"/>
    <w:rsid w:val="00D573FE"/>
    <w:rsid w:val="00D61808"/>
    <w:rsid w:val="00D61A2F"/>
    <w:rsid w:val="00D64089"/>
    <w:rsid w:val="00D64DFD"/>
    <w:rsid w:val="00D679F7"/>
    <w:rsid w:val="00D73085"/>
    <w:rsid w:val="00D7669C"/>
    <w:rsid w:val="00D77E05"/>
    <w:rsid w:val="00D808DC"/>
    <w:rsid w:val="00D80A33"/>
    <w:rsid w:val="00D81874"/>
    <w:rsid w:val="00D82408"/>
    <w:rsid w:val="00D92534"/>
    <w:rsid w:val="00D92F2E"/>
    <w:rsid w:val="00D96512"/>
    <w:rsid w:val="00DA0902"/>
    <w:rsid w:val="00DA3B75"/>
    <w:rsid w:val="00DA7B55"/>
    <w:rsid w:val="00DB0171"/>
    <w:rsid w:val="00DB1F86"/>
    <w:rsid w:val="00DB4ADB"/>
    <w:rsid w:val="00DB617D"/>
    <w:rsid w:val="00DC1982"/>
    <w:rsid w:val="00DC7404"/>
    <w:rsid w:val="00DD1E2B"/>
    <w:rsid w:val="00DD3E8A"/>
    <w:rsid w:val="00DF10CE"/>
    <w:rsid w:val="00DF36B8"/>
    <w:rsid w:val="00E00282"/>
    <w:rsid w:val="00E00F48"/>
    <w:rsid w:val="00E03495"/>
    <w:rsid w:val="00E04FE3"/>
    <w:rsid w:val="00E0517F"/>
    <w:rsid w:val="00E05C06"/>
    <w:rsid w:val="00E06216"/>
    <w:rsid w:val="00E073E9"/>
    <w:rsid w:val="00E11241"/>
    <w:rsid w:val="00E12B4F"/>
    <w:rsid w:val="00E1488F"/>
    <w:rsid w:val="00E20617"/>
    <w:rsid w:val="00E25180"/>
    <w:rsid w:val="00E30083"/>
    <w:rsid w:val="00E35955"/>
    <w:rsid w:val="00E36BA6"/>
    <w:rsid w:val="00E4144C"/>
    <w:rsid w:val="00E4184A"/>
    <w:rsid w:val="00E422F7"/>
    <w:rsid w:val="00E45968"/>
    <w:rsid w:val="00E5017E"/>
    <w:rsid w:val="00E50C64"/>
    <w:rsid w:val="00E549CE"/>
    <w:rsid w:val="00E57E6D"/>
    <w:rsid w:val="00E603BE"/>
    <w:rsid w:val="00E66EC8"/>
    <w:rsid w:val="00E709F7"/>
    <w:rsid w:val="00E763C0"/>
    <w:rsid w:val="00E76B63"/>
    <w:rsid w:val="00E811FC"/>
    <w:rsid w:val="00E83CDF"/>
    <w:rsid w:val="00E84B94"/>
    <w:rsid w:val="00E92A33"/>
    <w:rsid w:val="00E9719B"/>
    <w:rsid w:val="00EA0FA0"/>
    <w:rsid w:val="00EA263A"/>
    <w:rsid w:val="00EA27D9"/>
    <w:rsid w:val="00EA4824"/>
    <w:rsid w:val="00EA5DD2"/>
    <w:rsid w:val="00EA5EB4"/>
    <w:rsid w:val="00EA646D"/>
    <w:rsid w:val="00EA7565"/>
    <w:rsid w:val="00EB2667"/>
    <w:rsid w:val="00EB3966"/>
    <w:rsid w:val="00EB48AC"/>
    <w:rsid w:val="00EB6964"/>
    <w:rsid w:val="00EB6F1B"/>
    <w:rsid w:val="00EC283C"/>
    <w:rsid w:val="00EC6623"/>
    <w:rsid w:val="00EC6E3A"/>
    <w:rsid w:val="00EC7C0C"/>
    <w:rsid w:val="00EC7F38"/>
    <w:rsid w:val="00ED05A7"/>
    <w:rsid w:val="00ED1689"/>
    <w:rsid w:val="00ED1B31"/>
    <w:rsid w:val="00ED42A5"/>
    <w:rsid w:val="00ED439E"/>
    <w:rsid w:val="00ED79DD"/>
    <w:rsid w:val="00ED7ADD"/>
    <w:rsid w:val="00ED7BEC"/>
    <w:rsid w:val="00ED7D6D"/>
    <w:rsid w:val="00EE3204"/>
    <w:rsid w:val="00EE4CF1"/>
    <w:rsid w:val="00EE73F2"/>
    <w:rsid w:val="00EF159B"/>
    <w:rsid w:val="00EF5D3B"/>
    <w:rsid w:val="00F00C88"/>
    <w:rsid w:val="00F026F2"/>
    <w:rsid w:val="00F04860"/>
    <w:rsid w:val="00F154EB"/>
    <w:rsid w:val="00F23634"/>
    <w:rsid w:val="00F23643"/>
    <w:rsid w:val="00F256AF"/>
    <w:rsid w:val="00F263C7"/>
    <w:rsid w:val="00F37157"/>
    <w:rsid w:val="00F37A77"/>
    <w:rsid w:val="00F40635"/>
    <w:rsid w:val="00F47504"/>
    <w:rsid w:val="00F504FA"/>
    <w:rsid w:val="00F50BD0"/>
    <w:rsid w:val="00F56733"/>
    <w:rsid w:val="00F6121B"/>
    <w:rsid w:val="00F61E21"/>
    <w:rsid w:val="00F63E67"/>
    <w:rsid w:val="00F67F34"/>
    <w:rsid w:val="00F71DDF"/>
    <w:rsid w:val="00F756BD"/>
    <w:rsid w:val="00F75E18"/>
    <w:rsid w:val="00F76468"/>
    <w:rsid w:val="00F7675E"/>
    <w:rsid w:val="00F808D0"/>
    <w:rsid w:val="00F817B7"/>
    <w:rsid w:val="00F8276E"/>
    <w:rsid w:val="00F82D02"/>
    <w:rsid w:val="00F86C90"/>
    <w:rsid w:val="00F9082F"/>
    <w:rsid w:val="00F90F16"/>
    <w:rsid w:val="00F92863"/>
    <w:rsid w:val="00F93C73"/>
    <w:rsid w:val="00F957CC"/>
    <w:rsid w:val="00F966AD"/>
    <w:rsid w:val="00FA0BAE"/>
    <w:rsid w:val="00FA2B2F"/>
    <w:rsid w:val="00FA4CC4"/>
    <w:rsid w:val="00FA4D43"/>
    <w:rsid w:val="00FA5420"/>
    <w:rsid w:val="00FA7C8B"/>
    <w:rsid w:val="00FB0A52"/>
    <w:rsid w:val="00FB2438"/>
    <w:rsid w:val="00FB7559"/>
    <w:rsid w:val="00FC1973"/>
    <w:rsid w:val="00FC2AB5"/>
    <w:rsid w:val="00FC2EDA"/>
    <w:rsid w:val="00FD46D9"/>
    <w:rsid w:val="00FD4765"/>
    <w:rsid w:val="00FD6DE7"/>
    <w:rsid w:val="00FE4C9B"/>
    <w:rsid w:val="00FE5D75"/>
    <w:rsid w:val="00FE671F"/>
    <w:rsid w:val="00FF0EDD"/>
    <w:rsid w:val="00FF16C4"/>
    <w:rsid w:val="00FF44BC"/>
    <w:rsid w:val="00FF618F"/>
    <w:rsid w:val="00FF7FD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CDB76"/>
  <w15:chartTrackingRefBased/>
  <w15:docId w15:val="{9C497655-5132-4BE5-BFA3-6656A12C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B65C65"/>
    <w:pPr>
      <w:numPr>
        <w:numId w:val="5"/>
      </w:numPr>
      <w:tabs>
        <w:tab w:val="left" w:pos="3969"/>
      </w:tabs>
      <w:spacing w:before="120" w:line="360" w:lineRule="auto"/>
      <w:jc w:val="center"/>
      <w:outlineLvl w:val="0"/>
    </w:pPr>
    <w:rPr>
      <w:rFonts w:ascii="Verdana" w:hAnsi="Verdana"/>
      <w:b/>
      <w:sz w:val="24"/>
    </w:rPr>
  </w:style>
  <w:style w:type="paragraph" w:styleId="Heading2">
    <w:name w:val="heading 2"/>
    <w:basedOn w:val="ListParagraph"/>
    <w:next w:val="Normal"/>
    <w:link w:val="Heading2Char"/>
    <w:uiPriority w:val="9"/>
    <w:unhideWhenUsed/>
    <w:qFormat/>
    <w:rsid w:val="006A3393"/>
    <w:pPr>
      <w:numPr>
        <w:numId w:val="6"/>
      </w:numPr>
      <w:tabs>
        <w:tab w:val="left" w:pos="1701"/>
      </w:tabs>
      <w:spacing w:before="120" w:after="0" w:line="360" w:lineRule="auto"/>
      <w:ind w:left="426"/>
      <w:jc w:val="center"/>
      <w:outlineLvl w:val="1"/>
    </w:pPr>
    <w:rPr>
      <w:rFonts w:ascii="Verdana" w:hAnsi="Verdana"/>
      <w:b/>
      <w:color w:val="000000" w:themeColor="text1"/>
    </w:rPr>
  </w:style>
  <w:style w:type="paragraph" w:styleId="Heading3">
    <w:name w:val="heading 3"/>
    <w:basedOn w:val="ListParagraph"/>
    <w:next w:val="Normal"/>
    <w:link w:val="Heading3Char"/>
    <w:uiPriority w:val="9"/>
    <w:unhideWhenUsed/>
    <w:qFormat/>
    <w:rsid w:val="00875033"/>
    <w:pPr>
      <w:numPr>
        <w:numId w:val="8"/>
      </w:numPr>
      <w:jc w:val="center"/>
      <w:outlineLvl w:val="2"/>
    </w:pPr>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0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79A9"/>
    <w:pPr>
      <w:tabs>
        <w:tab w:val="center" w:pos="4252"/>
        <w:tab w:val="right" w:pos="8504"/>
      </w:tabs>
      <w:spacing w:after="0" w:line="240" w:lineRule="auto"/>
    </w:pPr>
  </w:style>
  <w:style w:type="character" w:customStyle="1" w:styleId="HeaderChar">
    <w:name w:val="Header Char"/>
    <w:basedOn w:val="DefaultParagraphFont"/>
    <w:link w:val="Header"/>
    <w:uiPriority w:val="99"/>
    <w:rsid w:val="007879A9"/>
  </w:style>
  <w:style w:type="paragraph" w:styleId="Footer">
    <w:name w:val="footer"/>
    <w:basedOn w:val="Normal"/>
    <w:link w:val="FooterChar"/>
    <w:uiPriority w:val="99"/>
    <w:unhideWhenUsed/>
    <w:rsid w:val="007879A9"/>
    <w:pPr>
      <w:tabs>
        <w:tab w:val="center" w:pos="4252"/>
        <w:tab w:val="right" w:pos="8504"/>
      </w:tabs>
      <w:spacing w:after="0" w:line="240" w:lineRule="auto"/>
    </w:pPr>
  </w:style>
  <w:style w:type="character" w:customStyle="1" w:styleId="FooterChar">
    <w:name w:val="Footer Char"/>
    <w:basedOn w:val="DefaultParagraphFont"/>
    <w:link w:val="Footer"/>
    <w:uiPriority w:val="99"/>
    <w:rsid w:val="007879A9"/>
  </w:style>
  <w:style w:type="paragraph" w:styleId="ListParagraph">
    <w:name w:val="List Paragraph"/>
    <w:aliases w:val="Paragraph,Paragraphe de liste PBLH,Normal bullet 2,Bullet list,Figure_name,Equipment,Numbered Indented Text,List Paragraph1,lp1,List Paragraph11,List Paragraph Char Char Char,List Paragraph Char Char,Citation List,List Paragraph2,Ha"/>
    <w:basedOn w:val="Normal"/>
    <w:link w:val="ListParagraphChar"/>
    <w:uiPriority w:val="34"/>
    <w:qFormat/>
    <w:rsid w:val="00A172F1"/>
    <w:pPr>
      <w:ind w:left="720"/>
      <w:contextualSpacing/>
    </w:pPr>
  </w:style>
  <w:style w:type="character" w:styleId="CommentReference">
    <w:name w:val="annotation reference"/>
    <w:basedOn w:val="DefaultParagraphFont"/>
    <w:uiPriority w:val="99"/>
    <w:semiHidden/>
    <w:unhideWhenUsed/>
    <w:rsid w:val="006418B1"/>
    <w:rPr>
      <w:sz w:val="16"/>
      <w:szCs w:val="16"/>
    </w:rPr>
  </w:style>
  <w:style w:type="paragraph" w:styleId="CommentText">
    <w:name w:val="annotation text"/>
    <w:basedOn w:val="Normal"/>
    <w:link w:val="CommentTextChar"/>
    <w:uiPriority w:val="99"/>
    <w:unhideWhenUsed/>
    <w:rsid w:val="006418B1"/>
    <w:pPr>
      <w:spacing w:line="240" w:lineRule="auto"/>
    </w:pPr>
    <w:rPr>
      <w:sz w:val="20"/>
      <w:szCs w:val="20"/>
    </w:rPr>
  </w:style>
  <w:style w:type="character" w:customStyle="1" w:styleId="CommentTextChar">
    <w:name w:val="Comment Text Char"/>
    <w:basedOn w:val="DefaultParagraphFont"/>
    <w:link w:val="CommentText"/>
    <w:uiPriority w:val="99"/>
    <w:rsid w:val="006418B1"/>
    <w:rPr>
      <w:sz w:val="20"/>
      <w:szCs w:val="20"/>
    </w:rPr>
  </w:style>
  <w:style w:type="paragraph" w:styleId="CommentSubject">
    <w:name w:val="annotation subject"/>
    <w:basedOn w:val="CommentText"/>
    <w:next w:val="CommentText"/>
    <w:link w:val="CommentSubjectChar"/>
    <w:uiPriority w:val="99"/>
    <w:semiHidden/>
    <w:unhideWhenUsed/>
    <w:rsid w:val="006418B1"/>
    <w:rPr>
      <w:b/>
      <w:bCs/>
    </w:rPr>
  </w:style>
  <w:style w:type="character" w:customStyle="1" w:styleId="CommentSubjectChar">
    <w:name w:val="Comment Subject Char"/>
    <w:basedOn w:val="CommentTextChar"/>
    <w:link w:val="CommentSubject"/>
    <w:uiPriority w:val="99"/>
    <w:semiHidden/>
    <w:rsid w:val="006418B1"/>
    <w:rPr>
      <w:b/>
      <w:bCs/>
      <w:sz w:val="20"/>
      <w:szCs w:val="20"/>
    </w:rPr>
  </w:style>
  <w:style w:type="paragraph" w:styleId="BalloonText">
    <w:name w:val="Balloon Text"/>
    <w:basedOn w:val="Normal"/>
    <w:link w:val="BalloonTextChar"/>
    <w:uiPriority w:val="99"/>
    <w:semiHidden/>
    <w:unhideWhenUsed/>
    <w:rsid w:val="006418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8B1"/>
    <w:rPr>
      <w:rFonts w:ascii="Segoe UI" w:hAnsi="Segoe UI" w:cs="Segoe UI"/>
      <w:sz w:val="18"/>
      <w:szCs w:val="18"/>
    </w:rPr>
  </w:style>
  <w:style w:type="character" w:customStyle="1" w:styleId="ListParagraphChar">
    <w:name w:val="List Paragraph Char"/>
    <w:aliases w:val="Paragraph Char,Paragraphe de liste PBLH Char,Normal bullet 2 Char,Bullet list Char,Figure_name Char,Equipment Char,Numbered Indented Text Char,List Paragraph1 Char,lp1 Char,List Paragraph11 Char,List Paragraph Char Char Char Char"/>
    <w:link w:val="ListParagraph"/>
    <w:uiPriority w:val="34"/>
    <w:qFormat/>
    <w:rsid w:val="00092BC2"/>
  </w:style>
  <w:style w:type="character" w:customStyle="1" w:styleId="Heading1Char">
    <w:name w:val="Heading 1 Char"/>
    <w:basedOn w:val="DefaultParagraphFont"/>
    <w:link w:val="Heading1"/>
    <w:uiPriority w:val="9"/>
    <w:rsid w:val="00B65C65"/>
    <w:rPr>
      <w:rFonts w:ascii="Verdana" w:hAnsi="Verdana"/>
      <w:b/>
      <w:sz w:val="24"/>
    </w:rPr>
  </w:style>
  <w:style w:type="paragraph" w:customStyle="1" w:styleId="tex">
    <w:name w:val="tex"/>
    <w:basedOn w:val="Normal"/>
    <w:rsid w:val="00105C80"/>
    <w:pPr>
      <w:spacing w:before="60" w:after="60" w:line="240" w:lineRule="auto"/>
      <w:jc w:val="both"/>
    </w:pPr>
    <w:rPr>
      <w:rFonts w:ascii="Times New Roman" w:eastAsia="Times New Roman" w:hAnsi="Times New Roman" w:cs="Times New Roman"/>
      <w:sz w:val="24"/>
      <w:szCs w:val="24"/>
      <w:lang w:eastAsia="da-DK"/>
    </w:rPr>
  </w:style>
  <w:style w:type="paragraph" w:styleId="NormalWeb">
    <w:name w:val="Normal (Web)"/>
    <w:basedOn w:val="Normal"/>
    <w:uiPriority w:val="99"/>
    <w:unhideWhenUsed/>
    <w:rsid w:val="004551A4"/>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yperlink">
    <w:name w:val="Hyperlink"/>
    <w:basedOn w:val="DefaultParagraphFont"/>
    <w:uiPriority w:val="99"/>
    <w:unhideWhenUsed/>
    <w:rsid w:val="004551A4"/>
    <w:rPr>
      <w:color w:val="0000FF"/>
      <w:u w:val="single"/>
    </w:rPr>
  </w:style>
  <w:style w:type="paragraph" w:styleId="Revision">
    <w:name w:val="Revision"/>
    <w:hidden/>
    <w:uiPriority w:val="99"/>
    <w:semiHidden/>
    <w:rsid w:val="00D96512"/>
    <w:pPr>
      <w:spacing w:after="0" w:line="240" w:lineRule="auto"/>
    </w:pPr>
  </w:style>
  <w:style w:type="paragraph" w:styleId="FootnoteText">
    <w:name w:val="footnote text"/>
    <w:basedOn w:val="Normal"/>
    <w:link w:val="FootnoteTextChar"/>
    <w:uiPriority w:val="99"/>
    <w:semiHidden/>
    <w:unhideWhenUsed/>
    <w:rsid w:val="00863D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3DCE"/>
    <w:rPr>
      <w:sz w:val="20"/>
      <w:szCs w:val="20"/>
    </w:rPr>
  </w:style>
  <w:style w:type="character" w:styleId="FootnoteReference">
    <w:name w:val="footnote reference"/>
    <w:basedOn w:val="DefaultParagraphFont"/>
    <w:uiPriority w:val="99"/>
    <w:semiHidden/>
    <w:unhideWhenUsed/>
    <w:rsid w:val="00863DCE"/>
    <w:rPr>
      <w:vertAlign w:val="superscript"/>
    </w:rPr>
  </w:style>
  <w:style w:type="paragraph" w:customStyle="1" w:styleId="CM1">
    <w:name w:val="CM1"/>
    <w:basedOn w:val="Normal"/>
    <w:next w:val="Normal"/>
    <w:uiPriority w:val="99"/>
    <w:rsid w:val="00AE74DB"/>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AE74DB"/>
    <w:pPr>
      <w:autoSpaceDE w:val="0"/>
      <w:autoSpaceDN w:val="0"/>
      <w:adjustRightInd w:val="0"/>
      <w:spacing w:after="0" w:line="240" w:lineRule="auto"/>
    </w:pPr>
    <w:rPr>
      <w:rFonts w:ascii="EUAlbertina" w:hAnsi="EUAlbertina"/>
      <w:sz w:val="24"/>
      <w:szCs w:val="24"/>
    </w:rPr>
  </w:style>
  <w:style w:type="character" w:customStyle="1" w:styleId="MenoNoResolvida1">
    <w:name w:val="Menção Não Resolvida1"/>
    <w:basedOn w:val="DefaultParagraphFont"/>
    <w:uiPriority w:val="99"/>
    <w:semiHidden/>
    <w:unhideWhenUsed/>
    <w:rsid w:val="005414C1"/>
    <w:rPr>
      <w:color w:val="605E5C"/>
      <w:shd w:val="clear" w:color="auto" w:fill="E1DFDD"/>
    </w:rPr>
  </w:style>
  <w:style w:type="paragraph" w:customStyle="1" w:styleId="Chapitre">
    <w:name w:val="Chapitre"/>
    <w:basedOn w:val="Normal"/>
    <w:qFormat/>
    <w:rsid w:val="005414C1"/>
    <w:pPr>
      <w:numPr>
        <w:numId w:val="4"/>
      </w:numPr>
      <w:spacing w:beforeLines="100" w:after="240" w:line="240" w:lineRule="auto"/>
      <w:ind w:left="720"/>
      <w:jc w:val="center"/>
    </w:pPr>
    <w:rPr>
      <w:rFonts w:ascii="Verdana" w:eastAsia="Calibri" w:hAnsi="Verdana" w:cs="TimesLTStd-Roman"/>
      <w:b/>
      <w:sz w:val="20"/>
      <w:szCs w:val="20"/>
    </w:rPr>
  </w:style>
  <w:style w:type="paragraph" w:customStyle="1" w:styleId="Section">
    <w:name w:val="Section"/>
    <w:basedOn w:val="Normal"/>
    <w:qFormat/>
    <w:rsid w:val="005414C1"/>
    <w:pPr>
      <w:numPr>
        <w:ilvl w:val="1"/>
        <w:numId w:val="4"/>
      </w:numPr>
      <w:spacing w:beforeLines="100" w:after="240" w:line="240" w:lineRule="auto"/>
      <w:jc w:val="center"/>
    </w:pPr>
    <w:rPr>
      <w:rFonts w:ascii="Verdana" w:eastAsia="Calibri" w:hAnsi="Verdana" w:cs="TimesLTStd-Roman"/>
      <w:b/>
      <w:sz w:val="20"/>
      <w:szCs w:val="20"/>
    </w:rPr>
  </w:style>
  <w:style w:type="paragraph" w:customStyle="1" w:styleId="Sous-section">
    <w:name w:val="Sous-section"/>
    <w:basedOn w:val="Normal"/>
    <w:qFormat/>
    <w:rsid w:val="005414C1"/>
    <w:pPr>
      <w:numPr>
        <w:ilvl w:val="2"/>
        <w:numId w:val="4"/>
      </w:numPr>
      <w:spacing w:beforeLines="100" w:after="240" w:line="240" w:lineRule="auto"/>
      <w:jc w:val="center"/>
    </w:pPr>
    <w:rPr>
      <w:rFonts w:ascii="Verdana" w:eastAsia="Calibri" w:hAnsi="Verdana" w:cs="TimesLTStd-Roman"/>
      <w:b/>
      <w:sz w:val="20"/>
      <w:szCs w:val="20"/>
    </w:rPr>
  </w:style>
  <w:style w:type="paragraph" w:customStyle="1" w:styleId="Article">
    <w:name w:val="Article"/>
    <w:basedOn w:val="Normal"/>
    <w:qFormat/>
    <w:rsid w:val="005414C1"/>
    <w:pPr>
      <w:numPr>
        <w:ilvl w:val="3"/>
        <w:numId w:val="4"/>
      </w:numPr>
      <w:spacing w:beforeLines="100" w:after="240" w:line="240" w:lineRule="auto"/>
      <w:jc w:val="both"/>
    </w:pPr>
    <w:rPr>
      <w:rFonts w:ascii="Verdana" w:eastAsia="Calibri" w:hAnsi="Verdana" w:cs="TimesLTStd-Roman"/>
      <w:b/>
      <w:sz w:val="20"/>
      <w:szCs w:val="20"/>
    </w:rPr>
  </w:style>
  <w:style w:type="paragraph" w:customStyle="1" w:styleId="Liste1">
    <w:name w:val="Liste (1)"/>
    <w:basedOn w:val="Normal"/>
    <w:qFormat/>
    <w:rsid w:val="005414C1"/>
    <w:pPr>
      <w:numPr>
        <w:ilvl w:val="4"/>
        <w:numId w:val="4"/>
      </w:numPr>
      <w:spacing w:beforeLines="125" w:after="240" w:line="240" w:lineRule="auto"/>
      <w:jc w:val="both"/>
    </w:pPr>
    <w:rPr>
      <w:rFonts w:ascii="Verdana" w:eastAsia="Calibri" w:hAnsi="Verdana" w:cs="TimesLTStd-Roman"/>
      <w:bCs/>
      <w:color w:val="221E1F"/>
      <w:sz w:val="20"/>
      <w:szCs w:val="20"/>
    </w:rPr>
  </w:style>
  <w:style w:type="paragraph" w:customStyle="1" w:styleId="Liste10">
    <w:name w:val="Liste 1."/>
    <w:basedOn w:val="Normal"/>
    <w:qFormat/>
    <w:rsid w:val="005414C1"/>
    <w:pPr>
      <w:numPr>
        <w:ilvl w:val="5"/>
        <w:numId w:val="4"/>
      </w:numPr>
      <w:spacing w:before="60" w:after="120" w:line="240" w:lineRule="auto"/>
      <w:jc w:val="both"/>
    </w:pPr>
    <w:rPr>
      <w:rFonts w:ascii="Verdana" w:eastAsia="Calibri" w:hAnsi="Verdana" w:cs="TimesLTStd-Roman"/>
      <w:iCs/>
      <w:sz w:val="20"/>
      <w:szCs w:val="20"/>
    </w:rPr>
  </w:style>
  <w:style w:type="paragraph" w:customStyle="1" w:styleId="Listea">
    <w:name w:val="Liste a)"/>
    <w:basedOn w:val="Liste10"/>
    <w:qFormat/>
    <w:rsid w:val="005414C1"/>
    <w:pPr>
      <w:numPr>
        <w:ilvl w:val="6"/>
      </w:numPr>
    </w:pPr>
    <w:rPr>
      <w:lang w:eastAsia="fr-BE"/>
    </w:rPr>
  </w:style>
  <w:style w:type="paragraph" w:customStyle="1" w:styleId="Numerotation1">
    <w:name w:val="Numerotation 1."/>
    <w:basedOn w:val="Liste1"/>
    <w:qFormat/>
    <w:rsid w:val="005414C1"/>
    <w:pPr>
      <w:numPr>
        <w:ilvl w:val="7"/>
      </w:numPr>
      <w:spacing w:beforeLines="0" w:before="120" w:after="120"/>
    </w:pPr>
  </w:style>
  <w:style w:type="paragraph" w:customStyle="1" w:styleId="Numerotationa">
    <w:name w:val="Numerotation a)"/>
    <w:basedOn w:val="Liste10"/>
    <w:qFormat/>
    <w:rsid w:val="005414C1"/>
    <w:pPr>
      <w:numPr>
        <w:ilvl w:val="8"/>
      </w:numPr>
      <w:spacing w:before="240" w:after="240"/>
    </w:pPr>
  </w:style>
  <w:style w:type="paragraph" w:customStyle="1" w:styleId="sti-art">
    <w:name w:val="sti-art"/>
    <w:basedOn w:val="Normal"/>
    <w:rsid w:val="00F256AF"/>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super">
    <w:name w:val="super"/>
    <w:basedOn w:val="DefaultParagraphFont"/>
    <w:rsid w:val="00F256AF"/>
  </w:style>
  <w:style w:type="paragraph" w:customStyle="1" w:styleId="ti-art">
    <w:name w:val="ti-art"/>
    <w:basedOn w:val="Normal"/>
    <w:rsid w:val="00F256AF"/>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Default">
    <w:name w:val="Default"/>
    <w:rsid w:val="008A3EE5"/>
    <w:pPr>
      <w:autoSpaceDE w:val="0"/>
      <w:autoSpaceDN w:val="0"/>
      <w:adjustRightInd w:val="0"/>
      <w:spacing w:after="0" w:line="240" w:lineRule="auto"/>
    </w:pPr>
    <w:rPr>
      <w:rFonts w:ascii="EUAlbertina" w:hAnsi="EUAlbertina" w:cs="EUAlbertina"/>
      <w:color w:val="000000"/>
      <w:sz w:val="24"/>
      <w:szCs w:val="24"/>
    </w:rPr>
  </w:style>
  <w:style w:type="character" w:customStyle="1" w:styleId="Heading2Char">
    <w:name w:val="Heading 2 Char"/>
    <w:basedOn w:val="DefaultParagraphFont"/>
    <w:link w:val="Heading2"/>
    <w:uiPriority w:val="9"/>
    <w:rsid w:val="006A3393"/>
    <w:rPr>
      <w:rFonts w:ascii="Verdana" w:hAnsi="Verdana"/>
      <w:b/>
      <w:color w:val="000000" w:themeColor="text1"/>
    </w:rPr>
  </w:style>
  <w:style w:type="character" w:customStyle="1" w:styleId="Heading3Char">
    <w:name w:val="Heading 3 Char"/>
    <w:basedOn w:val="DefaultParagraphFont"/>
    <w:link w:val="Heading3"/>
    <w:uiPriority w:val="9"/>
    <w:rsid w:val="00875033"/>
    <w:rPr>
      <w:rFonts w:ascii="Verdana" w:hAnsi="Verdana"/>
    </w:rPr>
  </w:style>
  <w:style w:type="paragraph" w:customStyle="1" w:styleId="CM4">
    <w:name w:val="CM4"/>
    <w:basedOn w:val="Default"/>
    <w:next w:val="Default"/>
    <w:uiPriority w:val="99"/>
    <w:rsid w:val="00004334"/>
    <w:rPr>
      <w:rFonts w:ascii="EU Albertina" w:hAnsi="EU Albertina" w:cstheme="minorBidi"/>
      <w:color w:val="auto"/>
    </w:rPr>
  </w:style>
  <w:style w:type="character" w:customStyle="1" w:styleId="MenoNoResolvida2">
    <w:name w:val="Menção Não Resolvida2"/>
    <w:basedOn w:val="DefaultParagraphFont"/>
    <w:uiPriority w:val="99"/>
    <w:semiHidden/>
    <w:unhideWhenUsed/>
    <w:rsid w:val="00FF16C4"/>
    <w:rPr>
      <w:color w:val="605E5C"/>
      <w:shd w:val="clear" w:color="auto" w:fill="E1DFDD"/>
    </w:rPr>
  </w:style>
  <w:style w:type="character" w:styleId="FollowedHyperlink">
    <w:name w:val="FollowedHyperlink"/>
    <w:basedOn w:val="DefaultParagraphFont"/>
    <w:uiPriority w:val="99"/>
    <w:semiHidden/>
    <w:unhideWhenUsed/>
    <w:rsid w:val="003B2C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72149">
      <w:bodyDiv w:val="1"/>
      <w:marLeft w:val="0"/>
      <w:marRight w:val="0"/>
      <w:marTop w:val="0"/>
      <w:marBottom w:val="0"/>
      <w:divBdr>
        <w:top w:val="none" w:sz="0" w:space="0" w:color="auto"/>
        <w:left w:val="none" w:sz="0" w:space="0" w:color="auto"/>
        <w:bottom w:val="none" w:sz="0" w:space="0" w:color="auto"/>
        <w:right w:val="none" w:sz="0" w:space="0" w:color="auto"/>
      </w:divBdr>
    </w:div>
    <w:div w:id="43602140">
      <w:bodyDiv w:val="1"/>
      <w:marLeft w:val="0"/>
      <w:marRight w:val="0"/>
      <w:marTop w:val="0"/>
      <w:marBottom w:val="0"/>
      <w:divBdr>
        <w:top w:val="none" w:sz="0" w:space="0" w:color="auto"/>
        <w:left w:val="none" w:sz="0" w:space="0" w:color="auto"/>
        <w:bottom w:val="none" w:sz="0" w:space="0" w:color="auto"/>
        <w:right w:val="none" w:sz="0" w:space="0" w:color="auto"/>
      </w:divBdr>
    </w:div>
    <w:div w:id="106044057">
      <w:bodyDiv w:val="1"/>
      <w:marLeft w:val="0"/>
      <w:marRight w:val="0"/>
      <w:marTop w:val="0"/>
      <w:marBottom w:val="0"/>
      <w:divBdr>
        <w:top w:val="none" w:sz="0" w:space="0" w:color="auto"/>
        <w:left w:val="none" w:sz="0" w:space="0" w:color="auto"/>
        <w:bottom w:val="none" w:sz="0" w:space="0" w:color="auto"/>
        <w:right w:val="none" w:sz="0" w:space="0" w:color="auto"/>
      </w:divBdr>
    </w:div>
    <w:div w:id="272711859">
      <w:bodyDiv w:val="1"/>
      <w:marLeft w:val="0"/>
      <w:marRight w:val="0"/>
      <w:marTop w:val="0"/>
      <w:marBottom w:val="0"/>
      <w:divBdr>
        <w:top w:val="none" w:sz="0" w:space="0" w:color="auto"/>
        <w:left w:val="none" w:sz="0" w:space="0" w:color="auto"/>
        <w:bottom w:val="none" w:sz="0" w:space="0" w:color="auto"/>
        <w:right w:val="none" w:sz="0" w:space="0" w:color="auto"/>
      </w:divBdr>
    </w:div>
    <w:div w:id="535002326">
      <w:bodyDiv w:val="1"/>
      <w:marLeft w:val="0"/>
      <w:marRight w:val="0"/>
      <w:marTop w:val="0"/>
      <w:marBottom w:val="0"/>
      <w:divBdr>
        <w:top w:val="none" w:sz="0" w:space="0" w:color="auto"/>
        <w:left w:val="none" w:sz="0" w:space="0" w:color="auto"/>
        <w:bottom w:val="none" w:sz="0" w:space="0" w:color="auto"/>
        <w:right w:val="none" w:sz="0" w:space="0" w:color="auto"/>
      </w:divBdr>
    </w:div>
    <w:div w:id="558907982">
      <w:bodyDiv w:val="1"/>
      <w:marLeft w:val="0"/>
      <w:marRight w:val="0"/>
      <w:marTop w:val="0"/>
      <w:marBottom w:val="0"/>
      <w:divBdr>
        <w:top w:val="none" w:sz="0" w:space="0" w:color="auto"/>
        <w:left w:val="none" w:sz="0" w:space="0" w:color="auto"/>
        <w:bottom w:val="none" w:sz="0" w:space="0" w:color="auto"/>
        <w:right w:val="none" w:sz="0" w:space="0" w:color="auto"/>
      </w:divBdr>
    </w:div>
    <w:div w:id="569727360">
      <w:bodyDiv w:val="1"/>
      <w:marLeft w:val="0"/>
      <w:marRight w:val="0"/>
      <w:marTop w:val="0"/>
      <w:marBottom w:val="0"/>
      <w:divBdr>
        <w:top w:val="none" w:sz="0" w:space="0" w:color="auto"/>
        <w:left w:val="none" w:sz="0" w:space="0" w:color="auto"/>
        <w:bottom w:val="none" w:sz="0" w:space="0" w:color="auto"/>
        <w:right w:val="none" w:sz="0" w:space="0" w:color="auto"/>
      </w:divBdr>
    </w:div>
    <w:div w:id="644966926">
      <w:bodyDiv w:val="1"/>
      <w:marLeft w:val="0"/>
      <w:marRight w:val="0"/>
      <w:marTop w:val="0"/>
      <w:marBottom w:val="0"/>
      <w:divBdr>
        <w:top w:val="none" w:sz="0" w:space="0" w:color="auto"/>
        <w:left w:val="none" w:sz="0" w:space="0" w:color="auto"/>
        <w:bottom w:val="none" w:sz="0" w:space="0" w:color="auto"/>
        <w:right w:val="none" w:sz="0" w:space="0" w:color="auto"/>
      </w:divBdr>
    </w:div>
    <w:div w:id="671301495">
      <w:bodyDiv w:val="1"/>
      <w:marLeft w:val="0"/>
      <w:marRight w:val="0"/>
      <w:marTop w:val="0"/>
      <w:marBottom w:val="0"/>
      <w:divBdr>
        <w:top w:val="none" w:sz="0" w:space="0" w:color="auto"/>
        <w:left w:val="none" w:sz="0" w:space="0" w:color="auto"/>
        <w:bottom w:val="none" w:sz="0" w:space="0" w:color="auto"/>
        <w:right w:val="none" w:sz="0" w:space="0" w:color="auto"/>
      </w:divBdr>
    </w:div>
    <w:div w:id="872226490">
      <w:bodyDiv w:val="1"/>
      <w:marLeft w:val="0"/>
      <w:marRight w:val="0"/>
      <w:marTop w:val="0"/>
      <w:marBottom w:val="0"/>
      <w:divBdr>
        <w:top w:val="none" w:sz="0" w:space="0" w:color="auto"/>
        <w:left w:val="none" w:sz="0" w:space="0" w:color="auto"/>
        <w:bottom w:val="none" w:sz="0" w:space="0" w:color="auto"/>
        <w:right w:val="none" w:sz="0" w:space="0" w:color="auto"/>
      </w:divBdr>
    </w:div>
    <w:div w:id="922838542">
      <w:bodyDiv w:val="1"/>
      <w:marLeft w:val="0"/>
      <w:marRight w:val="0"/>
      <w:marTop w:val="0"/>
      <w:marBottom w:val="0"/>
      <w:divBdr>
        <w:top w:val="none" w:sz="0" w:space="0" w:color="auto"/>
        <w:left w:val="none" w:sz="0" w:space="0" w:color="auto"/>
        <w:bottom w:val="none" w:sz="0" w:space="0" w:color="auto"/>
        <w:right w:val="none" w:sz="0" w:space="0" w:color="auto"/>
      </w:divBdr>
    </w:div>
    <w:div w:id="1004893017">
      <w:bodyDiv w:val="1"/>
      <w:marLeft w:val="0"/>
      <w:marRight w:val="0"/>
      <w:marTop w:val="0"/>
      <w:marBottom w:val="0"/>
      <w:divBdr>
        <w:top w:val="none" w:sz="0" w:space="0" w:color="auto"/>
        <w:left w:val="none" w:sz="0" w:space="0" w:color="auto"/>
        <w:bottom w:val="none" w:sz="0" w:space="0" w:color="auto"/>
        <w:right w:val="none" w:sz="0" w:space="0" w:color="auto"/>
      </w:divBdr>
    </w:div>
    <w:div w:id="1073505622">
      <w:bodyDiv w:val="1"/>
      <w:marLeft w:val="0"/>
      <w:marRight w:val="0"/>
      <w:marTop w:val="0"/>
      <w:marBottom w:val="0"/>
      <w:divBdr>
        <w:top w:val="none" w:sz="0" w:space="0" w:color="auto"/>
        <w:left w:val="none" w:sz="0" w:space="0" w:color="auto"/>
        <w:bottom w:val="none" w:sz="0" w:space="0" w:color="auto"/>
        <w:right w:val="none" w:sz="0" w:space="0" w:color="auto"/>
      </w:divBdr>
    </w:div>
    <w:div w:id="1350328602">
      <w:bodyDiv w:val="1"/>
      <w:marLeft w:val="0"/>
      <w:marRight w:val="0"/>
      <w:marTop w:val="0"/>
      <w:marBottom w:val="0"/>
      <w:divBdr>
        <w:top w:val="none" w:sz="0" w:space="0" w:color="auto"/>
        <w:left w:val="none" w:sz="0" w:space="0" w:color="auto"/>
        <w:bottom w:val="none" w:sz="0" w:space="0" w:color="auto"/>
        <w:right w:val="none" w:sz="0" w:space="0" w:color="auto"/>
      </w:divBdr>
    </w:div>
    <w:div w:id="1790584226">
      <w:bodyDiv w:val="1"/>
      <w:marLeft w:val="0"/>
      <w:marRight w:val="0"/>
      <w:marTop w:val="0"/>
      <w:marBottom w:val="0"/>
      <w:divBdr>
        <w:top w:val="none" w:sz="0" w:space="0" w:color="auto"/>
        <w:left w:val="none" w:sz="0" w:space="0" w:color="auto"/>
        <w:bottom w:val="none" w:sz="0" w:space="0" w:color="auto"/>
        <w:right w:val="none" w:sz="0" w:space="0" w:color="auto"/>
      </w:divBdr>
    </w:div>
    <w:div w:id="1869030707">
      <w:bodyDiv w:val="1"/>
      <w:marLeft w:val="0"/>
      <w:marRight w:val="0"/>
      <w:marTop w:val="0"/>
      <w:marBottom w:val="0"/>
      <w:divBdr>
        <w:top w:val="none" w:sz="0" w:space="0" w:color="auto"/>
        <w:left w:val="none" w:sz="0" w:space="0" w:color="auto"/>
        <w:bottom w:val="none" w:sz="0" w:space="0" w:color="auto"/>
        <w:right w:val="none" w:sz="0" w:space="0" w:color="auto"/>
      </w:divBdr>
    </w:div>
    <w:div w:id="208001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e.pt/web/guest/pesquisa/-/search/540820/details/normal?l=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re.pt/web/guest/pesquisa/-/search/540820/details/normal?l=1" TargetMode="External"/><Relationship Id="rId4" Type="http://schemas.openxmlformats.org/officeDocument/2006/relationships/settings" Target="settings.xml"/><Relationship Id="rId9" Type="http://schemas.openxmlformats.org/officeDocument/2006/relationships/hyperlink" Target="https://dre.pt/web/guest/pesquisa/-/search/540820/details/normal?l=1"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B59D7-D834-47D8-AA0D-FA3895E62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31</Pages>
  <Words>8011</Words>
  <Characters>45665</Characters>
  <Application>Microsoft Office Word</Application>
  <DocSecurity>0</DocSecurity>
  <Lines>380</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dc:creator>
  <cp:keywords/>
  <dc:description/>
  <cp:lastModifiedBy>Dimitris Dimitriadis</cp:lastModifiedBy>
  <cp:revision>32</cp:revision>
  <dcterms:created xsi:type="dcterms:W3CDTF">2021-03-12T18:57:00Z</dcterms:created>
  <dcterms:modified xsi:type="dcterms:W3CDTF">2021-03-30T14:56:00Z</dcterms:modified>
</cp:coreProperties>
</file>