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64E0" w14:textId="70350B55" w:rsidR="0094645D" w:rsidRDefault="0094645D">
      <w:pPr>
        <w:rPr>
          <w:rFonts w:ascii="Verdana" w:hAnsi="Verdana"/>
        </w:rPr>
      </w:pPr>
      <w:bookmarkStart w:id="0" w:name="_Hlk66377407"/>
    </w:p>
    <w:p w14:paraId="3E00B0EB" w14:textId="77777777" w:rsidR="00905D0B" w:rsidRPr="003F6B93" w:rsidRDefault="00905D0B">
      <w:pPr>
        <w:rPr>
          <w:rFonts w:ascii="Verdana" w:hAnsi="Verdana"/>
        </w:rPr>
      </w:pPr>
    </w:p>
    <w:p w14:paraId="73062A11" w14:textId="77777777" w:rsidR="007879A9" w:rsidRPr="003F6B93" w:rsidRDefault="007879A9">
      <w:pPr>
        <w:rPr>
          <w:rFonts w:ascii="Verdana" w:hAnsi="Verdana"/>
        </w:rPr>
      </w:pPr>
      <w:r>
        <w:rPr>
          <w:rFonts w:ascii="Verdana" w:hAnsi="Verdana"/>
        </w:rPr>
        <w:t>Preámbulo</w:t>
      </w:r>
    </w:p>
    <w:p w14:paraId="46759D2E" w14:textId="77777777" w:rsidR="00D77E05" w:rsidRDefault="00D77E05" w:rsidP="007C0F01">
      <w:pPr>
        <w:ind w:left="426"/>
        <w:jc w:val="both"/>
        <w:rPr>
          <w:rFonts w:ascii="Verdana" w:hAnsi="Verdana" w:cs="EU Albertina"/>
        </w:rPr>
      </w:pPr>
    </w:p>
    <w:p w14:paraId="291BCB5F" w14:textId="77777777" w:rsidR="00D77E05" w:rsidRDefault="00D77E05" w:rsidP="00036184">
      <w:pPr>
        <w:jc w:val="both"/>
        <w:rPr>
          <w:rFonts w:ascii="Verdana" w:hAnsi="Verdana" w:cs="EU Albertina"/>
        </w:rPr>
      </w:pPr>
      <w:r>
        <w:rPr>
          <w:rFonts w:ascii="Verdana" w:hAnsi="Verdana"/>
        </w:rPr>
        <w:t xml:space="preserve">A fin de determinar si, a los efectos del presente Decreto-Ley, determinados envases alimentarios deben considerarse productos plásticos de un solo uso, la tendencia a convertirse en residuos debido a su volumen o tamaño, especialmente en lo que se refiere a las porciones individuales, desempeña un papel decisivo. En este seguimiento, y a fin de armonizar con los supuestos del mercado único europeo, se tienen en cuenta las consideraciones expuestas en las guías y los reglamentos elaborados específicamente al respecto por la Comisión Europea, previstas en la Directiva (UE) 2019/904 del Parlamento Europeo y del Consejo, de 5 de junio de 2019, relativa a la reducción del impacto de determinados productos en el medio ambiente. </w:t>
      </w:r>
    </w:p>
    <w:p w14:paraId="4344E981" w14:textId="77777777" w:rsidR="007C0F01" w:rsidRPr="007C0F01" w:rsidRDefault="007C0F01" w:rsidP="00036184">
      <w:pPr>
        <w:jc w:val="both"/>
        <w:rPr>
          <w:rFonts w:ascii="Verdana" w:hAnsi="Verdana" w:cs="EU Albertina"/>
        </w:rPr>
      </w:pPr>
      <w:r>
        <w:rPr>
          <w:rFonts w:ascii="Verdana" w:hAnsi="Verdana"/>
        </w:rPr>
        <w:t xml:space="preserve">Ejemplos de envases alimentarios que deben ser considerados como productos plásticos de un solo uso a los efectos del presente Decreto-Ley son envases para comida rápida o cajas para comidas como sándwiches, </w:t>
      </w:r>
      <w:proofErr w:type="spellStart"/>
      <w:r>
        <w:rPr>
          <w:rFonts w:ascii="Verdana" w:hAnsi="Verdana"/>
          <w:i/>
          <w:iCs/>
        </w:rPr>
        <w:t>wraps</w:t>
      </w:r>
      <w:proofErr w:type="spellEnd"/>
      <w:r>
        <w:rPr>
          <w:rFonts w:ascii="Verdana" w:hAnsi="Verdana"/>
        </w:rPr>
        <w:t xml:space="preserve"> y ensaladas, que contienen alimentos calientes o fríos, y recipientes para alimentos frescos o procesados que no requieren preparación posterior, como frutas, verduras o postres. Ejemplos de envases alimentarios que no deben considerarse productos plásticos de un solo uso a efectos de la presente Directiva son los recipientes alimentarios vendidos que contienen productos alimenticios secos o fríos que requieren preparación posterior, los recipientes que contienen más de una porción individual de alimentos y los recipientes alimentarios del tamaño de una porción individual y se venden en más de una unidad.</w:t>
      </w:r>
    </w:p>
    <w:p w14:paraId="061F5D98" w14:textId="77777777" w:rsidR="007C0F01" w:rsidRDefault="007C0F01" w:rsidP="00036184">
      <w:pPr>
        <w:jc w:val="both"/>
        <w:rPr>
          <w:rFonts w:ascii="Verdana" w:hAnsi="Verdana" w:cs="EU Albertina"/>
        </w:rPr>
      </w:pPr>
      <w:r>
        <w:rPr>
          <w:rFonts w:ascii="Verdana" w:hAnsi="Verdana"/>
        </w:rPr>
        <w:t>Ejemplos de envases de bebidas que deben considerarse productos plásticos de un solo uso son las botellas para bebidas o los envases compuestos para bebidas, utilizados para cerveza, vino, agua, refrescos líquidos, jugos y néctares, bebidas instantáneas o leche, pero no las tazas para bebidas, ya que se trata de una categoría separada de productos plásticos de un solo uso a efectos del presente Decreto-Ley.</w:t>
      </w:r>
    </w:p>
    <w:p w14:paraId="711CCE6E" w14:textId="77777777" w:rsidR="00036184" w:rsidRPr="00036184" w:rsidRDefault="00036184" w:rsidP="00036184">
      <w:pPr>
        <w:jc w:val="both"/>
        <w:rPr>
          <w:rFonts w:ascii="Verdana" w:hAnsi="Verdana"/>
        </w:rPr>
      </w:pPr>
      <w:r>
        <w:rPr>
          <w:rFonts w:ascii="Verdana" w:hAnsi="Verdana"/>
        </w:rPr>
        <w:t xml:space="preserve">El presente Decreto-Ley establece medidas para prevenir y reducir el impacto de determinados productos plásticos de un solo uso y de los productos plásticos </w:t>
      </w:r>
      <w:proofErr w:type="spellStart"/>
      <w:r>
        <w:rPr>
          <w:rFonts w:ascii="Verdana" w:hAnsi="Verdana"/>
        </w:rPr>
        <w:t>oxodegradables</w:t>
      </w:r>
      <w:proofErr w:type="spellEnd"/>
      <w:r>
        <w:rPr>
          <w:rFonts w:ascii="Verdana" w:hAnsi="Verdana"/>
        </w:rPr>
        <w:t xml:space="preserve"> en el medio ambiente, especialmente en el medio acuático y en la salud humana, así como para promover la transición a una </w:t>
      </w:r>
      <w:r>
        <w:rPr>
          <w:rFonts w:ascii="Verdana" w:hAnsi="Verdana"/>
        </w:rPr>
        <w:lastRenderedPageBreak/>
        <w:t>economía circular con modelos, productos y materiales empresariales innovadores y sostenibles, contribuyendo así también al funcionamiento eficaz del mercado interior.</w:t>
      </w:r>
    </w:p>
    <w:p w14:paraId="79283FBA" w14:textId="76F47710" w:rsidR="00036184" w:rsidRDefault="00036184" w:rsidP="00036184">
      <w:pPr>
        <w:jc w:val="both"/>
        <w:rPr>
          <w:rFonts w:ascii="Verdana" w:hAnsi="Verdana"/>
        </w:rPr>
      </w:pPr>
      <w:r>
        <w:rPr>
          <w:rFonts w:ascii="Verdana" w:hAnsi="Verdana"/>
        </w:rPr>
        <w:t>También promueve enfoques circulares que priorizan los productos reutilizables y los sistemas de reutilización sostenibles y no tóxicos en lugar de los productos de un solo uso, principalmente con miras a reducir la cantidad de desechos generados.</w:t>
      </w:r>
    </w:p>
    <w:p w14:paraId="2F500026" w14:textId="4E799E84" w:rsidR="00805BAF" w:rsidRPr="00036184" w:rsidRDefault="005D508B" w:rsidP="00036184">
      <w:pPr>
        <w:jc w:val="both"/>
        <w:rPr>
          <w:rFonts w:ascii="Verdana" w:hAnsi="Verdana"/>
        </w:rPr>
      </w:pPr>
      <w:r>
        <w:rPr>
          <w:rFonts w:ascii="Verdana" w:hAnsi="Verdana"/>
        </w:rPr>
        <w:t xml:space="preserve">El presente Decreto-Ley fue objeto del procedimiento de información en materia de reglamentaciones técnicas y de reglas relativas a los servicios de la sociedad de la información establecidos en la </w:t>
      </w:r>
      <w:r>
        <w:rPr>
          <w:rFonts w:ascii="Verdana" w:hAnsi="Verdana"/>
          <w:sz w:val="21"/>
        </w:rPr>
        <w:t>Directiva (UE) 2015/1535 del Parlamento Europeo y del Consejo, de 9 de septiembre de 2015.</w:t>
      </w:r>
    </w:p>
    <w:p w14:paraId="31EF75EF" w14:textId="77777777" w:rsidR="003B7AD3" w:rsidRPr="00953C37" w:rsidRDefault="003B7AD3" w:rsidP="003B7AD3">
      <w:pPr>
        <w:jc w:val="both"/>
        <w:rPr>
          <w:rFonts w:ascii="Verdana" w:hAnsi="Verdana"/>
        </w:rPr>
      </w:pPr>
      <w:r>
        <w:rPr>
          <w:rFonts w:ascii="Verdana" w:hAnsi="Verdana"/>
        </w:rPr>
        <w:t xml:space="preserve">El presente Decreto-Ley ha sido objeto de consulta pública entre </w:t>
      </w:r>
      <w:proofErr w:type="spellStart"/>
      <w:r>
        <w:rPr>
          <w:rFonts w:ascii="Verdana" w:hAnsi="Verdana"/>
        </w:rPr>
        <w:t>xxx</w:t>
      </w:r>
      <w:proofErr w:type="spellEnd"/>
      <w:r>
        <w:rPr>
          <w:rFonts w:ascii="Verdana" w:hAnsi="Verdana"/>
        </w:rPr>
        <w:t xml:space="preserve"> y </w:t>
      </w:r>
      <w:proofErr w:type="spellStart"/>
      <w:r>
        <w:rPr>
          <w:rFonts w:ascii="Verdana" w:hAnsi="Verdana"/>
        </w:rPr>
        <w:t>xxx</w:t>
      </w:r>
      <w:proofErr w:type="spellEnd"/>
      <w:r>
        <w:rPr>
          <w:rFonts w:ascii="Verdana" w:hAnsi="Verdana"/>
        </w:rPr>
        <w:t xml:space="preserve"> y está sujeto al procedimiento de información en materia de reglamentaciones técnicas y de reglas relativas a los servicios de la sociedad de la información previstos en la Directiva (UE) 2015/1535 del Parlamento Europeo y del Consejo, de 9 de septiembre de 2015.</w:t>
      </w:r>
    </w:p>
    <w:p w14:paraId="708F4727" w14:textId="0CEE0C54" w:rsidR="003B7AD3" w:rsidRPr="0030214C" w:rsidRDefault="003B7AD3" w:rsidP="003B7AD3">
      <w:pPr>
        <w:jc w:val="both"/>
        <w:rPr>
          <w:rFonts w:ascii="Verdana" w:hAnsi="Verdana"/>
        </w:rPr>
      </w:pPr>
      <w:r>
        <w:rPr>
          <w:rFonts w:ascii="Verdana" w:hAnsi="Verdana"/>
        </w:rPr>
        <w:t>Se escucharon a los órganos autónomos de las regiones autónomas.</w:t>
      </w:r>
    </w:p>
    <w:p w14:paraId="4FAC9822" w14:textId="77777777" w:rsidR="003B7AD3" w:rsidRDefault="003B7AD3" w:rsidP="003B7AD3">
      <w:pPr>
        <w:jc w:val="both"/>
        <w:rPr>
          <w:rFonts w:ascii="Verdana" w:hAnsi="Verdana"/>
        </w:rPr>
      </w:pPr>
    </w:p>
    <w:p w14:paraId="6C6BB1FC" w14:textId="77777777" w:rsidR="00AA1E2E" w:rsidRPr="003B7AD3" w:rsidRDefault="00AA1E2E" w:rsidP="003B7AD3">
      <w:pPr>
        <w:jc w:val="both"/>
        <w:rPr>
          <w:rFonts w:ascii="Verdana" w:hAnsi="Verdana"/>
        </w:rPr>
      </w:pPr>
    </w:p>
    <w:p w14:paraId="4F6C7BF1" w14:textId="0A7807C9" w:rsidR="00A172F1" w:rsidRPr="00C63B34" w:rsidRDefault="00121E75" w:rsidP="00121E75">
      <w:pPr>
        <w:pStyle w:val="Heading1"/>
        <w:ind w:firstLine="630"/>
      </w:pPr>
      <w:r>
        <w:t xml:space="preserve"> </w:t>
      </w:r>
      <w:r w:rsidR="00975B2D">
        <w:br/>
        <w:t>Disposiciones y principios generales</w:t>
      </w:r>
    </w:p>
    <w:p w14:paraId="7BDDF5B7" w14:textId="0ADC805D" w:rsidR="00A172F1" w:rsidRPr="00C63B34" w:rsidRDefault="009870C4" w:rsidP="009870C4">
      <w:pPr>
        <w:pStyle w:val="Heading2"/>
        <w:numPr>
          <w:ilvl w:val="0"/>
          <w:numId w:val="0"/>
        </w:numPr>
        <w:tabs>
          <w:tab w:val="clear" w:pos="1701"/>
          <w:tab w:val="left" w:pos="180"/>
        </w:tabs>
        <w:ind w:left="426"/>
      </w:pPr>
      <w:r>
        <w:t>Artículo 1</w:t>
      </w:r>
      <w:r>
        <w:br/>
        <w:t>Materia</w:t>
      </w:r>
    </w:p>
    <w:p w14:paraId="1B889421" w14:textId="77777777" w:rsidR="00036184" w:rsidRPr="00036184" w:rsidRDefault="00036184" w:rsidP="007E04D1">
      <w:pPr>
        <w:jc w:val="both"/>
        <w:rPr>
          <w:rFonts w:ascii="Verdana" w:hAnsi="Verdana"/>
        </w:rPr>
      </w:pPr>
    </w:p>
    <w:p w14:paraId="6C49FEDE" w14:textId="77777777" w:rsidR="00BC18BB" w:rsidRDefault="002F5931" w:rsidP="00C525D6">
      <w:pPr>
        <w:pStyle w:val="ListParagraph"/>
        <w:numPr>
          <w:ilvl w:val="0"/>
          <w:numId w:val="11"/>
        </w:numPr>
        <w:jc w:val="both"/>
        <w:rPr>
          <w:rFonts w:ascii="Verdana" w:hAnsi="Verdana"/>
        </w:rPr>
      </w:pPr>
      <w:r>
        <w:rPr>
          <w:rFonts w:ascii="Verdana" w:hAnsi="Verdana"/>
        </w:rPr>
        <w:t>El presente Decreto-Ley incorpora al derecho nacional la Directiva (UE) 2019/904 del Parlamento Europeo y del Consejo, de 5 de junio de 2019, relativa a la reducción del impacto de determinados productos de plástico en el medio ambiente.</w:t>
      </w:r>
    </w:p>
    <w:p w14:paraId="371AD20F" w14:textId="01DADD23" w:rsidR="00AA1E2E" w:rsidRPr="00BC18BB" w:rsidRDefault="009E5334" w:rsidP="00C525D6">
      <w:pPr>
        <w:pStyle w:val="ListParagraph"/>
        <w:numPr>
          <w:ilvl w:val="0"/>
          <w:numId w:val="11"/>
        </w:numPr>
        <w:jc w:val="both"/>
        <w:rPr>
          <w:rFonts w:ascii="Verdana" w:hAnsi="Verdana"/>
        </w:rPr>
      </w:pPr>
      <w:r>
        <w:rPr>
          <w:rFonts w:ascii="Verdana" w:hAnsi="Verdana"/>
        </w:rPr>
        <w:t>El presente Decreto-Ley también constituye la primera modificación de la Ley n.º 77/2019, de 2 de septiembre, que establece la obligación de poner a disposición de los consumidores alternativas a la distribución de bolsas de plástico ultraligeras y cubetas de plástico en los puntos de venta de pan, frutas y hortalizas.</w:t>
      </w:r>
    </w:p>
    <w:p w14:paraId="392CD894" w14:textId="77777777" w:rsidR="00A756A5" w:rsidRPr="00A756A5" w:rsidRDefault="00A756A5" w:rsidP="00A756A5">
      <w:pPr>
        <w:pStyle w:val="ListParagraph"/>
        <w:jc w:val="both"/>
        <w:rPr>
          <w:rFonts w:ascii="Verdana" w:hAnsi="Verdana"/>
        </w:rPr>
      </w:pPr>
    </w:p>
    <w:p w14:paraId="76115829" w14:textId="55137B83" w:rsidR="007879A9" w:rsidRPr="00C63B34" w:rsidRDefault="004D1142" w:rsidP="009870C4">
      <w:pPr>
        <w:pStyle w:val="Heading2"/>
        <w:numPr>
          <w:ilvl w:val="0"/>
          <w:numId w:val="0"/>
        </w:numPr>
        <w:tabs>
          <w:tab w:val="clear" w:pos="1701"/>
          <w:tab w:val="left" w:pos="1276"/>
        </w:tabs>
        <w:ind w:left="426"/>
      </w:pPr>
      <w:r>
        <w:t>Artículo 2</w:t>
      </w:r>
      <w:r>
        <w:br/>
      </w:r>
      <w:bookmarkStart w:id="1" w:name="_Ref66177877"/>
      <w:r>
        <w:t>Ámbito de aplicación</w:t>
      </w:r>
      <w:bookmarkEnd w:id="1"/>
    </w:p>
    <w:p w14:paraId="640E56C9" w14:textId="77777777" w:rsidR="00036184" w:rsidRPr="00036184" w:rsidRDefault="00036184" w:rsidP="00036184">
      <w:pPr>
        <w:rPr>
          <w:rFonts w:ascii="Verdana" w:hAnsi="Verdana"/>
        </w:rPr>
      </w:pPr>
    </w:p>
    <w:p w14:paraId="31FE437E" w14:textId="3B1BD210" w:rsidR="008716CA" w:rsidRDefault="00A172F1" w:rsidP="00C525D6">
      <w:pPr>
        <w:pStyle w:val="ListParagraph"/>
        <w:numPr>
          <w:ilvl w:val="0"/>
          <w:numId w:val="18"/>
        </w:numPr>
        <w:jc w:val="both"/>
        <w:rPr>
          <w:rFonts w:ascii="Verdana" w:hAnsi="Verdana"/>
        </w:rPr>
      </w:pPr>
      <w:r>
        <w:t xml:space="preserve">El presente Reglamento se aplica a los productos plásticos de un solo uso enumerados en el anexo I, a los productos fabricados con plástico </w:t>
      </w:r>
      <w:proofErr w:type="spellStart"/>
      <w:r>
        <w:t>oxodegradable</w:t>
      </w:r>
      <w:proofErr w:type="spellEnd"/>
      <w:r>
        <w:t xml:space="preserve"> y a los artes de pesca que contengan plásticos.</w:t>
      </w:r>
    </w:p>
    <w:p w14:paraId="3AC71414" w14:textId="31EFFBEF" w:rsidR="008716CA" w:rsidRDefault="008716CA" w:rsidP="00C525D6">
      <w:pPr>
        <w:pStyle w:val="ListParagraph"/>
        <w:numPr>
          <w:ilvl w:val="0"/>
          <w:numId w:val="18"/>
        </w:numPr>
        <w:jc w:val="both"/>
        <w:rPr>
          <w:rFonts w:ascii="Verdana" w:hAnsi="Verdana"/>
        </w:rPr>
      </w:pPr>
      <w:r>
        <w:rPr>
          <w:rFonts w:ascii="Verdana" w:hAnsi="Verdana"/>
        </w:rPr>
        <w:t>Con el fin de armonizar la aplicación de esta legislación en el mercado de la Unión Europea y aclarar el ámbito de aplicación previsto en el párrafo anterior, se han seguido las normas establecidas en las Directrices sobre la aplicación de la Directiva (UE) 2019/904 del Parlamento Europeo y del Consejo, de 5 de junio de 2019, publicada por la Comisión Europea y publicada en el sitio web de la APA, I.P.</w:t>
      </w:r>
    </w:p>
    <w:p w14:paraId="5EA0CD13" w14:textId="5455FE8B" w:rsidR="008A5EE0" w:rsidRPr="008716CA" w:rsidRDefault="008A5EE0" w:rsidP="00C525D6">
      <w:pPr>
        <w:pStyle w:val="ListParagraph"/>
        <w:numPr>
          <w:ilvl w:val="0"/>
          <w:numId w:val="18"/>
        </w:numPr>
        <w:jc w:val="both"/>
        <w:rPr>
          <w:rFonts w:ascii="Verdana" w:hAnsi="Verdana"/>
        </w:rPr>
      </w:pPr>
      <w:r>
        <w:t xml:space="preserve">El presente Reglamento también se aplica a </w:t>
      </w:r>
      <w:bookmarkStart w:id="2" w:name="_Hlk66395090"/>
      <w:r>
        <w:t>los envases de un solo uso fabricados con materiales de cualquier tipo.</w:t>
      </w:r>
      <w:r>
        <w:rPr>
          <w:rFonts w:ascii="Verdana" w:hAnsi="Verdana"/>
        </w:rPr>
        <w:t xml:space="preserve"> </w:t>
      </w:r>
    </w:p>
    <w:bookmarkEnd w:id="2"/>
    <w:p w14:paraId="6F41DA9F" w14:textId="059CEE77" w:rsidR="007879A9" w:rsidRPr="003F6B93" w:rsidRDefault="00B46206" w:rsidP="00C525D6">
      <w:pPr>
        <w:pStyle w:val="ListParagraph"/>
        <w:numPr>
          <w:ilvl w:val="0"/>
          <w:numId w:val="18"/>
        </w:numPr>
        <w:jc w:val="both"/>
        <w:rPr>
          <w:rFonts w:ascii="Verdana" w:hAnsi="Verdana"/>
        </w:rPr>
      </w:pPr>
      <w:r>
        <w:t xml:space="preserve">En caso de conflicto entre el presente Decreto-Ley y el Decreto-Ley n.º 152-D/2017, de 11 de diciembre, modificado y reeditado por el </w:t>
      </w:r>
      <w:bookmarkStart w:id="3" w:name="_Hlk65346660"/>
      <w:r>
        <w:t>Decreto-Ley n.º 102-D/2020, de 10 de diciembre</w:t>
      </w:r>
      <w:bookmarkEnd w:id="3"/>
      <w:r>
        <w:t>, por el que se establece el sistema de gestión de flujos específicos de residuos (</w:t>
      </w:r>
      <w:proofErr w:type="spellStart"/>
      <w:r>
        <w:t>Unilex</w:t>
      </w:r>
      <w:proofErr w:type="spellEnd"/>
      <w:r>
        <w:t>), o el sistema general de gestión de residuos (GSWM), aprobado por el Anexo I del Decreto-Ley n.º 102-D/2020, de 10 de diciembre, prevalecerá el presente Decreto.</w:t>
      </w:r>
    </w:p>
    <w:p w14:paraId="4C6CF3E8" w14:textId="77777777" w:rsidR="00A172F1" w:rsidRPr="00A27EAE" w:rsidRDefault="00A172F1" w:rsidP="00A27EAE">
      <w:pPr>
        <w:pStyle w:val="ListParagraph"/>
        <w:shd w:val="clear" w:color="auto" w:fill="FFFFFF"/>
        <w:tabs>
          <w:tab w:val="left" w:pos="1134"/>
        </w:tabs>
        <w:spacing w:after="225" w:line="390" w:lineRule="atLeast"/>
        <w:ind w:left="284"/>
        <w:rPr>
          <w:rFonts w:ascii="Verdana" w:hAnsi="Verdana"/>
          <w:b/>
        </w:rPr>
      </w:pPr>
    </w:p>
    <w:p w14:paraId="57CBE0EB" w14:textId="0482498E" w:rsidR="00836720" w:rsidRPr="00C63B34" w:rsidRDefault="009870C4" w:rsidP="009870C4">
      <w:pPr>
        <w:pStyle w:val="Heading2"/>
        <w:numPr>
          <w:ilvl w:val="0"/>
          <w:numId w:val="0"/>
        </w:numPr>
        <w:tabs>
          <w:tab w:val="clear" w:pos="1701"/>
          <w:tab w:val="left" w:pos="1276"/>
        </w:tabs>
        <w:ind w:left="4050"/>
        <w:jc w:val="left"/>
      </w:pPr>
      <w:r>
        <w:t>Artículo 3</w:t>
      </w:r>
      <w:r>
        <w:br/>
        <w:t>Definiciones</w:t>
      </w:r>
    </w:p>
    <w:p w14:paraId="4736A397" w14:textId="77777777" w:rsidR="00A27EAE" w:rsidRDefault="00A27EAE" w:rsidP="007E04D1">
      <w:pPr>
        <w:jc w:val="both"/>
        <w:rPr>
          <w:rFonts w:ascii="Verdana" w:hAnsi="Verdana"/>
        </w:rPr>
      </w:pPr>
    </w:p>
    <w:p w14:paraId="11A02850" w14:textId="3CB0841A" w:rsidR="008A723D" w:rsidRPr="003F6B93" w:rsidRDefault="008A723D" w:rsidP="00C525D6">
      <w:pPr>
        <w:pStyle w:val="ListParagraph"/>
        <w:numPr>
          <w:ilvl w:val="0"/>
          <w:numId w:val="17"/>
        </w:numPr>
        <w:jc w:val="both"/>
        <w:rPr>
          <w:rFonts w:ascii="Verdana" w:hAnsi="Verdana"/>
        </w:rPr>
      </w:pPr>
      <w:r>
        <w:rPr>
          <w:rFonts w:ascii="Verdana" w:hAnsi="Verdana"/>
        </w:rPr>
        <w:t xml:space="preserve">A efectos del presente Decreto-Ley, se aplicarán las siguientes definiciones: </w:t>
      </w:r>
    </w:p>
    <w:p w14:paraId="0D9166E3" w14:textId="50D2FAF7" w:rsidR="008A723D" w:rsidRDefault="008A723D" w:rsidP="00F7675E">
      <w:pPr>
        <w:pStyle w:val="ListParagraph"/>
        <w:numPr>
          <w:ilvl w:val="0"/>
          <w:numId w:val="1"/>
        </w:numPr>
        <w:jc w:val="both"/>
        <w:rPr>
          <w:rFonts w:ascii="Verdana" w:hAnsi="Verdana"/>
        </w:rPr>
      </w:pPr>
      <w:r>
        <w:rPr>
          <w:rFonts w:ascii="Verdana" w:hAnsi="Verdana"/>
        </w:rPr>
        <w:t xml:space="preserve">«artes de pesca»: cualquier artículo o equipo utilizado en la pesca o la acuicultura para apuntar, capturar o criar recursos biológicos marinos o que flota en la superficie del mar, y se despliega con el objetivo de atraer y capturar o de criar tales recursos biológicos marinos; </w:t>
      </w:r>
    </w:p>
    <w:p w14:paraId="48F2B6B0" w14:textId="7290CA2C" w:rsidR="006336DE" w:rsidRDefault="006336DE" w:rsidP="00F7675E">
      <w:pPr>
        <w:pStyle w:val="ListParagraph"/>
        <w:numPr>
          <w:ilvl w:val="0"/>
          <w:numId w:val="1"/>
        </w:numPr>
        <w:jc w:val="both"/>
        <w:rPr>
          <w:rFonts w:ascii="Verdana" w:hAnsi="Verdana"/>
        </w:rPr>
      </w:pPr>
      <w:r>
        <w:rPr>
          <w:rFonts w:ascii="Verdana" w:hAnsi="Verdana"/>
        </w:rPr>
        <w:t xml:space="preserve">«actividad comercial minorista»: toda actividad de reventa a un consumidor final, incluidos los profesionales y las instituciones, de bienes nuevos o usados adquiridos, o después de llevar a cabo determinadas acciones relacionadas con el comercio minorista, </w:t>
      </w:r>
      <w:r>
        <w:rPr>
          <w:rFonts w:ascii="Verdana" w:hAnsi="Verdana"/>
        </w:rPr>
        <w:lastRenderedPageBreak/>
        <w:t>como la selección, la clasificación o el envasado, realizadas dentro o fuera de los establecimientos comerciales, en ferias, mercados municipales, comercio itinerante, a distancia, en casa y a través de máquinas expendedoras;</w:t>
      </w:r>
    </w:p>
    <w:p w14:paraId="37A90115" w14:textId="154AA067" w:rsidR="006336DE" w:rsidRPr="00E0517F" w:rsidRDefault="006336DE" w:rsidP="00F7675E">
      <w:pPr>
        <w:pStyle w:val="ListParagraph"/>
        <w:numPr>
          <w:ilvl w:val="0"/>
          <w:numId w:val="1"/>
        </w:numPr>
        <w:jc w:val="both"/>
        <w:rPr>
          <w:rFonts w:ascii="Verdana" w:hAnsi="Verdana"/>
        </w:rPr>
      </w:pPr>
      <w:r>
        <w:rPr>
          <w:rFonts w:ascii="Verdana" w:hAnsi="Verdana"/>
        </w:rPr>
        <w:t>«servicio de bebidas o restaurante sin asientos»: la prestación de servicios de restauración o bebidas de carácter esporádico debidamente anunciados al público, independientemente de que se ofrezcan en instalaciones fijas o portátiles situadas en lugares para espectáculos, ferias, exposiciones u otros espacios;</w:t>
      </w:r>
    </w:p>
    <w:p w14:paraId="614A6421" w14:textId="74BD997C" w:rsidR="006336DE" w:rsidRPr="00E0517F" w:rsidRDefault="006336DE" w:rsidP="00F7675E">
      <w:pPr>
        <w:pStyle w:val="ListParagraph"/>
        <w:numPr>
          <w:ilvl w:val="0"/>
          <w:numId w:val="1"/>
        </w:numPr>
        <w:jc w:val="both"/>
        <w:rPr>
          <w:rFonts w:ascii="Verdana" w:hAnsi="Verdana"/>
        </w:rPr>
      </w:pPr>
      <w:r>
        <w:rPr>
          <w:rFonts w:ascii="Verdana" w:hAnsi="Verdana"/>
        </w:rPr>
        <w:t xml:space="preserve">«establecimiento de comidas o bebidas»: establecimientos cuyas actividades estén destinadas a proporcionar alimentos o bebidas y servicios de cafetería dentro o fuera del propio establecimiento, independientemente de su nombre; </w:t>
      </w:r>
    </w:p>
    <w:p w14:paraId="66433F7D" w14:textId="17EDCD7E" w:rsidR="00B46206" w:rsidRPr="00FD46D9" w:rsidRDefault="00036184" w:rsidP="00F7675E">
      <w:pPr>
        <w:pStyle w:val="ListParagraph"/>
        <w:numPr>
          <w:ilvl w:val="0"/>
          <w:numId w:val="1"/>
        </w:numPr>
        <w:jc w:val="both"/>
        <w:rPr>
          <w:rFonts w:ascii="Verdana" w:hAnsi="Verdana"/>
        </w:rPr>
      </w:pPr>
      <w:r>
        <w:rPr>
          <w:rFonts w:ascii="Verdana" w:hAnsi="Verdana"/>
        </w:rPr>
        <w:t>«introducción en el mercado»: la primera puesta a disposición de un producto en el mercado nacional como actividad profesional;</w:t>
      </w:r>
    </w:p>
    <w:p w14:paraId="7D04A45F" w14:textId="3D4E5D72" w:rsidR="00EC283C" w:rsidRDefault="00EC283C" w:rsidP="00F7675E">
      <w:pPr>
        <w:pStyle w:val="ListParagraph"/>
        <w:numPr>
          <w:ilvl w:val="0"/>
          <w:numId w:val="1"/>
        </w:numPr>
        <w:jc w:val="both"/>
        <w:rPr>
          <w:rFonts w:ascii="Verdana" w:hAnsi="Verdana"/>
        </w:rPr>
      </w:pPr>
      <w:r>
        <w:rPr>
          <w:rFonts w:ascii="Verdana" w:hAnsi="Verdana"/>
        </w:rPr>
        <w:t>«comercialización»: todo suministro de un producto para su distribución, consumo o utilización en el mercado portugués en el transcurso de una actividad comercial, ya sea previo pago o a título gratuito;</w:t>
      </w:r>
    </w:p>
    <w:p w14:paraId="3CE3DCF0" w14:textId="77777777" w:rsidR="00BC18BB" w:rsidRDefault="00285B71" w:rsidP="00F7675E">
      <w:pPr>
        <w:pStyle w:val="ListParagraph"/>
        <w:numPr>
          <w:ilvl w:val="0"/>
          <w:numId w:val="1"/>
        </w:numPr>
        <w:jc w:val="both"/>
        <w:rPr>
          <w:rFonts w:ascii="Verdana" w:hAnsi="Verdana"/>
        </w:rPr>
      </w:pPr>
      <w:r>
        <w:rPr>
          <w:rFonts w:ascii="Verdana" w:hAnsi="Verdana"/>
        </w:rPr>
        <w:t xml:space="preserve">«envasador»: un envasador tal como se define en el artículo 3, apartado 1, letra q), de </w:t>
      </w:r>
      <w:proofErr w:type="spellStart"/>
      <w:r>
        <w:rPr>
          <w:rFonts w:ascii="Verdana" w:hAnsi="Verdana"/>
        </w:rPr>
        <w:t>Unilex</w:t>
      </w:r>
      <w:proofErr w:type="spellEnd"/>
      <w:r>
        <w:rPr>
          <w:rFonts w:ascii="Verdana" w:hAnsi="Verdana"/>
        </w:rPr>
        <w:t xml:space="preserve">; </w:t>
      </w:r>
    </w:p>
    <w:p w14:paraId="75FA7E25" w14:textId="77777777" w:rsidR="00BC18BB" w:rsidRDefault="003307FF" w:rsidP="00F7675E">
      <w:pPr>
        <w:pStyle w:val="ListParagraph"/>
        <w:numPr>
          <w:ilvl w:val="0"/>
          <w:numId w:val="1"/>
        </w:numPr>
        <w:jc w:val="both"/>
        <w:rPr>
          <w:rFonts w:ascii="Verdana" w:hAnsi="Verdana"/>
        </w:rPr>
      </w:pPr>
      <w:r>
        <w:rPr>
          <w:rFonts w:ascii="Verdana" w:hAnsi="Verdana"/>
        </w:rPr>
        <w:t xml:space="preserve">«envase»: envase tal como se define en el artículo 3, apartado 1, letra r), de </w:t>
      </w:r>
      <w:proofErr w:type="spellStart"/>
      <w:r>
        <w:rPr>
          <w:rFonts w:ascii="Verdana" w:hAnsi="Verdana"/>
        </w:rPr>
        <w:t>Unilex</w:t>
      </w:r>
      <w:proofErr w:type="spellEnd"/>
      <w:r>
        <w:rPr>
          <w:rFonts w:ascii="Verdana" w:hAnsi="Verdana"/>
        </w:rPr>
        <w:t xml:space="preserve">; </w:t>
      </w:r>
    </w:p>
    <w:p w14:paraId="06F4B8DA" w14:textId="100831E2" w:rsidR="0091273F" w:rsidRPr="00BC18BB" w:rsidRDefault="0091273F" w:rsidP="00F7675E">
      <w:pPr>
        <w:pStyle w:val="ListParagraph"/>
        <w:numPr>
          <w:ilvl w:val="0"/>
          <w:numId w:val="1"/>
        </w:numPr>
        <w:jc w:val="both"/>
        <w:rPr>
          <w:rFonts w:ascii="Verdana" w:hAnsi="Verdana"/>
        </w:rPr>
      </w:pPr>
      <w:r>
        <w:rPr>
          <w:rFonts w:ascii="Verdana" w:hAnsi="Verdana"/>
        </w:rPr>
        <w:t xml:space="preserve">«envase de un solo uso»: envase no reutilizable o de un solo uso, tal como se define en el artículo 3, apartado 1, letra u), </w:t>
      </w:r>
      <w:proofErr w:type="spellStart"/>
      <w:r>
        <w:rPr>
          <w:rFonts w:ascii="Verdana" w:hAnsi="Verdana"/>
        </w:rPr>
        <w:t>Unilex</w:t>
      </w:r>
      <w:proofErr w:type="spellEnd"/>
      <w:r>
        <w:rPr>
          <w:rFonts w:ascii="Verdana" w:hAnsi="Verdana"/>
        </w:rPr>
        <w:t xml:space="preserve">; </w:t>
      </w:r>
    </w:p>
    <w:p w14:paraId="6165F5F7" w14:textId="6B369E32" w:rsidR="000F077F" w:rsidRDefault="000F077F" w:rsidP="00F7675E">
      <w:pPr>
        <w:pStyle w:val="ListParagraph"/>
        <w:numPr>
          <w:ilvl w:val="0"/>
          <w:numId w:val="1"/>
        </w:numPr>
        <w:jc w:val="both"/>
        <w:rPr>
          <w:rFonts w:ascii="Verdana" w:hAnsi="Verdana"/>
        </w:rPr>
      </w:pPr>
      <w:r>
        <w:rPr>
          <w:rFonts w:ascii="Verdana" w:hAnsi="Verdana"/>
        </w:rPr>
        <w:t xml:space="preserve">«envase reutilizable»: envase reutilizable tal como se define en el artículo 3, apartado 1, letra v), de </w:t>
      </w:r>
      <w:proofErr w:type="spellStart"/>
      <w:r>
        <w:rPr>
          <w:rFonts w:ascii="Verdana" w:hAnsi="Verdana"/>
        </w:rPr>
        <w:t>Unilex</w:t>
      </w:r>
      <w:proofErr w:type="spellEnd"/>
      <w:r>
        <w:rPr>
          <w:rFonts w:ascii="Verdana" w:hAnsi="Verdana"/>
        </w:rPr>
        <w:t xml:space="preserve">; </w:t>
      </w:r>
    </w:p>
    <w:p w14:paraId="0A6FE340" w14:textId="6089B47D" w:rsidR="00C73230" w:rsidRDefault="00C73230" w:rsidP="00F7675E">
      <w:pPr>
        <w:pStyle w:val="ListParagraph"/>
        <w:numPr>
          <w:ilvl w:val="0"/>
          <w:numId w:val="1"/>
        </w:numPr>
        <w:jc w:val="both"/>
        <w:rPr>
          <w:rFonts w:ascii="Verdana" w:hAnsi="Verdana"/>
        </w:rPr>
      </w:pPr>
      <w:r>
        <w:rPr>
          <w:rFonts w:ascii="Verdana" w:hAnsi="Verdana"/>
        </w:rPr>
        <w:t>«vajillas reutilizables»: los utensilios o envases utilizados para servir o ayudar al consumo de alimentos o bebidas que hayan sido concebidos, diseñados y puestos en el mercado para realizar, dentro de su vida útil, múltiples circuitos o rotaciones, rellenándolos o reutilizándolos para el mismo fin para el que fueron concebidos;</w:t>
      </w:r>
    </w:p>
    <w:p w14:paraId="5A147C8B" w14:textId="62F6B98B" w:rsidR="003307FF" w:rsidRPr="003F6B93" w:rsidRDefault="003307FF" w:rsidP="00F7675E">
      <w:pPr>
        <w:pStyle w:val="ListParagraph"/>
        <w:numPr>
          <w:ilvl w:val="0"/>
          <w:numId w:val="1"/>
        </w:numPr>
        <w:jc w:val="both"/>
        <w:rPr>
          <w:rFonts w:ascii="Verdana" w:hAnsi="Verdana"/>
        </w:rPr>
      </w:pPr>
      <w:r>
        <w:rPr>
          <w:rFonts w:ascii="Verdana" w:hAnsi="Verdana"/>
        </w:rPr>
        <w:t>«instalaciones portuarias receptoras»: las instalaciones portuarias receptoras definidas en el artículo 3, apartado 1, letra m), del Decreto-Ley n.º 102/2020, de 9 de diciembre;</w:t>
      </w:r>
    </w:p>
    <w:p w14:paraId="420091DC" w14:textId="1E1FA71C" w:rsidR="00EC283C" w:rsidRDefault="00EC283C" w:rsidP="00F7675E">
      <w:pPr>
        <w:pStyle w:val="ListParagraph"/>
        <w:numPr>
          <w:ilvl w:val="0"/>
          <w:numId w:val="1"/>
        </w:numPr>
        <w:jc w:val="both"/>
        <w:rPr>
          <w:rFonts w:ascii="Verdana" w:hAnsi="Verdana"/>
        </w:rPr>
      </w:pPr>
      <w:r>
        <w:rPr>
          <w:rFonts w:ascii="Verdana" w:hAnsi="Verdana"/>
        </w:rPr>
        <w:t xml:space="preserve">«norma armonizada»: una norma armonizada tal como se define en el artículo 2, punto 1, letra c), del Reglamento (UE) n.º 1025/2012; </w:t>
      </w:r>
    </w:p>
    <w:p w14:paraId="3F5AA973" w14:textId="61A5681F" w:rsidR="00C73230" w:rsidRPr="00E0517F" w:rsidRDefault="00C73230" w:rsidP="00F7675E">
      <w:pPr>
        <w:pStyle w:val="ListParagraph"/>
        <w:numPr>
          <w:ilvl w:val="0"/>
          <w:numId w:val="1"/>
        </w:numPr>
        <w:jc w:val="both"/>
        <w:rPr>
          <w:rFonts w:ascii="Verdana" w:hAnsi="Verdana"/>
          <w:i/>
        </w:rPr>
      </w:pPr>
      <w:r>
        <w:rPr>
          <w:rFonts w:ascii="Verdana" w:hAnsi="Verdana"/>
        </w:rPr>
        <w:t xml:space="preserve">«otros establecimientos de restauración o de bebidas»: los lugares en los que los servicios de restauración o de bebidas se prestan a </w:t>
      </w:r>
      <w:r>
        <w:rPr>
          <w:rFonts w:ascii="Verdana" w:hAnsi="Verdana"/>
        </w:rPr>
        <w:lastRenderedPageBreak/>
        <w:t>través de servicios de restauración, banquetes u otros servicios, siempre que se lleven a cabo periódicamente, entendidos como mínimo como 10 eventos al año en dichos espacios;</w:t>
      </w:r>
    </w:p>
    <w:p w14:paraId="197CE626" w14:textId="01DEE9CD" w:rsidR="008A723D" w:rsidRPr="003F6B93" w:rsidRDefault="008A723D" w:rsidP="00F7675E">
      <w:pPr>
        <w:pStyle w:val="ListParagraph"/>
        <w:numPr>
          <w:ilvl w:val="0"/>
          <w:numId w:val="1"/>
        </w:numPr>
        <w:jc w:val="both"/>
        <w:rPr>
          <w:rFonts w:ascii="Verdana" w:hAnsi="Verdana"/>
        </w:rPr>
      </w:pPr>
      <w:r>
        <w:rPr>
          <w:rFonts w:ascii="Verdana" w:hAnsi="Verdana"/>
        </w:rPr>
        <w:t xml:space="preserve">«plástico»: un material compuesto por un polímero, según se define en el artículo 3, punto 5, del Reglamento (CE) n.º 1907/2006, al que pueden haberse añadido aditivos u otras sustancias, y que puede funcionar como principal componente estructural de los productos finales, con la excepción de los polímeros naturales que no hayan sido modificados químicamente; </w:t>
      </w:r>
    </w:p>
    <w:p w14:paraId="55AF46E6" w14:textId="50FF4EB6" w:rsidR="003307FF" w:rsidRPr="003F6B93" w:rsidRDefault="003307FF" w:rsidP="00F7675E">
      <w:pPr>
        <w:pStyle w:val="ListParagraph"/>
        <w:numPr>
          <w:ilvl w:val="0"/>
          <w:numId w:val="1"/>
        </w:numPr>
        <w:jc w:val="both"/>
        <w:rPr>
          <w:rFonts w:ascii="Verdana" w:hAnsi="Verdana"/>
        </w:rPr>
      </w:pPr>
      <w:r>
        <w:rPr>
          <w:rFonts w:ascii="Verdana" w:hAnsi="Verdana"/>
        </w:rPr>
        <w:t>«plástico biodegradable»: un plástico capaz de sufrir una descomposición física y biológica, de modo que en último término se descomponga en dióxido de carbono (CO</w:t>
      </w:r>
      <w:r>
        <w:rPr>
          <w:rFonts w:ascii="Verdana" w:hAnsi="Verdana"/>
          <w:vertAlign w:val="subscript"/>
        </w:rPr>
        <w:t>2</w:t>
      </w:r>
      <w:r>
        <w:rPr>
          <w:rFonts w:ascii="Verdana" w:hAnsi="Verdana"/>
        </w:rPr>
        <w:t>), biomasa y agua, y que, conforme a las normas europeas en materia de envases, sea recuperable mediante compostaje y digestión anaeróbica;</w:t>
      </w:r>
    </w:p>
    <w:p w14:paraId="243D3CF3" w14:textId="064E6342" w:rsidR="008A723D" w:rsidRPr="003F6B93" w:rsidRDefault="008A723D" w:rsidP="00F7675E">
      <w:pPr>
        <w:pStyle w:val="ListParagraph"/>
        <w:numPr>
          <w:ilvl w:val="0"/>
          <w:numId w:val="1"/>
        </w:numPr>
        <w:jc w:val="both"/>
        <w:rPr>
          <w:rFonts w:ascii="Verdana" w:hAnsi="Verdana"/>
        </w:rPr>
      </w:pPr>
      <w:r>
        <w:rPr>
          <w:rFonts w:ascii="Verdana" w:hAnsi="Verdana"/>
        </w:rPr>
        <w:t xml:space="preserve">«plástico </w:t>
      </w:r>
      <w:proofErr w:type="spellStart"/>
      <w:r>
        <w:rPr>
          <w:rFonts w:ascii="Verdana" w:hAnsi="Verdana"/>
        </w:rPr>
        <w:t>oxodegradable</w:t>
      </w:r>
      <w:proofErr w:type="spellEnd"/>
      <w:r>
        <w:rPr>
          <w:rFonts w:ascii="Verdana" w:hAnsi="Verdana"/>
        </w:rPr>
        <w:t xml:space="preserve">»: materiales plásticos que incluyen aditivos los cuales, mediante oxidación, provocan la fragmentación del material plástico en </w:t>
      </w:r>
      <w:proofErr w:type="spellStart"/>
      <w:r>
        <w:rPr>
          <w:rFonts w:ascii="Verdana" w:hAnsi="Verdana"/>
        </w:rPr>
        <w:t>microfragmentos</w:t>
      </w:r>
      <w:proofErr w:type="spellEnd"/>
      <w:r>
        <w:rPr>
          <w:rFonts w:ascii="Verdana" w:hAnsi="Verdana"/>
        </w:rPr>
        <w:t xml:space="preserve"> o su descomposición química; </w:t>
      </w:r>
    </w:p>
    <w:p w14:paraId="7BF28EB9" w14:textId="4F4AE25F" w:rsidR="008A723D" w:rsidRPr="003F6B93" w:rsidRDefault="008A723D" w:rsidP="00F7675E">
      <w:pPr>
        <w:pStyle w:val="ListParagraph"/>
        <w:numPr>
          <w:ilvl w:val="0"/>
          <w:numId w:val="1"/>
        </w:numPr>
        <w:jc w:val="both"/>
        <w:rPr>
          <w:rFonts w:ascii="Verdana" w:hAnsi="Verdana"/>
        </w:rPr>
      </w:pPr>
      <w:r>
        <w:rPr>
          <w:rFonts w:ascii="Verdana" w:hAnsi="Verdana"/>
        </w:rPr>
        <w:t xml:space="preserve">«producto de plástico de un solo uso»: un producto fabricado total o parcialmente con plástico y que no ha sido concebido, diseñado o introducido en el mercado para completar, dentro de su período de vida, múltiples circuitos o rotaciones mediante su devolución a un productor para ser rellenado o reutilizado con el mismo fin para el que fue concebido. </w:t>
      </w:r>
    </w:p>
    <w:p w14:paraId="3B015B5D" w14:textId="6D7B7308" w:rsidR="003307FF" w:rsidRPr="003F6B93" w:rsidRDefault="003307FF" w:rsidP="00F7675E">
      <w:pPr>
        <w:pStyle w:val="ListParagraph"/>
        <w:numPr>
          <w:ilvl w:val="0"/>
          <w:numId w:val="1"/>
        </w:numPr>
        <w:jc w:val="both"/>
        <w:rPr>
          <w:rFonts w:ascii="Verdana" w:hAnsi="Verdana"/>
        </w:rPr>
      </w:pPr>
      <w:r>
        <w:rPr>
          <w:rFonts w:ascii="Verdana" w:hAnsi="Verdana"/>
        </w:rPr>
        <w:t xml:space="preserve">«productor»: un productor del producto tal como se define en el artículo 3, apartado 1, letra r), </w:t>
      </w:r>
      <w:proofErr w:type="spellStart"/>
      <w:r>
        <w:rPr>
          <w:rFonts w:ascii="Verdana" w:hAnsi="Verdana"/>
        </w:rPr>
        <w:t>Unilex</w:t>
      </w:r>
      <w:proofErr w:type="spellEnd"/>
      <w:r>
        <w:rPr>
          <w:rFonts w:ascii="Verdana" w:hAnsi="Verdana"/>
        </w:rPr>
        <w:t>, que comercializa productos plásticos de un solo uso, productos plásticos de un solo uso o artes de pesca que contengan plástico, distinto de las personas que realizan actividades pesqueras, tal como se definen en el artículo 4, punto 28, del Reglamento (UE) n.º 1380/2013 del Parlamento Europeo y del Consejo;</w:t>
      </w:r>
    </w:p>
    <w:p w14:paraId="6BD3956F" w14:textId="4A211B1E" w:rsidR="003307FF" w:rsidRDefault="003307FF" w:rsidP="00F7675E">
      <w:pPr>
        <w:pStyle w:val="ListParagraph"/>
        <w:numPr>
          <w:ilvl w:val="0"/>
          <w:numId w:val="1"/>
        </w:numPr>
        <w:jc w:val="both"/>
        <w:rPr>
          <w:rFonts w:ascii="Verdana" w:hAnsi="Verdana"/>
        </w:rPr>
      </w:pPr>
      <w:r>
        <w:rPr>
          <w:rFonts w:ascii="Verdana" w:hAnsi="Verdana"/>
        </w:rPr>
        <w:t>«productos del tabaco»: los productos del tabaco tal como se definen en el artículo 2, letra e) de la Ley n.º 37/2007, de 14 de agosto en su forma actual;</w:t>
      </w:r>
    </w:p>
    <w:p w14:paraId="6000B528" w14:textId="731A3572" w:rsidR="003A6EB6" w:rsidRPr="003F6B93" w:rsidRDefault="003A6EB6" w:rsidP="00F7675E">
      <w:pPr>
        <w:pStyle w:val="ListParagraph"/>
        <w:numPr>
          <w:ilvl w:val="0"/>
          <w:numId w:val="1"/>
        </w:numPr>
        <w:jc w:val="both"/>
        <w:rPr>
          <w:rFonts w:ascii="Verdana" w:hAnsi="Verdana"/>
        </w:rPr>
      </w:pPr>
      <w:r>
        <w:rPr>
          <w:rFonts w:ascii="Verdana" w:hAnsi="Verdana"/>
        </w:rPr>
        <w:t xml:space="preserve">«recogida»: la recogida tal como se define en el artículo 3, apartado 1, letra x), del Sistema General de Gestión de Residuos (GSWM); </w:t>
      </w:r>
    </w:p>
    <w:p w14:paraId="7203E680" w14:textId="77777777" w:rsidR="00397D00" w:rsidRDefault="003A6EB6" w:rsidP="00F7675E">
      <w:pPr>
        <w:pStyle w:val="ListParagraph"/>
        <w:numPr>
          <w:ilvl w:val="0"/>
          <w:numId w:val="1"/>
        </w:numPr>
        <w:jc w:val="both"/>
        <w:rPr>
          <w:rFonts w:ascii="Verdana" w:hAnsi="Verdana"/>
        </w:rPr>
      </w:pPr>
      <w:r>
        <w:rPr>
          <w:rFonts w:ascii="Verdana" w:hAnsi="Verdana"/>
        </w:rPr>
        <w:t>«recogida selectiva»: la recogida selectiva tal como se define en el artículo 3, apartado 1, letra j), del GSWM;</w:t>
      </w:r>
    </w:p>
    <w:p w14:paraId="4F7991B3" w14:textId="1C62BF7C" w:rsidR="00397D00" w:rsidRPr="00397D00" w:rsidRDefault="00397D00" w:rsidP="00F7675E">
      <w:pPr>
        <w:pStyle w:val="ListParagraph"/>
        <w:numPr>
          <w:ilvl w:val="0"/>
          <w:numId w:val="1"/>
        </w:numPr>
        <w:jc w:val="both"/>
        <w:rPr>
          <w:rFonts w:ascii="Verdana" w:hAnsi="Verdana"/>
        </w:rPr>
      </w:pPr>
      <w:r>
        <w:rPr>
          <w:rFonts w:ascii="Verdana" w:hAnsi="Verdana"/>
        </w:rPr>
        <w:t xml:space="preserve">«comidas listas para comer, para el consumo inmediato y para llevar o para entrega a domicilio»: las comidas listas para comer, </w:t>
      </w:r>
      <w:r>
        <w:rPr>
          <w:rFonts w:ascii="Verdana" w:hAnsi="Verdana"/>
        </w:rPr>
        <w:lastRenderedPageBreak/>
        <w:t xml:space="preserve">para el consumo inmediato y para llevar o para entrega a domicilio, tal como se definen en el artículo 3, apartado 1, letra </w:t>
      </w:r>
      <w:proofErr w:type="spellStart"/>
      <w:r>
        <w:rPr>
          <w:rFonts w:ascii="Verdana" w:hAnsi="Verdana"/>
        </w:rPr>
        <w:t>ss</w:t>
      </w:r>
      <w:proofErr w:type="spellEnd"/>
      <w:r>
        <w:rPr>
          <w:rFonts w:ascii="Verdana" w:hAnsi="Verdana"/>
        </w:rPr>
        <w:t xml:space="preserve">), de </w:t>
      </w:r>
      <w:proofErr w:type="spellStart"/>
      <w:r>
        <w:rPr>
          <w:rFonts w:ascii="Verdana" w:hAnsi="Verdana"/>
        </w:rPr>
        <w:t>Unilex</w:t>
      </w:r>
      <w:proofErr w:type="spellEnd"/>
      <w:r>
        <w:rPr>
          <w:rFonts w:ascii="Verdana" w:hAnsi="Verdana"/>
        </w:rPr>
        <w:t>;</w:t>
      </w:r>
    </w:p>
    <w:p w14:paraId="4361DB13" w14:textId="755AE130" w:rsidR="00EC283C" w:rsidRPr="003F6B93" w:rsidRDefault="00EC283C" w:rsidP="00F7675E">
      <w:pPr>
        <w:pStyle w:val="ListParagraph"/>
        <w:numPr>
          <w:ilvl w:val="0"/>
          <w:numId w:val="1"/>
        </w:numPr>
        <w:jc w:val="both"/>
        <w:rPr>
          <w:rFonts w:ascii="Verdana" w:hAnsi="Verdana"/>
        </w:rPr>
      </w:pPr>
      <w:r>
        <w:rPr>
          <w:rFonts w:ascii="Verdana" w:hAnsi="Verdana"/>
        </w:rPr>
        <w:t>«régimen de responsabilidad ampliada del productor»: un régimen de responsabilidad ampliada del productor tal como se define en el artículo 12 del GSWM;</w:t>
      </w:r>
    </w:p>
    <w:p w14:paraId="52DDA252" w14:textId="1BBC69FE" w:rsidR="00EC283C" w:rsidRPr="003F6B93" w:rsidRDefault="00EC283C" w:rsidP="00F7675E">
      <w:pPr>
        <w:pStyle w:val="ListParagraph"/>
        <w:numPr>
          <w:ilvl w:val="0"/>
          <w:numId w:val="1"/>
        </w:numPr>
        <w:jc w:val="both"/>
        <w:rPr>
          <w:rFonts w:ascii="Verdana" w:hAnsi="Verdana"/>
        </w:rPr>
      </w:pPr>
      <w:r>
        <w:rPr>
          <w:rFonts w:ascii="Verdana" w:hAnsi="Verdana"/>
        </w:rPr>
        <w:t xml:space="preserve">«residuo»: los residuos tal como se definen en el artículo 3, apartado 1, letra </w:t>
      </w:r>
      <w:proofErr w:type="spellStart"/>
      <w:r>
        <w:rPr>
          <w:rFonts w:ascii="Verdana" w:hAnsi="Verdana"/>
        </w:rPr>
        <w:t>aa</w:t>
      </w:r>
      <w:proofErr w:type="spellEnd"/>
      <w:r>
        <w:rPr>
          <w:rFonts w:ascii="Verdana" w:hAnsi="Verdana"/>
        </w:rPr>
        <w:t>), del GSWM;</w:t>
      </w:r>
    </w:p>
    <w:p w14:paraId="0AD5E5B9" w14:textId="244FF434" w:rsidR="00A172F1" w:rsidRDefault="008A723D" w:rsidP="00F7675E">
      <w:pPr>
        <w:pStyle w:val="ListParagraph"/>
        <w:numPr>
          <w:ilvl w:val="0"/>
          <w:numId w:val="1"/>
        </w:numPr>
        <w:jc w:val="both"/>
        <w:rPr>
          <w:rFonts w:ascii="Verdana" w:hAnsi="Verdana"/>
        </w:rPr>
      </w:pPr>
      <w:r>
        <w:rPr>
          <w:rFonts w:ascii="Verdana" w:hAnsi="Verdana"/>
        </w:rPr>
        <w:t xml:space="preserve">«residuo de artes de pesca»: cualquier arte de pesca cubierto por la definición de «residuo» del artículo 3, apartado 1, letra </w:t>
      </w:r>
      <w:proofErr w:type="spellStart"/>
      <w:r>
        <w:rPr>
          <w:rFonts w:ascii="Verdana" w:hAnsi="Verdana"/>
        </w:rPr>
        <w:t>aa</w:t>
      </w:r>
      <w:proofErr w:type="spellEnd"/>
      <w:r>
        <w:rPr>
          <w:rFonts w:ascii="Verdana" w:hAnsi="Verdana"/>
        </w:rPr>
        <w:t>), del GSWM, incluidos todos los componentes separados, sustancias o materiales que formaban parte de del arte de pesca o estaban unidos a él cuando se desechó, también en caso de abandono o extravío;</w:t>
      </w:r>
    </w:p>
    <w:p w14:paraId="3E377B11" w14:textId="325D1AE1" w:rsidR="00A6504A" w:rsidRPr="003F6B93" w:rsidRDefault="00A6504A" w:rsidP="00F7675E">
      <w:pPr>
        <w:pStyle w:val="ListParagraph"/>
        <w:numPr>
          <w:ilvl w:val="0"/>
          <w:numId w:val="1"/>
        </w:numPr>
        <w:jc w:val="both"/>
        <w:rPr>
          <w:rFonts w:ascii="Verdana" w:hAnsi="Verdana"/>
        </w:rPr>
      </w:pPr>
      <w:r>
        <w:rPr>
          <w:rFonts w:ascii="Verdana" w:hAnsi="Verdana"/>
        </w:rPr>
        <w:t xml:space="preserve">«bolsas de plástico ligeras»: las bolsas de plástico ligeras, tal como se definen en el artículo 3, apartado 1, letra </w:t>
      </w:r>
      <w:proofErr w:type="spellStart"/>
      <w:r>
        <w:rPr>
          <w:rFonts w:ascii="Verdana" w:hAnsi="Verdana"/>
        </w:rPr>
        <w:t>eee</w:t>
      </w:r>
      <w:proofErr w:type="spellEnd"/>
      <w:r>
        <w:rPr>
          <w:rFonts w:ascii="Verdana" w:hAnsi="Verdana"/>
        </w:rPr>
        <w:t xml:space="preserve">), </w:t>
      </w:r>
      <w:proofErr w:type="spellStart"/>
      <w:r>
        <w:rPr>
          <w:rFonts w:ascii="Verdana" w:hAnsi="Verdana"/>
        </w:rPr>
        <w:t>Unilex</w:t>
      </w:r>
      <w:proofErr w:type="spellEnd"/>
      <w:r>
        <w:rPr>
          <w:rFonts w:ascii="Verdana" w:hAnsi="Verdana"/>
        </w:rPr>
        <w:t>;</w:t>
      </w:r>
    </w:p>
    <w:p w14:paraId="259D1820" w14:textId="46B99296" w:rsidR="00D30E28" w:rsidRPr="003F6B93" w:rsidRDefault="00D30E28" w:rsidP="00F7675E">
      <w:pPr>
        <w:pStyle w:val="ListParagraph"/>
        <w:numPr>
          <w:ilvl w:val="0"/>
          <w:numId w:val="1"/>
        </w:numPr>
        <w:jc w:val="both"/>
        <w:rPr>
          <w:rFonts w:ascii="Verdana" w:hAnsi="Verdana"/>
        </w:rPr>
      </w:pPr>
      <w:r>
        <w:rPr>
          <w:rFonts w:ascii="Verdana" w:hAnsi="Verdana"/>
        </w:rPr>
        <w:t>«tratamiento»: el tratamiento definido en el artículo 3, apartado 1, letra n), del GSWM.</w:t>
      </w:r>
    </w:p>
    <w:p w14:paraId="4ADAA6E6" w14:textId="455D96C3" w:rsidR="00A172F1" w:rsidRDefault="00A172F1" w:rsidP="00A172F1">
      <w:pPr>
        <w:jc w:val="both"/>
        <w:rPr>
          <w:rFonts w:ascii="Verdana" w:hAnsi="Verdana"/>
        </w:rPr>
      </w:pPr>
    </w:p>
    <w:p w14:paraId="6B06554C" w14:textId="243BFD66" w:rsidR="007B286C" w:rsidRPr="007B286C" w:rsidRDefault="004D1142" w:rsidP="007B286C">
      <w:pPr>
        <w:pStyle w:val="Heading1"/>
        <w:tabs>
          <w:tab w:val="clear" w:pos="3969"/>
          <w:tab w:val="left" w:pos="2127"/>
        </w:tabs>
      </w:pPr>
      <w:bookmarkStart w:id="4" w:name="_Ref63690309"/>
      <w:r>
        <w:t xml:space="preserve"> </w:t>
      </w:r>
      <w:r>
        <w:br/>
        <w:t>Prohibición de la comercialización</w:t>
      </w:r>
      <w:bookmarkEnd w:id="4"/>
    </w:p>
    <w:p w14:paraId="57C0FD44" w14:textId="6F99CF22" w:rsidR="00D27005" w:rsidRDefault="009870C4" w:rsidP="009870C4">
      <w:pPr>
        <w:pStyle w:val="Heading2"/>
        <w:numPr>
          <w:ilvl w:val="0"/>
          <w:numId w:val="0"/>
        </w:numPr>
        <w:tabs>
          <w:tab w:val="clear" w:pos="1701"/>
          <w:tab w:val="left" w:pos="1276"/>
        </w:tabs>
        <w:ind w:left="426"/>
      </w:pPr>
      <w:r>
        <w:t>Artículo 4</w:t>
      </w:r>
      <w:r>
        <w:br/>
      </w:r>
      <w:bookmarkStart w:id="5" w:name="_Ref63690312"/>
      <w:r>
        <w:t>Prohibición de la comercialización</w:t>
      </w:r>
      <w:bookmarkEnd w:id="5"/>
      <w:r>
        <w:t xml:space="preserve"> de productos plásticos de un solo uso y de productos de plástico </w:t>
      </w:r>
      <w:proofErr w:type="spellStart"/>
      <w:r>
        <w:t>oxodegradable</w:t>
      </w:r>
      <w:proofErr w:type="spellEnd"/>
    </w:p>
    <w:p w14:paraId="2C461E0D" w14:textId="77777777" w:rsidR="007B286C" w:rsidRPr="007B286C" w:rsidRDefault="007B286C" w:rsidP="007B286C"/>
    <w:p w14:paraId="2713E414" w14:textId="77777777" w:rsidR="00D27005" w:rsidRPr="00371285" w:rsidRDefault="00D27005" w:rsidP="00C525D6">
      <w:pPr>
        <w:pStyle w:val="ListParagraph"/>
        <w:numPr>
          <w:ilvl w:val="3"/>
          <w:numId w:val="12"/>
        </w:numPr>
        <w:ind w:left="709"/>
        <w:jc w:val="both"/>
        <w:rPr>
          <w:rFonts w:ascii="Verdana" w:hAnsi="Verdana"/>
        </w:rPr>
      </w:pPr>
      <w:r>
        <w:rPr>
          <w:rFonts w:ascii="Verdana" w:hAnsi="Verdana"/>
        </w:rPr>
        <w:t xml:space="preserve">Queda prohibida la comercialización de los siguientes productos plásticos de un solo uso: </w:t>
      </w:r>
    </w:p>
    <w:p w14:paraId="4121AA08" w14:textId="09262A16" w:rsidR="00D27005" w:rsidRPr="00D7669C" w:rsidRDefault="00D27005" w:rsidP="00C525D6">
      <w:pPr>
        <w:pStyle w:val="ListParagraph"/>
        <w:numPr>
          <w:ilvl w:val="0"/>
          <w:numId w:val="2"/>
        </w:numPr>
        <w:ind w:left="1134" w:hanging="357"/>
        <w:jc w:val="both"/>
        <w:rPr>
          <w:rFonts w:ascii="Verdana" w:hAnsi="Verdana"/>
        </w:rPr>
      </w:pPr>
      <w:r>
        <w:t>Bastoncillos de algodón, excepto si entran en el ámbito de aplicación del Decreto-Ley n.º 145/2009, de 17 de junio, rectificado por la Declaración de rectificación n.º 60-A/2009, de 14 de agosto, y modificado por las Leyes n.º 21/2014, de 16 de abril, y n.º 51/2014, de 25 de agosto, y por el Decreto-Ley n.º 5/2017, de 6 de junio, y n.º 79/2018, de 15 de octubre;</w:t>
      </w:r>
    </w:p>
    <w:p w14:paraId="4384DBC8"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Cubiertos (tenedores, cuchillos, cucharas, palillos); </w:t>
      </w:r>
    </w:p>
    <w:p w14:paraId="5AF0708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Platos; </w:t>
      </w:r>
    </w:p>
    <w:p w14:paraId="551ADCD0" w14:textId="6444964C" w:rsidR="00D27005" w:rsidRPr="00D7669C" w:rsidRDefault="00D27005" w:rsidP="00C525D6">
      <w:pPr>
        <w:pStyle w:val="ListParagraph"/>
        <w:numPr>
          <w:ilvl w:val="0"/>
          <w:numId w:val="2"/>
        </w:numPr>
        <w:ind w:left="1134" w:hanging="357"/>
        <w:jc w:val="both"/>
        <w:rPr>
          <w:rFonts w:ascii="Verdana" w:hAnsi="Verdana"/>
        </w:rPr>
      </w:pPr>
      <w:r>
        <w:t xml:space="preserve">Pajitas, excepto si entran en el ámbito de aplicación del Decreto-Ley n.º 145/2009, de 17 de junio, rectificado por la Declaración de rectificación n.º 60-A/2009, de 14 </w:t>
      </w:r>
      <w:r>
        <w:lastRenderedPageBreak/>
        <w:t>de agosto y modificado por las Leyes n.º 21/2014, de 16 de abril y n.º 51/2014, de 25 de agosto, y por el Decreto-Ley n.º 5/2017, de 6 de junio y n.º 79/2018, de 15 de octubre;</w:t>
      </w:r>
    </w:p>
    <w:p w14:paraId="0296009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Agitadores de bebidas; </w:t>
      </w:r>
    </w:p>
    <w:p w14:paraId="4FA253D6"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Palitos destinados a sujetar e ir unidos a globos, con excepción de los globos para usos y aplicaciones industriales y profesionales que no se distribuyen a los consumidores, incluidos los mecanismos de esos palitos; </w:t>
      </w:r>
    </w:p>
    <w:p w14:paraId="2177198E" w14:textId="38DD0DBA" w:rsidR="00D27005" w:rsidRPr="00D7669C" w:rsidRDefault="00D27005" w:rsidP="00C525D6">
      <w:pPr>
        <w:pStyle w:val="ListParagraph"/>
        <w:numPr>
          <w:ilvl w:val="0"/>
          <w:numId w:val="2"/>
        </w:numPr>
        <w:autoSpaceDE w:val="0"/>
        <w:autoSpaceDN w:val="0"/>
        <w:adjustRightInd w:val="0"/>
        <w:ind w:left="1134"/>
        <w:jc w:val="both"/>
        <w:rPr>
          <w:rFonts w:ascii="Verdana" w:hAnsi="Verdana"/>
        </w:rPr>
      </w:pPr>
      <w:r>
        <w:rPr>
          <w:rFonts w:ascii="Verdana" w:hAnsi="Verdana"/>
        </w:rPr>
        <w:t>Recipientes para alimentos, hechos de poliestireno expandido, tales como cajas, con o sin tapa, utilizados con el fin de contener alimentos que:</w:t>
      </w:r>
    </w:p>
    <w:p w14:paraId="711C1AC6"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están destinados al consumo inmediato, in situ o para llevar, </w:t>
      </w:r>
    </w:p>
    <w:p w14:paraId="5E3C14FD"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normalmente se consumen en el propio recipiente, y </w:t>
      </w:r>
    </w:p>
    <w:p w14:paraId="41FE1FE0" w14:textId="77777777" w:rsidR="00D27005"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están listos para el consumo sin ninguna otra preparación posterior, como cocinar, hervir o calentar.</w:t>
      </w:r>
    </w:p>
    <w:p w14:paraId="4D19B8C7" w14:textId="77777777" w:rsidR="00D27005" w:rsidRPr="00951CCF" w:rsidRDefault="00D27005" w:rsidP="00D27005">
      <w:pPr>
        <w:autoSpaceDE w:val="0"/>
        <w:autoSpaceDN w:val="0"/>
        <w:adjustRightInd w:val="0"/>
        <w:ind w:left="1134"/>
        <w:jc w:val="both"/>
        <w:rPr>
          <w:rFonts w:ascii="Verdana" w:hAnsi="Verdana"/>
        </w:rPr>
      </w:pPr>
      <w:r>
        <w:rPr>
          <w:rFonts w:ascii="Verdana" w:hAnsi="Verdana"/>
        </w:rPr>
        <w:t>Estos incluyen recipientes para alimentos utilizados para comida rápida u otros alimentos listos para su consumo inmediato, excepto los recipientes para bebidas, platos, y envases y envoltorios que contengan alimentos;</w:t>
      </w:r>
    </w:p>
    <w:p w14:paraId="6ED2936A"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Recipientes para bebidas hechos de poliestireno expandido, incluidos sus tapas y tapones; </w:t>
      </w:r>
    </w:p>
    <w:p w14:paraId="1F6E43A5"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Vasos para bebidas hechos de poliestireno expandido, incluidos sus tapas y tapones;</w:t>
      </w:r>
    </w:p>
    <w:p w14:paraId="6425C76A" w14:textId="77777777" w:rsidR="00D27005" w:rsidRDefault="00D27005" w:rsidP="00C525D6">
      <w:pPr>
        <w:pStyle w:val="ListParagraph"/>
        <w:numPr>
          <w:ilvl w:val="3"/>
          <w:numId w:val="12"/>
        </w:numPr>
        <w:ind w:left="709"/>
        <w:jc w:val="both"/>
        <w:rPr>
          <w:rFonts w:ascii="Verdana" w:hAnsi="Verdana"/>
        </w:rPr>
      </w:pPr>
      <w:r>
        <w:rPr>
          <w:rFonts w:ascii="Verdana" w:hAnsi="Verdana"/>
        </w:rPr>
        <w:t xml:space="preserve">También está prohibida la comercialización de cualquier producto fabricado en plástico </w:t>
      </w:r>
      <w:proofErr w:type="spellStart"/>
      <w:r>
        <w:rPr>
          <w:rFonts w:ascii="Verdana" w:hAnsi="Verdana"/>
        </w:rPr>
        <w:t>oxodegradable</w:t>
      </w:r>
      <w:proofErr w:type="spellEnd"/>
      <w:r>
        <w:rPr>
          <w:rFonts w:ascii="Verdana" w:hAnsi="Verdana"/>
        </w:rPr>
        <w:t>.</w:t>
      </w:r>
    </w:p>
    <w:p w14:paraId="056DE917" w14:textId="596EE346" w:rsidR="00D27005" w:rsidRDefault="00D27005" w:rsidP="00D27005"/>
    <w:p w14:paraId="477E39E4" w14:textId="3E1DA0DE" w:rsidR="00F75E18" w:rsidRDefault="009870C4" w:rsidP="009870C4">
      <w:pPr>
        <w:pStyle w:val="Heading2"/>
        <w:numPr>
          <w:ilvl w:val="0"/>
          <w:numId w:val="0"/>
        </w:numPr>
        <w:tabs>
          <w:tab w:val="clear" w:pos="1701"/>
          <w:tab w:val="left" w:pos="1276"/>
        </w:tabs>
        <w:ind w:left="426"/>
      </w:pPr>
      <w:r>
        <w:t>Artículo 5</w:t>
      </w:r>
      <w:r>
        <w:br/>
        <w:t>Comercialización y utilización de productos plásticos de un solo uso</w:t>
      </w:r>
    </w:p>
    <w:p w14:paraId="3F98C67D" w14:textId="77777777" w:rsidR="004854CF" w:rsidRPr="004854CF" w:rsidRDefault="004854CF" w:rsidP="004854CF"/>
    <w:p w14:paraId="211621E2" w14:textId="364D82F9" w:rsidR="009B01EE" w:rsidRPr="00CE4719" w:rsidRDefault="00433A38" w:rsidP="00C525D6">
      <w:pPr>
        <w:pStyle w:val="ListParagraph"/>
        <w:numPr>
          <w:ilvl w:val="0"/>
          <w:numId w:val="16"/>
        </w:numPr>
        <w:ind w:left="709"/>
        <w:jc w:val="both"/>
        <w:rPr>
          <w:rFonts w:ascii="Verdana" w:hAnsi="Verdana"/>
        </w:rPr>
      </w:pPr>
      <w:bookmarkStart w:id="6" w:name="_Hlk66394718"/>
      <w:r>
        <w:t>A partir del 1 de julio de 2021, los restaurantes o establecimientos de servicios de bebidas no podrán poner a disposición del consumidor final los productos plásticos de un solo uso mencionados en el artículo 4, letras b) a e) y g) a i),</w:t>
      </w:r>
      <w:bookmarkEnd w:id="6"/>
      <w:r>
        <w:t xml:space="preserve"> para las bebidas y comidas in situ.</w:t>
      </w:r>
      <w:r>
        <w:rPr>
          <w:rFonts w:ascii="Verdana" w:hAnsi="Verdana"/>
        </w:rPr>
        <w:t xml:space="preserve"> </w:t>
      </w:r>
    </w:p>
    <w:p w14:paraId="34B4D975" w14:textId="191A83D1" w:rsidR="009B01EE" w:rsidRPr="00CE4719" w:rsidRDefault="00433A38" w:rsidP="00C525D6">
      <w:pPr>
        <w:pStyle w:val="ListParagraph"/>
        <w:numPr>
          <w:ilvl w:val="0"/>
          <w:numId w:val="16"/>
        </w:numPr>
        <w:ind w:left="709"/>
        <w:jc w:val="both"/>
        <w:rPr>
          <w:rFonts w:ascii="Verdana" w:hAnsi="Verdana"/>
        </w:rPr>
      </w:pPr>
      <w:bookmarkStart w:id="7" w:name="_Hlk66473615"/>
      <w:r>
        <w:rPr>
          <w:rFonts w:ascii="Verdana" w:hAnsi="Verdana"/>
        </w:rPr>
        <w:lastRenderedPageBreak/>
        <w:t xml:space="preserve">A partir del 1 de septiembre de 2021, los productos plásticos de un solo uso contemplados en el artículo 4, letras b) a e) y g) a i) no podrán utilizarse: </w:t>
      </w:r>
    </w:p>
    <w:bookmarkEnd w:id="7"/>
    <w:p w14:paraId="3E234258" w14:textId="10CD24A4" w:rsidR="00EE4CF1" w:rsidRPr="00CE4719" w:rsidRDefault="00710998" w:rsidP="00C525D6">
      <w:pPr>
        <w:pStyle w:val="ListParagraph"/>
        <w:numPr>
          <w:ilvl w:val="1"/>
          <w:numId w:val="15"/>
        </w:numPr>
        <w:spacing w:after="0"/>
        <w:ind w:left="1134"/>
        <w:jc w:val="both"/>
        <w:rPr>
          <w:rFonts w:ascii="Verdana" w:hAnsi="Verdana"/>
        </w:rPr>
      </w:pPr>
      <w:r>
        <w:rPr>
          <w:rFonts w:ascii="Verdana" w:hAnsi="Verdana"/>
        </w:rPr>
        <w:t>Bebidas de restauración o servidas sin sentarse;</w:t>
      </w:r>
    </w:p>
    <w:p w14:paraId="77260820" w14:textId="77777777" w:rsidR="0094255D" w:rsidRDefault="00710998" w:rsidP="00C525D6">
      <w:pPr>
        <w:pStyle w:val="ListParagraph"/>
        <w:numPr>
          <w:ilvl w:val="1"/>
          <w:numId w:val="15"/>
        </w:numPr>
        <w:spacing w:after="0"/>
        <w:ind w:left="1134"/>
        <w:jc w:val="both"/>
        <w:rPr>
          <w:rFonts w:ascii="Verdana" w:hAnsi="Verdana"/>
        </w:rPr>
      </w:pPr>
      <w:r>
        <w:rPr>
          <w:rFonts w:ascii="Verdana" w:hAnsi="Verdana"/>
        </w:rPr>
        <w:t xml:space="preserve">La prestación de servicios de alimentación y bebidas en el transporte público, en particular por vía aérea, ferroviaria, marítima y de larga distancia; </w:t>
      </w:r>
    </w:p>
    <w:p w14:paraId="2BEE1C84" w14:textId="2A4D6B9C" w:rsidR="002B499A" w:rsidRPr="0094255D" w:rsidRDefault="00710998" w:rsidP="00C525D6">
      <w:pPr>
        <w:pStyle w:val="ListParagraph"/>
        <w:numPr>
          <w:ilvl w:val="1"/>
          <w:numId w:val="15"/>
        </w:numPr>
        <w:spacing w:after="0"/>
        <w:ind w:left="1134"/>
        <w:jc w:val="both"/>
        <w:rPr>
          <w:rFonts w:ascii="Verdana" w:hAnsi="Verdana"/>
        </w:rPr>
      </w:pPr>
      <w:r>
        <w:rPr>
          <w:rFonts w:ascii="Verdana" w:hAnsi="Verdana"/>
        </w:rPr>
        <w:t>Otros lugares que ofrecen servicios de restauración o bebidas;</w:t>
      </w:r>
    </w:p>
    <w:p w14:paraId="736DE681" w14:textId="56E853A4" w:rsidR="00CB2CFD" w:rsidRPr="007B286C" w:rsidRDefault="002B499A" w:rsidP="00C525D6">
      <w:pPr>
        <w:pStyle w:val="ListParagraph"/>
        <w:numPr>
          <w:ilvl w:val="0"/>
          <w:numId w:val="16"/>
        </w:numPr>
        <w:ind w:left="709"/>
        <w:jc w:val="both"/>
        <w:rPr>
          <w:rFonts w:ascii="Verdana" w:hAnsi="Verdana"/>
        </w:rPr>
      </w:pPr>
      <w:r>
        <w:rPr>
          <w:rFonts w:ascii="Verdana" w:hAnsi="Verdana"/>
        </w:rPr>
        <w:t>A partir del 1 de septiembre de 2021, los productos plásticos de un solo uso contemplados en el artículo 4, letras b) a e) y g) a i) no podrán comercializarse en el comercio minorista.</w:t>
      </w:r>
    </w:p>
    <w:p w14:paraId="61142026" w14:textId="77777777" w:rsidR="00537243" w:rsidRPr="00C63B34" w:rsidRDefault="00537243" w:rsidP="00537243">
      <w:pPr>
        <w:jc w:val="both"/>
        <w:rPr>
          <w:rFonts w:ascii="Verdana" w:hAnsi="Verdana"/>
        </w:rPr>
      </w:pPr>
    </w:p>
    <w:p w14:paraId="62E5A404" w14:textId="00157340" w:rsidR="009820C4" w:rsidRPr="00C63B34" w:rsidRDefault="00537243" w:rsidP="005F42E9">
      <w:pPr>
        <w:pStyle w:val="Heading1"/>
        <w:tabs>
          <w:tab w:val="clear" w:pos="3969"/>
          <w:tab w:val="left" w:pos="2410"/>
        </w:tabs>
      </w:pPr>
      <w:r>
        <w:br/>
      </w:r>
      <w:bookmarkStart w:id="8" w:name="_Ref66120157"/>
      <w:r>
        <w:t>Reducción del consumo de determinados productos de un solo uso</w:t>
      </w:r>
      <w:bookmarkEnd w:id="8"/>
    </w:p>
    <w:p w14:paraId="5075E463" w14:textId="593841C0" w:rsidR="003517C6" w:rsidRDefault="009870C4" w:rsidP="009870C4">
      <w:pPr>
        <w:pStyle w:val="Heading2"/>
        <w:numPr>
          <w:ilvl w:val="0"/>
          <w:numId w:val="0"/>
        </w:numPr>
        <w:tabs>
          <w:tab w:val="clear" w:pos="1701"/>
          <w:tab w:val="left" w:pos="1276"/>
        </w:tabs>
        <w:ind w:left="426"/>
      </w:pPr>
      <w:r>
        <w:t>Artículo 6</w:t>
      </w:r>
      <w:r>
        <w:br/>
      </w:r>
      <w:bookmarkStart w:id="9" w:name="_Ref66120163"/>
      <w:r>
        <w:t>Productos cubiertos</w:t>
      </w:r>
      <w:bookmarkEnd w:id="9"/>
    </w:p>
    <w:p w14:paraId="70DD4751" w14:textId="77777777" w:rsidR="006610EC" w:rsidRPr="006610EC" w:rsidRDefault="006610EC" w:rsidP="006610EC"/>
    <w:p w14:paraId="7F902BC6" w14:textId="241162D0" w:rsidR="003517C6" w:rsidRPr="00412FEF" w:rsidRDefault="002B499A" w:rsidP="00C525D6">
      <w:pPr>
        <w:pStyle w:val="ListParagraph"/>
        <w:numPr>
          <w:ilvl w:val="0"/>
          <w:numId w:val="19"/>
        </w:numPr>
        <w:ind w:left="709"/>
        <w:jc w:val="both"/>
        <w:rPr>
          <w:rFonts w:ascii="Verdana" w:hAnsi="Verdana"/>
        </w:rPr>
      </w:pPr>
      <w:bookmarkStart w:id="10" w:name="_Hlk66395012"/>
      <w:r>
        <w:t xml:space="preserve">Los medidas y los objetivos establecidos en el presente capítulo se aplicarán </w:t>
      </w:r>
      <w:bookmarkEnd w:id="10"/>
      <w:r>
        <w:t>a los siguientes productos plásticos de un solo uso:</w:t>
      </w:r>
    </w:p>
    <w:p w14:paraId="4AD81EA3" w14:textId="77777777" w:rsidR="00DB4ADB" w:rsidRDefault="003517C6" w:rsidP="00C525D6">
      <w:pPr>
        <w:pStyle w:val="ListParagraph"/>
        <w:numPr>
          <w:ilvl w:val="0"/>
          <w:numId w:val="21"/>
        </w:numPr>
        <w:spacing w:line="240" w:lineRule="auto"/>
        <w:rPr>
          <w:rFonts w:ascii="Verdana" w:hAnsi="Verdana"/>
        </w:rPr>
      </w:pPr>
      <w:r>
        <w:rPr>
          <w:rFonts w:ascii="Verdana" w:hAnsi="Verdana"/>
        </w:rPr>
        <w:t>Vasos para bebidas, incluidos sus tapas y tapones;</w:t>
      </w:r>
    </w:p>
    <w:p w14:paraId="759F0DDA" w14:textId="724DD719" w:rsidR="00DB4ADB" w:rsidRPr="00DB4ADB" w:rsidRDefault="00DB4ADB" w:rsidP="00C525D6">
      <w:pPr>
        <w:pStyle w:val="ListParagraph"/>
        <w:numPr>
          <w:ilvl w:val="0"/>
          <w:numId w:val="21"/>
        </w:numPr>
        <w:spacing w:line="240" w:lineRule="auto"/>
        <w:rPr>
          <w:rFonts w:ascii="Verdana" w:hAnsi="Verdana"/>
        </w:rPr>
      </w:pPr>
      <w:r>
        <w:rPr>
          <w:rFonts w:ascii="Verdana" w:hAnsi="Verdana"/>
        </w:rPr>
        <w:t xml:space="preserve">Recipientes para alimentos, tales como cajas, con o sin tapa, incluidos los recipientes de alimentos utilizados para comida rápida u otras comidas listas para el consumo inmediato, excepto los recipientes para bebidas, los platos y los envases y envoltorios que contengan alimentos que: </w:t>
      </w:r>
    </w:p>
    <w:p w14:paraId="12BD86D7" w14:textId="0A3DCCD8" w:rsidR="003517C6" w:rsidRPr="004352AA"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están destinados al consumo inmediato, in situ o para llevar,</w:t>
      </w:r>
    </w:p>
    <w:p w14:paraId="668EF09B" w14:textId="77777777" w:rsid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 xml:space="preserve">normalmente se consumen en el propio recipiente, y </w:t>
      </w:r>
    </w:p>
    <w:p w14:paraId="731014F2" w14:textId="4EF6A118" w:rsidR="00EE4CF1" w:rsidRP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están listos para el consumo sin ninguna otra preparación posterior, como cocinar, hervir o calentar.</w:t>
      </w:r>
    </w:p>
    <w:p w14:paraId="2AD40F3A" w14:textId="3C9B19E0" w:rsidR="00EE4CF1" w:rsidRPr="00EE4CF1" w:rsidRDefault="00EE4CF1" w:rsidP="00C525D6">
      <w:pPr>
        <w:pStyle w:val="ListParagraph"/>
        <w:numPr>
          <w:ilvl w:val="0"/>
          <w:numId w:val="19"/>
        </w:numPr>
        <w:ind w:left="709"/>
        <w:jc w:val="both"/>
        <w:rPr>
          <w:rFonts w:ascii="Verdana" w:hAnsi="Verdana"/>
        </w:rPr>
      </w:pPr>
      <w:r>
        <w:rPr>
          <w:rFonts w:ascii="Verdana" w:hAnsi="Verdana"/>
        </w:rPr>
        <w:t xml:space="preserve">Las medidas previstas en el presente capítulo se aplicarán también a los envases de un solo uso fabricados con cualquier tipo de material. </w:t>
      </w:r>
    </w:p>
    <w:p w14:paraId="22D8CA39" w14:textId="2458F658" w:rsidR="00EE4CF1" w:rsidRPr="00E0517F" w:rsidRDefault="00EE4CF1" w:rsidP="00E0517F">
      <w:pPr>
        <w:pStyle w:val="ListParagraph"/>
        <w:tabs>
          <w:tab w:val="left" w:pos="1418"/>
        </w:tabs>
        <w:spacing w:line="240" w:lineRule="auto"/>
        <w:ind w:left="928"/>
        <w:jc w:val="both"/>
        <w:rPr>
          <w:rFonts w:ascii="Verdana" w:hAnsi="Verdana"/>
        </w:rPr>
      </w:pPr>
    </w:p>
    <w:p w14:paraId="1D17E251" w14:textId="77777777" w:rsidR="003517C6" w:rsidRPr="003F6B93" w:rsidRDefault="003517C6" w:rsidP="00DA7B55">
      <w:pPr>
        <w:spacing w:line="240" w:lineRule="auto"/>
        <w:rPr>
          <w:rFonts w:ascii="Verdana" w:hAnsi="Verdana"/>
        </w:rPr>
      </w:pPr>
    </w:p>
    <w:p w14:paraId="228E0377" w14:textId="3E6E1736" w:rsidR="006610EC" w:rsidRDefault="009870C4" w:rsidP="009870C4">
      <w:pPr>
        <w:pStyle w:val="Heading2"/>
        <w:numPr>
          <w:ilvl w:val="0"/>
          <w:numId w:val="0"/>
        </w:numPr>
        <w:tabs>
          <w:tab w:val="clear" w:pos="1701"/>
          <w:tab w:val="left" w:pos="1418"/>
        </w:tabs>
        <w:ind w:left="426"/>
      </w:pPr>
      <w:r>
        <w:lastRenderedPageBreak/>
        <w:t>Artículo 7</w:t>
      </w:r>
      <w:r>
        <w:br/>
      </w:r>
      <w:bookmarkStart w:id="11" w:name="_Ref63441995"/>
      <w:r>
        <w:t>Objetivos</w:t>
      </w:r>
      <w:bookmarkEnd w:id="11"/>
      <w:r>
        <w:t xml:space="preserve"> nacionales</w:t>
      </w:r>
    </w:p>
    <w:p w14:paraId="492E42DB" w14:textId="77777777" w:rsidR="006610EC" w:rsidRPr="006610EC" w:rsidRDefault="006610EC" w:rsidP="006610EC"/>
    <w:p w14:paraId="5094710A" w14:textId="7A2B46ED" w:rsidR="00272EF8" w:rsidRPr="007B286C" w:rsidRDefault="00910B5B" w:rsidP="00C525D6">
      <w:pPr>
        <w:pStyle w:val="ListParagraph"/>
        <w:numPr>
          <w:ilvl w:val="0"/>
          <w:numId w:val="20"/>
        </w:numPr>
        <w:ind w:left="709"/>
        <w:jc w:val="both"/>
        <w:rPr>
          <w:rFonts w:ascii="Verdana" w:hAnsi="Verdana"/>
        </w:rPr>
      </w:pPr>
      <w:r>
        <w:rPr>
          <w:rFonts w:ascii="Verdana" w:hAnsi="Verdana"/>
        </w:rPr>
        <w:t>Con el fin de lograr una reducción ambiciosa y sostenida del consumo de los productos plásticos de un solo uso contemplados en el apartado 1 del artículo anterior, se establecen los siguientes objetivos nacionales:</w:t>
      </w:r>
    </w:p>
    <w:p w14:paraId="69C17B00" w14:textId="3D28CD94" w:rsidR="00272EF8" w:rsidRPr="007B286C" w:rsidRDefault="00272EF8" w:rsidP="00C525D6">
      <w:pPr>
        <w:pStyle w:val="ListParagraph"/>
        <w:numPr>
          <w:ilvl w:val="0"/>
          <w:numId w:val="22"/>
        </w:numPr>
        <w:spacing w:line="240" w:lineRule="auto"/>
        <w:rPr>
          <w:rFonts w:ascii="Verdana" w:hAnsi="Verdana"/>
        </w:rPr>
      </w:pPr>
      <w:r>
        <w:rPr>
          <w:rFonts w:ascii="Verdana" w:hAnsi="Verdana"/>
        </w:rPr>
        <w:t xml:space="preserve">A más tardar el 31 de diciembre de 2026, una reducción del consumo en un 30% en comparación con el 2022; </w:t>
      </w:r>
    </w:p>
    <w:p w14:paraId="3E989E32" w14:textId="400E6B2C" w:rsidR="00272EF8" w:rsidRPr="007B286C" w:rsidRDefault="00272EF8" w:rsidP="00C525D6">
      <w:pPr>
        <w:pStyle w:val="ListParagraph"/>
        <w:numPr>
          <w:ilvl w:val="0"/>
          <w:numId w:val="22"/>
        </w:numPr>
        <w:spacing w:line="240" w:lineRule="auto"/>
        <w:rPr>
          <w:rFonts w:ascii="Verdana" w:hAnsi="Verdana"/>
        </w:rPr>
      </w:pPr>
      <w:r>
        <w:rPr>
          <w:rFonts w:ascii="Verdana" w:hAnsi="Verdana"/>
        </w:rPr>
        <w:t>A más tardar 31 de diciembre de 2030, una reducción del consumo en un 50% en comparación con el 2022.</w:t>
      </w:r>
    </w:p>
    <w:p w14:paraId="71F8F0EB" w14:textId="2BB14403" w:rsidR="00397D00" w:rsidRPr="007B286C" w:rsidRDefault="00272EF8" w:rsidP="00C525D6">
      <w:pPr>
        <w:pStyle w:val="ListParagraph"/>
        <w:numPr>
          <w:ilvl w:val="0"/>
          <w:numId w:val="20"/>
        </w:numPr>
        <w:ind w:left="709"/>
        <w:jc w:val="both"/>
        <w:rPr>
          <w:rFonts w:ascii="Verdana" w:hAnsi="Verdana"/>
        </w:rPr>
      </w:pPr>
      <w:r>
        <w:rPr>
          <w:rFonts w:ascii="Verdana" w:hAnsi="Verdana"/>
        </w:rPr>
        <w:t xml:space="preserve">La Agencia Portuguesa de Medio Ambiente (APA, I.P.) supervisará la reducción del consumo de los productos plásticos de un solo uso mencionados en el párrafo anterior. </w:t>
      </w:r>
    </w:p>
    <w:p w14:paraId="6D006D24" w14:textId="58634EE7" w:rsidR="00CA6349" w:rsidRPr="007B286C" w:rsidRDefault="00CA6349" w:rsidP="00C525D6">
      <w:pPr>
        <w:pStyle w:val="ListParagraph"/>
        <w:numPr>
          <w:ilvl w:val="0"/>
          <w:numId w:val="20"/>
        </w:numPr>
        <w:ind w:left="709"/>
        <w:jc w:val="both"/>
        <w:rPr>
          <w:rFonts w:ascii="Verdana" w:hAnsi="Verdana"/>
        </w:rPr>
      </w:pPr>
      <w:r>
        <w:rPr>
          <w:rFonts w:ascii="Verdana" w:hAnsi="Verdana"/>
        </w:rPr>
        <w:t>Los objetivos establecidos en el apartado 1 podrán revisarse cuando se considere necesario por razones tecnológicas o de mercado, o como consecuencia de la evolución del derecho de la Unión Europea.</w:t>
      </w:r>
    </w:p>
    <w:p w14:paraId="6497D82A" w14:textId="03A8E60E" w:rsidR="00272EF8" w:rsidRPr="007B286C" w:rsidRDefault="0001108C" w:rsidP="00C525D6">
      <w:pPr>
        <w:pStyle w:val="ListParagraph"/>
        <w:numPr>
          <w:ilvl w:val="0"/>
          <w:numId w:val="20"/>
        </w:numPr>
        <w:ind w:left="709"/>
        <w:jc w:val="both"/>
        <w:rPr>
          <w:rFonts w:ascii="Verdana" w:hAnsi="Verdana"/>
        </w:rPr>
      </w:pPr>
      <w:r>
        <w:rPr>
          <w:rFonts w:ascii="Verdana" w:hAnsi="Verdana"/>
        </w:rPr>
        <w:t xml:space="preserve">Los objetivos de reducción establecidos en el apartado 1 se medirán en unidades comercializadas, sin perjuicio de la metodología para calcular y verificar la reducción del consumo de productos plásticos de un solo uso que establecerá la Comisión Europea mediante un acto de ejecución. </w:t>
      </w:r>
    </w:p>
    <w:p w14:paraId="4A16461A" w14:textId="2C271DA5" w:rsidR="00A75EDB" w:rsidRPr="007B286C" w:rsidRDefault="004400C2" w:rsidP="00C525D6">
      <w:pPr>
        <w:pStyle w:val="ListParagraph"/>
        <w:numPr>
          <w:ilvl w:val="0"/>
          <w:numId w:val="20"/>
        </w:numPr>
        <w:ind w:left="709"/>
        <w:jc w:val="both"/>
        <w:rPr>
          <w:rFonts w:ascii="Verdana" w:hAnsi="Verdana"/>
        </w:rPr>
      </w:pPr>
      <w:bookmarkStart w:id="12" w:name="_Hlk66286637"/>
      <w:r>
        <w:rPr>
          <w:rFonts w:ascii="Verdana" w:hAnsi="Verdana"/>
        </w:rPr>
        <w:t>Si no se ha alcanzado alguno de los objetivos contemplados en el apartado 1, el Gobierno considerará la posibilidad de adoptar nuevas medidas, que pueden suponer, entre otras cosas, el establecimiento de restricciones a la comercialización de sus productos.</w:t>
      </w:r>
    </w:p>
    <w:bookmarkEnd w:id="12"/>
    <w:p w14:paraId="63E08606" w14:textId="77777777" w:rsidR="003F40CB" w:rsidRPr="00661287" w:rsidRDefault="003F40CB" w:rsidP="003F40CB">
      <w:pPr>
        <w:pStyle w:val="ListParagraph"/>
        <w:ind w:left="928"/>
        <w:jc w:val="both"/>
        <w:rPr>
          <w:rFonts w:ascii="Verdana" w:hAnsi="Verdana" w:cs="Arial"/>
          <w:color w:val="000000" w:themeColor="text1"/>
        </w:rPr>
      </w:pPr>
    </w:p>
    <w:p w14:paraId="200B45FB" w14:textId="03D3A032" w:rsidR="006610EC" w:rsidRPr="006610EC" w:rsidRDefault="00AC3F76" w:rsidP="000600E7">
      <w:pPr>
        <w:pStyle w:val="Heading2"/>
        <w:numPr>
          <w:ilvl w:val="0"/>
          <w:numId w:val="0"/>
        </w:numPr>
        <w:tabs>
          <w:tab w:val="clear" w:pos="1701"/>
          <w:tab w:val="left" w:pos="1276"/>
        </w:tabs>
        <w:ind w:left="426"/>
      </w:pPr>
      <w:r>
        <w:t>Artículo 8</w:t>
      </w:r>
      <w:r>
        <w:br/>
        <w:t>Medidas</w:t>
      </w:r>
    </w:p>
    <w:p w14:paraId="1030757F" w14:textId="01220FF2" w:rsidR="00D73085" w:rsidRPr="007B286C" w:rsidRDefault="00D73085" w:rsidP="00C525D6">
      <w:pPr>
        <w:pStyle w:val="ListParagraph"/>
        <w:numPr>
          <w:ilvl w:val="0"/>
          <w:numId w:val="23"/>
        </w:numPr>
        <w:tabs>
          <w:tab w:val="left" w:pos="993"/>
        </w:tabs>
        <w:ind w:left="709"/>
        <w:jc w:val="both"/>
        <w:rPr>
          <w:rFonts w:ascii="Verdana" w:hAnsi="Verdana"/>
        </w:rPr>
      </w:pPr>
      <w:bookmarkStart w:id="13" w:name="_Hlk65426299"/>
      <w:r>
        <w:rPr>
          <w:rFonts w:ascii="Verdana" w:hAnsi="Verdana"/>
        </w:rPr>
        <w:t xml:space="preserve">A partir del 1 de enero de 2023, los establecimientos que utilicen envases de un solo uso para alimentos y bebidas para el suministro de comidas listas para comer para el consumo inmediato y para llevar o para entrega a domicilio deberán poner a disposición de sus clientes alternativas reutilizables cobrando un depósito que se reembolsará al devolver el envase de conformidad con el artículo 23 de </w:t>
      </w:r>
      <w:proofErr w:type="spellStart"/>
      <w:r>
        <w:rPr>
          <w:rFonts w:ascii="Verdana" w:hAnsi="Verdana"/>
        </w:rPr>
        <w:t>Unilex</w:t>
      </w:r>
      <w:proofErr w:type="spellEnd"/>
      <w:r>
        <w:rPr>
          <w:rFonts w:ascii="Verdana" w:hAnsi="Verdana"/>
        </w:rPr>
        <w:t>.</w:t>
      </w:r>
    </w:p>
    <w:bookmarkEnd w:id="13"/>
    <w:p w14:paraId="4BFA6D9C" w14:textId="0D8D0465"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 xml:space="preserve">Los establecimientos contemplados en el apartado anterior no podrán poner a disposición una unidad de venta compuesta por el producto y </w:t>
      </w:r>
      <w:r>
        <w:rPr>
          <w:rFonts w:ascii="Verdana" w:hAnsi="Verdana"/>
        </w:rPr>
        <w:lastRenderedPageBreak/>
        <w:t>el envase reutilizable a un precio más elevado o en condiciones menos ventajosas que la unidad de venta compuesta por el mismo producto y el envase de un solo uso.</w:t>
      </w:r>
    </w:p>
    <w:p w14:paraId="37D279AC" w14:textId="10E0978B" w:rsidR="002845B5" w:rsidRPr="007B286C" w:rsidRDefault="002845B5" w:rsidP="00C525D6">
      <w:pPr>
        <w:pStyle w:val="ListParagraph"/>
        <w:numPr>
          <w:ilvl w:val="0"/>
          <w:numId w:val="23"/>
        </w:numPr>
        <w:tabs>
          <w:tab w:val="left" w:pos="993"/>
        </w:tabs>
        <w:ind w:left="709"/>
        <w:jc w:val="both"/>
        <w:rPr>
          <w:rFonts w:ascii="Verdana" w:hAnsi="Verdana"/>
        </w:rPr>
      </w:pPr>
      <w:bookmarkStart w:id="14" w:name="_Hlk65426360"/>
      <w:r>
        <w:rPr>
          <w:rFonts w:ascii="Verdana" w:hAnsi="Verdana"/>
        </w:rPr>
        <w:t xml:space="preserve">Los establecimientos contemplados en el apartado 1 con una superficie inferior a 150 metros cuadrados podrán optar por no cumplir lo dispuesto en el apartado 1, sin perjuicio del cumplimiento de las obligaciones establecidas en el artículo 25 ter, apartado 1, de </w:t>
      </w:r>
      <w:proofErr w:type="spellStart"/>
      <w:r>
        <w:rPr>
          <w:rFonts w:ascii="Verdana" w:hAnsi="Verdana"/>
        </w:rPr>
        <w:t>Unilex</w:t>
      </w:r>
      <w:proofErr w:type="spellEnd"/>
      <w:r>
        <w:rPr>
          <w:rFonts w:ascii="Verdana" w:hAnsi="Verdana"/>
        </w:rPr>
        <w:t xml:space="preserve">. </w:t>
      </w:r>
    </w:p>
    <w:bookmarkEnd w:id="14"/>
    <w:p w14:paraId="2092922E" w14:textId="7B8B12EB" w:rsidR="002845B5" w:rsidRPr="007B286C" w:rsidRDefault="001A4D54" w:rsidP="00C525D6">
      <w:pPr>
        <w:pStyle w:val="ListParagraph"/>
        <w:numPr>
          <w:ilvl w:val="0"/>
          <w:numId w:val="23"/>
        </w:numPr>
        <w:tabs>
          <w:tab w:val="left" w:pos="993"/>
        </w:tabs>
        <w:ind w:left="709"/>
        <w:jc w:val="both"/>
        <w:rPr>
          <w:rFonts w:ascii="Verdana" w:hAnsi="Verdana"/>
        </w:rPr>
      </w:pPr>
      <w:r>
        <w:rPr>
          <w:rFonts w:ascii="Verdana" w:hAnsi="Verdana"/>
        </w:rPr>
        <w:t>En el caso del suministro de comidas listas para consumir por medio de máquinas expendedoras que utilicen envases de un solo uso para alimentos y bebidas, el cumplimiento de la obligación de poner a disposición alternativas reutilizables puede garantizarse permitiendo a los clientes utilizar sus propios envases, y esta opción debe indicarse claramente facilitando la información necesaria.</w:t>
      </w:r>
    </w:p>
    <w:p w14:paraId="2161C326" w14:textId="722EFAC1" w:rsidR="009B01EE" w:rsidRPr="007B286C" w:rsidRDefault="009B01EE" w:rsidP="00C525D6">
      <w:pPr>
        <w:pStyle w:val="ListParagraph"/>
        <w:numPr>
          <w:ilvl w:val="0"/>
          <w:numId w:val="23"/>
        </w:numPr>
        <w:tabs>
          <w:tab w:val="left" w:pos="993"/>
        </w:tabs>
        <w:ind w:left="709"/>
        <w:jc w:val="both"/>
        <w:rPr>
          <w:rFonts w:ascii="Verdana" w:hAnsi="Verdana"/>
        </w:rPr>
      </w:pPr>
      <w:r>
        <w:rPr>
          <w:rFonts w:ascii="Verdana" w:hAnsi="Verdana"/>
        </w:rPr>
        <w:t xml:space="preserve">A partir del 1 de enero de 2022, la utilización de platos reutilizables en todos los establecimientos de restauración o bebidas será obligatoria en caso de venta para consumo in situ. </w:t>
      </w:r>
    </w:p>
    <w:p w14:paraId="498C4088" w14:textId="694CDB5F"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 xml:space="preserve">De conformidad con la medida prevista en el artículo 25a, apartado 5, de </w:t>
      </w:r>
      <w:proofErr w:type="spellStart"/>
      <w:r>
        <w:rPr>
          <w:rFonts w:ascii="Verdana" w:hAnsi="Verdana"/>
        </w:rPr>
        <w:t>Unilex</w:t>
      </w:r>
      <w:proofErr w:type="spellEnd"/>
      <w:r>
        <w:rPr>
          <w:rFonts w:ascii="Verdana" w:hAnsi="Verdana"/>
        </w:rPr>
        <w:t>, los vasos que deban ponerse a disposición de los establecimientos del sector hotelero, de la restauración y hostelería serán reutilizables.</w:t>
      </w:r>
    </w:p>
    <w:p w14:paraId="41413B7A" w14:textId="374ECD6A"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 xml:space="preserve"> Los productores de vasos para bebidas y envases para alimentos contemplados en el artículo 6, apartado 1, individualmente o a través de sistemas integrados de gestión, promoverán la investigación y el desarrollo de soluciones alternativas sostenibles a dichos productos plásticos de un solo uso presentando sus resultados a la APA, al I.P. y a la Dirección General de Actividades Económicas (DGAE) a más tardar el 30 de junio de 2024.</w:t>
      </w:r>
    </w:p>
    <w:p w14:paraId="4488AD4B" w14:textId="679C933C"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En función de las conclusiones mencionadas en el párrafo anterior, el Gobierno evaluará la aplicación de incentivos para proyectos de innovación y diseño ecológico que contribuyan a la sustitución de productos plásticos de un solo uso.</w:t>
      </w:r>
    </w:p>
    <w:p w14:paraId="674B59CC" w14:textId="17533D97" w:rsidR="002B55CA" w:rsidRPr="007B286C" w:rsidRDefault="002845B5" w:rsidP="00C525D6">
      <w:pPr>
        <w:pStyle w:val="ListParagraph"/>
        <w:numPr>
          <w:ilvl w:val="0"/>
          <w:numId w:val="23"/>
        </w:numPr>
        <w:tabs>
          <w:tab w:val="left" w:pos="993"/>
        </w:tabs>
        <w:ind w:left="709"/>
        <w:jc w:val="both"/>
        <w:rPr>
          <w:rFonts w:ascii="Verdana" w:hAnsi="Verdana"/>
        </w:rPr>
      </w:pPr>
      <w:r>
        <w:t xml:space="preserve">También contribuirán a la consecución de los objetivos establecidos en el artículo 7, el artículo 25 ter de </w:t>
      </w:r>
      <w:proofErr w:type="spellStart"/>
      <w:r>
        <w:t>Unilex</w:t>
      </w:r>
      <w:proofErr w:type="spellEnd"/>
      <w:r>
        <w:t xml:space="preserve"> y el artículo 320 de la Ley n.º 75-B/2020, de 31 de diciembre.</w:t>
      </w:r>
    </w:p>
    <w:p w14:paraId="3A42FDB6" w14:textId="6F6E9142" w:rsidR="00824535" w:rsidRPr="007B286C" w:rsidRDefault="00824535" w:rsidP="00C525D6">
      <w:pPr>
        <w:pStyle w:val="ListParagraph"/>
        <w:numPr>
          <w:ilvl w:val="0"/>
          <w:numId w:val="23"/>
        </w:numPr>
        <w:tabs>
          <w:tab w:val="left" w:pos="993"/>
        </w:tabs>
        <w:ind w:left="709"/>
        <w:jc w:val="both"/>
        <w:rPr>
          <w:rFonts w:ascii="Verdana" w:hAnsi="Verdana"/>
        </w:rPr>
      </w:pPr>
      <w:r>
        <w:t>A más tardar el 31 de diciembre de 2024, el APA, el I.P. y la DGAE habrán evaluado la necesidad de introducir nuevas medidas para apoyar la consecución de los objetivos mencionados en el artículo 7.</w:t>
      </w:r>
    </w:p>
    <w:p w14:paraId="05FAE9EA" w14:textId="77777777" w:rsidR="00DB4ADB" w:rsidRPr="00BF777F" w:rsidRDefault="00DB4ADB" w:rsidP="00DB4ADB">
      <w:pPr>
        <w:pStyle w:val="CommentText"/>
        <w:ind w:left="928"/>
        <w:jc w:val="both"/>
        <w:rPr>
          <w:rFonts w:ascii="Verdana" w:hAnsi="Verdana"/>
          <w:sz w:val="22"/>
          <w:szCs w:val="22"/>
          <w:shd w:val="clear" w:color="auto" w:fill="F5F5F5"/>
        </w:rPr>
      </w:pPr>
    </w:p>
    <w:p w14:paraId="61C7EC5F" w14:textId="1597687A" w:rsidR="00272EF8" w:rsidRDefault="00272EF8" w:rsidP="00241552">
      <w:pPr>
        <w:pStyle w:val="ListParagraph"/>
        <w:jc w:val="center"/>
        <w:rPr>
          <w:rFonts w:ascii="Verdana" w:hAnsi="Verdana" w:cs="Arial"/>
          <w:sz w:val="21"/>
          <w:szCs w:val="21"/>
        </w:rPr>
      </w:pPr>
    </w:p>
    <w:p w14:paraId="4DC3DC77" w14:textId="0D77645C" w:rsidR="00272EF8" w:rsidRDefault="00AC3F76" w:rsidP="000600E7">
      <w:pPr>
        <w:pStyle w:val="Heading2"/>
        <w:numPr>
          <w:ilvl w:val="0"/>
          <w:numId w:val="0"/>
        </w:numPr>
        <w:tabs>
          <w:tab w:val="clear" w:pos="1701"/>
          <w:tab w:val="left" w:pos="1276"/>
        </w:tabs>
        <w:ind w:left="426"/>
      </w:pPr>
      <w:r>
        <w:lastRenderedPageBreak/>
        <w:t>Artículo 9</w:t>
      </w:r>
      <w:r>
        <w:br/>
        <w:t>Acuerdo sectorial</w:t>
      </w:r>
      <w:bookmarkStart w:id="15" w:name="_Ref66120795"/>
    </w:p>
    <w:p w14:paraId="31D06C8D" w14:textId="77777777" w:rsidR="00014396" w:rsidRPr="00014396" w:rsidRDefault="00014396" w:rsidP="00014396"/>
    <w:bookmarkEnd w:id="15"/>
    <w:p w14:paraId="0A4B94C3" w14:textId="7BF6D273" w:rsidR="003517C6" w:rsidRPr="007B286C" w:rsidRDefault="00544073" w:rsidP="00C525D6">
      <w:pPr>
        <w:pStyle w:val="ListParagraph"/>
        <w:numPr>
          <w:ilvl w:val="0"/>
          <w:numId w:val="25"/>
        </w:numPr>
        <w:tabs>
          <w:tab w:val="left" w:pos="993"/>
        </w:tabs>
        <w:ind w:left="709"/>
        <w:jc w:val="both"/>
        <w:rPr>
          <w:rFonts w:ascii="Verdana" w:hAnsi="Verdana"/>
        </w:rPr>
      </w:pPr>
      <w:r>
        <w:t>Los resultados obtenidos a través de un acuerdo sectorial que se celebrará entre la DGAE y todas las estructuras representativas de los distintos sectores implicados en la industria, el comercio, la distribución y la restauración contribuirán a la consecución de los objetivos establecidos en el informe.</w:t>
      </w:r>
    </w:p>
    <w:p w14:paraId="58E91BDD" w14:textId="238AB656" w:rsidR="000216F2" w:rsidRPr="007B286C" w:rsidRDefault="000216F2" w:rsidP="00C525D6">
      <w:pPr>
        <w:pStyle w:val="ListParagraph"/>
        <w:numPr>
          <w:ilvl w:val="0"/>
          <w:numId w:val="25"/>
        </w:numPr>
        <w:tabs>
          <w:tab w:val="left" w:pos="993"/>
        </w:tabs>
        <w:ind w:left="709"/>
        <w:jc w:val="both"/>
        <w:rPr>
          <w:rFonts w:ascii="Verdana" w:hAnsi="Verdana"/>
        </w:rPr>
      </w:pPr>
      <w:r>
        <w:rPr>
          <w:rFonts w:ascii="Verdana" w:hAnsi="Verdana"/>
        </w:rPr>
        <w:t xml:space="preserve">Cualquier otra entidad que opere en los sectores mencionados en el párrafo anterior que no haya incorporado las estructuras representativas podrá también adherirse voluntariamente al Acuerdo. </w:t>
      </w:r>
    </w:p>
    <w:p w14:paraId="2B3D80B9" w14:textId="77777777" w:rsidR="00544073" w:rsidRPr="007B286C" w:rsidRDefault="00544073" w:rsidP="00C525D6">
      <w:pPr>
        <w:pStyle w:val="ListParagraph"/>
        <w:numPr>
          <w:ilvl w:val="0"/>
          <w:numId w:val="25"/>
        </w:numPr>
        <w:tabs>
          <w:tab w:val="left" w:pos="993"/>
        </w:tabs>
        <w:ind w:left="709"/>
        <w:jc w:val="both"/>
        <w:rPr>
          <w:rFonts w:ascii="Verdana" w:hAnsi="Verdana"/>
        </w:rPr>
      </w:pPr>
      <w:bookmarkStart w:id="16" w:name="_Ref66120801"/>
      <w:r>
        <w:rPr>
          <w:rFonts w:ascii="Verdana" w:hAnsi="Verdana"/>
        </w:rPr>
        <w:t>Los acuerdos mencionados en el párrafo anterior deberán cumplir los siguientes requisitos:</w:t>
      </w:r>
      <w:bookmarkEnd w:id="16"/>
    </w:p>
    <w:p w14:paraId="380A7111" w14:textId="2AD04D67" w:rsidR="00544073" w:rsidRPr="00F7675E" w:rsidRDefault="00544073" w:rsidP="00C525D6">
      <w:pPr>
        <w:pStyle w:val="ListParagraph"/>
        <w:numPr>
          <w:ilvl w:val="0"/>
          <w:numId w:val="24"/>
        </w:numPr>
        <w:spacing w:line="240" w:lineRule="auto"/>
        <w:rPr>
          <w:rFonts w:ascii="Verdana" w:hAnsi="Verdana"/>
        </w:rPr>
      </w:pPr>
      <w:r>
        <w:rPr>
          <w:rFonts w:ascii="Verdana" w:hAnsi="Verdana"/>
        </w:rPr>
        <w:t>Los acuerdos especificarán los objetivos, las medidas sectoriales específicas y los plazos correspondientes, según el sector, el tipo de producto o el tamaño de las entidades de que se trate;</w:t>
      </w:r>
    </w:p>
    <w:p w14:paraId="03A0617C" w14:textId="6F08D608" w:rsidR="00544073" w:rsidRPr="00F7675E" w:rsidRDefault="00544073" w:rsidP="00C525D6">
      <w:pPr>
        <w:pStyle w:val="ListParagraph"/>
        <w:numPr>
          <w:ilvl w:val="0"/>
          <w:numId w:val="24"/>
        </w:numPr>
        <w:spacing w:line="240" w:lineRule="auto"/>
        <w:rPr>
          <w:rFonts w:ascii="Verdana" w:hAnsi="Verdana"/>
        </w:rPr>
      </w:pPr>
      <w:r>
        <w:rPr>
          <w:rFonts w:ascii="Verdana" w:hAnsi="Verdana"/>
        </w:rPr>
        <w:t>Los resultados obtenidos en virtud de los acuerdos serán objeto de un seguimiento anual por parte de la DGAE y se pondrán a disposición del público en las condiciones establecidas en el propio acuerdo;</w:t>
      </w:r>
    </w:p>
    <w:p w14:paraId="1B81D803" w14:textId="77777777" w:rsidR="00A21790" w:rsidRPr="00F7675E" w:rsidRDefault="00284CB1" w:rsidP="00C525D6">
      <w:pPr>
        <w:pStyle w:val="ListParagraph"/>
        <w:numPr>
          <w:ilvl w:val="0"/>
          <w:numId w:val="24"/>
        </w:numPr>
        <w:spacing w:line="240" w:lineRule="auto"/>
        <w:rPr>
          <w:rFonts w:ascii="Verdana" w:hAnsi="Verdana"/>
        </w:rPr>
      </w:pPr>
      <w:r>
        <w:rPr>
          <w:rFonts w:ascii="Verdana" w:hAnsi="Verdana"/>
        </w:rPr>
        <w:t>Los acuerdos se publicarán en el sitio web de la DGAE.</w:t>
      </w:r>
    </w:p>
    <w:p w14:paraId="2B468A49" w14:textId="699C2C5C" w:rsidR="00284CB1" w:rsidRPr="00F7675E" w:rsidRDefault="00A21790" w:rsidP="00C525D6">
      <w:pPr>
        <w:pStyle w:val="ListParagraph"/>
        <w:numPr>
          <w:ilvl w:val="0"/>
          <w:numId w:val="25"/>
        </w:numPr>
        <w:tabs>
          <w:tab w:val="left" w:pos="993"/>
        </w:tabs>
        <w:ind w:left="709"/>
        <w:jc w:val="both"/>
        <w:rPr>
          <w:rFonts w:ascii="Verdana" w:hAnsi="Verdana"/>
        </w:rPr>
      </w:pPr>
      <w:r>
        <w:rPr>
          <w:rFonts w:ascii="Verdana" w:hAnsi="Verdana"/>
        </w:rPr>
        <w:t>Toda información derivada del seguimiento de las disposiciones sectoriales a que se refiere el párrafo anterior, letra b), que contribuya a la evaluación de la reducción del consumo de productos plásticos de un solo uso, se enviará anualmente a APA, I.P.</w:t>
      </w:r>
    </w:p>
    <w:p w14:paraId="402788C3" w14:textId="0921CCEE" w:rsidR="00743415" w:rsidRPr="00F7675E" w:rsidRDefault="00544073" w:rsidP="00C525D6">
      <w:pPr>
        <w:pStyle w:val="ListParagraph"/>
        <w:numPr>
          <w:ilvl w:val="0"/>
          <w:numId w:val="25"/>
        </w:numPr>
        <w:tabs>
          <w:tab w:val="left" w:pos="993"/>
        </w:tabs>
        <w:ind w:left="709"/>
        <w:jc w:val="both"/>
        <w:rPr>
          <w:rFonts w:ascii="Verdana" w:hAnsi="Verdana"/>
        </w:rPr>
      </w:pPr>
      <w:r>
        <w:rPr>
          <w:rFonts w:ascii="Verdana" w:hAnsi="Verdana"/>
        </w:rPr>
        <w:t xml:space="preserve">Los acuerdos mencionados en los apartados anteriores se redactarán y publicarán a más tardar el 30 de junio de 2023. </w:t>
      </w:r>
    </w:p>
    <w:p w14:paraId="0324057B" w14:textId="77777777" w:rsidR="00284CB1" w:rsidRPr="00407DEE" w:rsidRDefault="00284CB1" w:rsidP="00407DEE">
      <w:pPr>
        <w:pStyle w:val="ListParagraph"/>
        <w:ind w:left="928"/>
        <w:jc w:val="both"/>
        <w:rPr>
          <w:rFonts w:ascii="Verdana" w:hAnsi="Verdana" w:cs="Arial"/>
        </w:rPr>
      </w:pPr>
    </w:p>
    <w:p w14:paraId="21D34718" w14:textId="4B6E5EB2" w:rsidR="00D61808" w:rsidRPr="008A461E" w:rsidRDefault="008A461E" w:rsidP="008A461E">
      <w:pPr>
        <w:pStyle w:val="Heading1"/>
        <w:tabs>
          <w:tab w:val="clear" w:pos="3969"/>
          <w:tab w:val="left" w:pos="2268"/>
          <w:tab w:val="left" w:pos="2410"/>
        </w:tabs>
      </w:pPr>
      <w:r>
        <w:br/>
        <w:t>Requisitos aplicables a los productos plásticos de un solo uso</w:t>
      </w:r>
    </w:p>
    <w:p w14:paraId="4261089B" w14:textId="77777777" w:rsidR="00F256AF" w:rsidRPr="0023255A" w:rsidRDefault="00F256AF" w:rsidP="00DA7B55">
      <w:pPr>
        <w:autoSpaceDE w:val="0"/>
        <w:autoSpaceDN w:val="0"/>
        <w:adjustRightInd w:val="0"/>
        <w:rPr>
          <w:rFonts w:ascii="Verdana" w:hAnsi="Verdana" w:cs="EU Albertina"/>
          <w:color w:val="000000"/>
        </w:rPr>
      </w:pPr>
    </w:p>
    <w:p w14:paraId="1DDF2FB0" w14:textId="56BF29EE" w:rsidR="000B1395" w:rsidRPr="00407DEE" w:rsidRDefault="00AC3F76" w:rsidP="000600E7">
      <w:pPr>
        <w:pStyle w:val="Heading2"/>
        <w:numPr>
          <w:ilvl w:val="0"/>
          <w:numId w:val="0"/>
        </w:numPr>
        <w:tabs>
          <w:tab w:val="clear" w:pos="1701"/>
          <w:tab w:val="left" w:pos="1276"/>
        </w:tabs>
        <w:ind w:left="426"/>
      </w:pPr>
      <w:bookmarkStart w:id="17" w:name="_Ref66120924"/>
      <w:r>
        <w:t>Artículo 10</w:t>
      </w:r>
      <w:r>
        <w:br/>
      </w:r>
      <w:bookmarkEnd w:id="17"/>
      <w:r>
        <w:t>Requisitos de diseño para envases de bebidas</w:t>
      </w:r>
    </w:p>
    <w:p w14:paraId="32932739" w14:textId="77777777" w:rsidR="006610EC" w:rsidRPr="000B1395" w:rsidRDefault="006610EC" w:rsidP="000B1395">
      <w:pPr>
        <w:jc w:val="center"/>
        <w:rPr>
          <w:rFonts w:ascii="Verdana" w:hAnsi="Verdana"/>
          <w:b/>
        </w:rPr>
      </w:pPr>
    </w:p>
    <w:p w14:paraId="3F2E2D86" w14:textId="4AAAD1B0"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lastRenderedPageBreak/>
        <w:t>A partir del 3 de julio de 2024, los recipientes de plástico de un solo uso para bebidas con una capacidad de hasta tres litros, es decir, recipientes utilizados para contener líquidos, como botellas de bebidas y envases de bebidas compuestos, incluidos sus tapas y tapones, cuando dichas tapas y tapones permanezcan pegados a los recipientes durante la fase de uso previsto del producto.</w:t>
      </w:r>
    </w:p>
    <w:p w14:paraId="6995420C" w14:textId="45131C9A" w:rsidR="000B1395" w:rsidRPr="00182AD4" w:rsidRDefault="00407DEE" w:rsidP="00C525D6">
      <w:pPr>
        <w:pStyle w:val="ListParagraph"/>
        <w:numPr>
          <w:ilvl w:val="0"/>
          <w:numId w:val="26"/>
        </w:numPr>
        <w:tabs>
          <w:tab w:val="left" w:pos="993"/>
        </w:tabs>
        <w:ind w:left="709"/>
        <w:jc w:val="both"/>
        <w:rPr>
          <w:rFonts w:ascii="Verdana" w:hAnsi="Verdana"/>
        </w:rPr>
      </w:pPr>
      <w:r>
        <w:rPr>
          <w:rFonts w:ascii="Verdana" w:hAnsi="Verdana"/>
        </w:rPr>
        <w:t>Quedan excluidos del párrafo anterior los siguientes elementos:</w:t>
      </w:r>
    </w:p>
    <w:p w14:paraId="1E13B46E"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 xml:space="preserve">los recipientes para bebidas de vidrio o de metal con tapas y tapones hechos de plástico; </w:t>
      </w:r>
    </w:p>
    <w:p w14:paraId="74FDB347"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los recipientes para bebidas destinados y utilizados para alimentos para usos médicos especiales, tal como se definen en el artículo 2, letra g), del Reglamento (UE) n.º 609/2013 del Parlamento Europeo y del Consejo (3), que estén en estado líquido;</w:t>
      </w:r>
    </w:p>
    <w:p w14:paraId="43D3AA65" w14:textId="0B3AC49C"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A efectos de lo dispuesto en los párrafos anteriores, no se considerará que las tapas o tapones metálicos con sellos de plástico estén hechos de plástico.</w:t>
      </w:r>
    </w:p>
    <w:p w14:paraId="2A3CCB6B" w14:textId="21E6BCBC" w:rsidR="000B1395" w:rsidRPr="00DB0171" w:rsidRDefault="000B1395" w:rsidP="00C525D6">
      <w:pPr>
        <w:pStyle w:val="ListParagraph"/>
        <w:numPr>
          <w:ilvl w:val="0"/>
          <w:numId w:val="26"/>
        </w:numPr>
        <w:tabs>
          <w:tab w:val="left" w:pos="993"/>
        </w:tabs>
        <w:ind w:left="709"/>
        <w:jc w:val="both"/>
        <w:rPr>
          <w:rFonts w:ascii="Verdana" w:hAnsi="Verdana"/>
        </w:rPr>
      </w:pPr>
      <w:r>
        <w:t>A efectos del presente artículo, se presumirá que los productos plásticos de un solo uso a que se refiere el apartado 1 se ajustan a las normas armonizadas al respecto, o a la parte que les sea aplicable, que se publicará a escala de la Unión Europea, cumpliendo los requisitos a que se refiere el apartado 1.</w:t>
      </w:r>
    </w:p>
    <w:p w14:paraId="14D80B17" w14:textId="77777777" w:rsidR="000B1395" w:rsidRPr="000B1395" w:rsidRDefault="000B1395" w:rsidP="000B1395"/>
    <w:p w14:paraId="47E09CB1" w14:textId="6E6EEAB2" w:rsidR="00910B5B" w:rsidRDefault="00AC3F76" w:rsidP="000600E7">
      <w:pPr>
        <w:pStyle w:val="Heading2"/>
        <w:numPr>
          <w:ilvl w:val="0"/>
          <w:numId w:val="0"/>
        </w:numPr>
        <w:ind w:left="426"/>
      </w:pPr>
      <w:bookmarkStart w:id="18" w:name="_Ref66120945"/>
      <w:r>
        <w:t>Artículo 11</w:t>
      </w:r>
      <w:r>
        <w:br/>
      </w:r>
      <w:bookmarkEnd w:id="18"/>
      <w:r>
        <w:t>Requisitos para la incorporación del plástico reciclado en botellas de bebidas</w:t>
      </w:r>
    </w:p>
    <w:p w14:paraId="71D0ED01" w14:textId="77777777" w:rsidR="00C756A3" w:rsidRPr="00C756A3" w:rsidRDefault="00C756A3" w:rsidP="00C756A3"/>
    <w:p w14:paraId="293CC75C" w14:textId="0F21C308" w:rsidR="00910B5B" w:rsidRDefault="00910B5B" w:rsidP="00C525D6">
      <w:pPr>
        <w:pStyle w:val="ListParagraph"/>
        <w:numPr>
          <w:ilvl w:val="0"/>
          <w:numId w:val="28"/>
        </w:numPr>
        <w:tabs>
          <w:tab w:val="left" w:pos="993"/>
        </w:tabs>
        <w:ind w:left="709"/>
        <w:jc w:val="both"/>
        <w:rPr>
          <w:rFonts w:ascii="Verdana" w:hAnsi="Verdana"/>
        </w:rPr>
      </w:pPr>
      <w:bookmarkStart w:id="19" w:name="_Ref63443128"/>
      <w:bookmarkStart w:id="20" w:name="_Ref66120973"/>
      <w:r>
        <w:t>A partir del 1 de enero de 2025, las botellas de plástico de un solo uso para bebidas con una capacidad de hasta tres litros, incluidos sus tapas y tapones, que se fabrican a partir de tereftalato de polietileno como componente principal («botellas PET») deberán contener al menos un 25% de plástico reciclado, calculado como media para todas las botellas de PET comercializadas</w:t>
      </w:r>
      <w:bookmarkEnd w:id="19"/>
      <w:r>
        <w:t>.</w:t>
      </w:r>
      <w:bookmarkEnd w:id="20"/>
    </w:p>
    <w:p w14:paraId="1BB8DA42" w14:textId="46544031" w:rsidR="00910B5B" w:rsidRDefault="00910B5B" w:rsidP="00C525D6">
      <w:pPr>
        <w:pStyle w:val="ListParagraph"/>
        <w:numPr>
          <w:ilvl w:val="0"/>
          <w:numId w:val="28"/>
        </w:numPr>
        <w:tabs>
          <w:tab w:val="left" w:pos="993"/>
        </w:tabs>
        <w:ind w:left="709"/>
        <w:jc w:val="both"/>
        <w:rPr>
          <w:rFonts w:ascii="Verdana" w:hAnsi="Verdana"/>
        </w:rPr>
      </w:pPr>
      <w:bookmarkStart w:id="21" w:name="_Ref66120985"/>
      <w:r>
        <w:rPr>
          <w:rFonts w:ascii="Verdana" w:hAnsi="Verdana"/>
        </w:rPr>
        <w:t>A partir del 1 de enero de 2030, las botellas de plástico de un solo uso para bebidas con una capacidad de hasta tres litros, incluidos sus tapas y tapones, deberán contener al menos un 30% de plástico reciclado, calculado como media para todas las botellas de bebidas comercializadas.</w:t>
      </w:r>
      <w:bookmarkEnd w:id="21"/>
    </w:p>
    <w:p w14:paraId="1D99D48B" w14:textId="667F57C9" w:rsidR="00910B5B" w:rsidRPr="00B65C65" w:rsidRDefault="00910B5B" w:rsidP="00C525D6">
      <w:pPr>
        <w:pStyle w:val="ListParagraph"/>
        <w:numPr>
          <w:ilvl w:val="0"/>
          <w:numId w:val="28"/>
        </w:numPr>
        <w:tabs>
          <w:tab w:val="left" w:pos="993"/>
        </w:tabs>
        <w:ind w:left="709"/>
        <w:jc w:val="both"/>
        <w:rPr>
          <w:rFonts w:ascii="Verdana" w:hAnsi="Verdana"/>
        </w:rPr>
      </w:pPr>
      <w:r>
        <w:t>En los apartados 1 y 2 del presente artículo se excluye lo siguiente:</w:t>
      </w:r>
      <w:r>
        <w:rPr>
          <w:rFonts w:ascii="Verdana" w:hAnsi="Verdana"/>
        </w:rPr>
        <w:t xml:space="preserve"> </w:t>
      </w:r>
    </w:p>
    <w:p w14:paraId="317BA5AC" w14:textId="1FBF2639" w:rsidR="00910B5B" w:rsidRPr="00F7675E" w:rsidRDefault="00910B5B" w:rsidP="00C525D6">
      <w:pPr>
        <w:pStyle w:val="ListParagraph"/>
        <w:numPr>
          <w:ilvl w:val="0"/>
          <w:numId w:val="29"/>
        </w:numPr>
        <w:spacing w:line="240" w:lineRule="auto"/>
        <w:rPr>
          <w:rFonts w:ascii="Verdana" w:hAnsi="Verdana"/>
        </w:rPr>
      </w:pPr>
      <w:r>
        <w:rPr>
          <w:rFonts w:ascii="Verdana" w:hAnsi="Verdana"/>
        </w:rPr>
        <w:lastRenderedPageBreak/>
        <w:t>Botellas de vidrio o metálicas para bebidas con tapas y tapones de plástico;</w:t>
      </w:r>
    </w:p>
    <w:p w14:paraId="6F8F94C4" w14:textId="77777777" w:rsidR="00910B5B" w:rsidRPr="00F7675E" w:rsidRDefault="00910B5B" w:rsidP="00C525D6">
      <w:pPr>
        <w:pStyle w:val="ListParagraph"/>
        <w:numPr>
          <w:ilvl w:val="0"/>
          <w:numId w:val="29"/>
        </w:numPr>
        <w:spacing w:line="240" w:lineRule="auto"/>
        <w:rPr>
          <w:rFonts w:ascii="Verdana" w:hAnsi="Verdana"/>
        </w:rPr>
      </w:pPr>
      <w:r>
        <w:rPr>
          <w:rFonts w:ascii="Verdana" w:hAnsi="Verdana"/>
        </w:rPr>
        <w:t xml:space="preserve">Botellas para bebidas destinadas y utilizadas para alimentos con fines médicos específicos, tal como se define en el artículo 2, letra g), del Reglamento (UE) n.º 609/2013, en forma líquida. </w:t>
      </w:r>
    </w:p>
    <w:p w14:paraId="724B28DF" w14:textId="77777777" w:rsidR="00910B5B" w:rsidRDefault="00910B5B" w:rsidP="00C525D6">
      <w:pPr>
        <w:pStyle w:val="ListParagraph"/>
        <w:numPr>
          <w:ilvl w:val="0"/>
          <w:numId w:val="28"/>
        </w:numPr>
        <w:tabs>
          <w:tab w:val="left" w:pos="993"/>
        </w:tabs>
        <w:ind w:left="709"/>
        <w:jc w:val="both"/>
        <w:rPr>
          <w:rFonts w:ascii="Verdana" w:hAnsi="Verdana"/>
        </w:rPr>
      </w:pPr>
      <w:r>
        <w:rPr>
          <w:rFonts w:ascii="Verdana" w:hAnsi="Verdana"/>
        </w:rPr>
        <w:t>A efectos del presente artículo, no se considerará que las tapas o tapones metálicos con sellos de plástico estén hechos de plástico.</w:t>
      </w:r>
    </w:p>
    <w:p w14:paraId="46E244C4" w14:textId="4F894862" w:rsidR="007E1EED" w:rsidRDefault="00910B5B" w:rsidP="00C525D6">
      <w:pPr>
        <w:pStyle w:val="ListParagraph"/>
        <w:numPr>
          <w:ilvl w:val="0"/>
          <w:numId w:val="28"/>
        </w:numPr>
        <w:tabs>
          <w:tab w:val="left" w:pos="993"/>
        </w:tabs>
        <w:ind w:left="709"/>
        <w:jc w:val="both"/>
        <w:rPr>
          <w:rFonts w:ascii="Verdana" w:hAnsi="Verdana"/>
        </w:rPr>
      </w:pPr>
      <w:r>
        <w:t>Los porcentajes a que se refieren los apartados 1 y 2 deberán cumplirse anualmente por cada envasador que comercialice sus botellas.</w:t>
      </w:r>
    </w:p>
    <w:p w14:paraId="486BF503" w14:textId="1E9AB095" w:rsidR="00910B5B" w:rsidRPr="00B65C65" w:rsidRDefault="007E1EED" w:rsidP="00C525D6">
      <w:pPr>
        <w:pStyle w:val="ListParagraph"/>
        <w:numPr>
          <w:ilvl w:val="0"/>
          <w:numId w:val="28"/>
        </w:numPr>
        <w:tabs>
          <w:tab w:val="left" w:pos="993"/>
        </w:tabs>
        <w:ind w:left="709"/>
        <w:jc w:val="both"/>
        <w:rPr>
          <w:rFonts w:ascii="Verdana" w:hAnsi="Verdana"/>
        </w:rPr>
      </w:pPr>
      <w:r>
        <w:rPr>
          <w:rFonts w:ascii="Verdana" w:hAnsi="Verdana"/>
        </w:rPr>
        <w:t>Cuando así lo soliciten las autoridades competentes, los envasadores deberán presentar una prueba adecuada de la cantidad de plástico reciclado contenido en las botellas de bebidas, en particular mediante declaraciones de sus fabricantes o proveedores.</w:t>
      </w:r>
    </w:p>
    <w:p w14:paraId="70A3539F" w14:textId="60AAB4A9" w:rsidR="00910B5B" w:rsidRPr="00B65C65" w:rsidRDefault="00910B5B" w:rsidP="00C525D6">
      <w:pPr>
        <w:pStyle w:val="ListParagraph"/>
        <w:numPr>
          <w:ilvl w:val="0"/>
          <w:numId w:val="28"/>
        </w:numPr>
        <w:tabs>
          <w:tab w:val="left" w:pos="993"/>
        </w:tabs>
        <w:ind w:left="709"/>
        <w:jc w:val="both"/>
        <w:rPr>
          <w:rFonts w:ascii="Verdana" w:hAnsi="Verdana"/>
        </w:rPr>
      </w:pPr>
      <w:r>
        <w:t>A fin de verificar el cumplimiento de los objetivos establecidos en el apartado 1 del presente artículo, se tendrán en cuenta las normas de cálculo establecidas en el acto de ejecución adoptado por la Comisión Europea.</w:t>
      </w:r>
      <w:r>
        <w:rPr>
          <w:rFonts w:ascii="Verdana" w:hAnsi="Verdana"/>
        </w:rPr>
        <w:t xml:space="preserve"> </w:t>
      </w:r>
    </w:p>
    <w:p w14:paraId="08D164A0" w14:textId="640DF22A" w:rsidR="00910B5B" w:rsidRDefault="00910B5B" w:rsidP="00910B5B"/>
    <w:p w14:paraId="233E763D" w14:textId="378D6E9D" w:rsidR="006610EC" w:rsidRPr="006610EC" w:rsidRDefault="00AC3F76" w:rsidP="000600E7">
      <w:pPr>
        <w:pStyle w:val="Heading2"/>
        <w:numPr>
          <w:ilvl w:val="0"/>
          <w:numId w:val="0"/>
        </w:numPr>
        <w:tabs>
          <w:tab w:val="clear" w:pos="1701"/>
          <w:tab w:val="left" w:pos="1418"/>
        </w:tabs>
        <w:ind w:left="426"/>
      </w:pPr>
      <w:r>
        <w:t>Artículo 12</w:t>
      </w:r>
      <w:r>
        <w:br/>
      </w:r>
      <w:bookmarkStart w:id="22" w:name="_Ref63690920"/>
      <w:r>
        <w:t>Requisitos de marcado</w:t>
      </w:r>
      <w:bookmarkStart w:id="23" w:name="_Ref66121082"/>
      <w:bookmarkEnd w:id="22"/>
    </w:p>
    <w:p w14:paraId="23B4288E" w14:textId="7CC123E7" w:rsidR="000B1395" w:rsidRPr="00182AD4" w:rsidRDefault="000B1395" w:rsidP="00C525D6">
      <w:pPr>
        <w:pStyle w:val="ListParagraph"/>
        <w:numPr>
          <w:ilvl w:val="0"/>
          <w:numId w:val="13"/>
        </w:numPr>
        <w:ind w:left="709"/>
        <w:jc w:val="both"/>
        <w:rPr>
          <w:rFonts w:ascii="Verdana" w:hAnsi="Verdana"/>
        </w:rPr>
      </w:pPr>
      <w:bookmarkStart w:id="24" w:name="_Hlk65348626"/>
      <w:bookmarkStart w:id="25" w:name="_Ref63441404"/>
      <w:bookmarkEnd w:id="23"/>
      <w:r>
        <w:t>A partir del 3 de julio de 2021</w:t>
      </w:r>
      <w:bookmarkEnd w:id="24"/>
      <w:r>
        <w:t>, los siguientes productos plásticos de un solo uso solo podrán comercializarse si cumplen las disposiciones de marcado contempladas</w:t>
      </w:r>
      <w:bookmarkEnd w:id="25"/>
      <w:r>
        <w:t xml:space="preserve"> en los apartados siguientes del presente artículo:</w:t>
      </w:r>
    </w:p>
    <w:p w14:paraId="51848D1A"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compresas, tampones higiénicos y aplicadores de tampones;</w:t>
      </w:r>
    </w:p>
    <w:p w14:paraId="6525FD27" w14:textId="77777777" w:rsidR="000B1395" w:rsidRDefault="000B1395" w:rsidP="00C525D6">
      <w:pPr>
        <w:pStyle w:val="ListParagraph"/>
        <w:numPr>
          <w:ilvl w:val="0"/>
          <w:numId w:val="30"/>
        </w:numPr>
        <w:spacing w:line="240" w:lineRule="auto"/>
        <w:rPr>
          <w:rFonts w:ascii="Verdana" w:hAnsi="Verdana"/>
        </w:rPr>
      </w:pPr>
      <w:r>
        <w:rPr>
          <w:rFonts w:ascii="Verdana" w:hAnsi="Verdana"/>
        </w:rPr>
        <w:t xml:space="preserve">toallitas húmedas, es decir, toallitas </w:t>
      </w:r>
      <w:proofErr w:type="spellStart"/>
      <w:r>
        <w:rPr>
          <w:rFonts w:ascii="Verdana" w:hAnsi="Verdana"/>
        </w:rPr>
        <w:t>prehumedecidas</w:t>
      </w:r>
      <w:proofErr w:type="spellEnd"/>
      <w:r>
        <w:rPr>
          <w:rFonts w:ascii="Verdana" w:hAnsi="Verdana"/>
        </w:rPr>
        <w:t xml:space="preserve"> para higiene personal y para uso doméstico;</w:t>
      </w:r>
    </w:p>
    <w:p w14:paraId="7D6DB1C8"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 xml:space="preserve">productos del tabaco con filtros y filtros comercializados para utilizarse en combinación con productos del tabaco; y </w:t>
      </w:r>
    </w:p>
    <w:p w14:paraId="744A4615" w14:textId="77777777" w:rsidR="000B1395" w:rsidRDefault="000B1395" w:rsidP="00C525D6">
      <w:pPr>
        <w:pStyle w:val="ListParagraph"/>
        <w:numPr>
          <w:ilvl w:val="0"/>
          <w:numId w:val="30"/>
        </w:numPr>
        <w:spacing w:line="240" w:lineRule="auto"/>
        <w:rPr>
          <w:rFonts w:ascii="Verdana" w:hAnsi="Verdana"/>
        </w:rPr>
      </w:pPr>
      <w:r>
        <w:rPr>
          <w:rFonts w:ascii="Verdana" w:hAnsi="Verdana"/>
        </w:rPr>
        <w:t xml:space="preserve">vasos para las bebidas. </w:t>
      </w:r>
    </w:p>
    <w:p w14:paraId="2FB5D019" w14:textId="77777777" w:rsidR="000B1395" w:rsidRDefault="000B1395" w:rsidP="00C525D6">
      <w:pPr>
        <w:pStyle w:val="ListParagraph"/>
        <w:numPr>
          <w:ilvl w:val="0"/>
          <w:numId w:val="13"/>
        </w:numPr>
        <w:jc w:val="both"/>
        <w:rPr>
          <w:rFonts w:ascii="Verdana" w:hAnsi="Verdana"/>
        </w:rPr>
      </w:pPr>
      <w:r>
        <w:rPr>
          <w:rFonts w:ascii="Verdana" w:hAnsi="Verdana"/>
        </w:rPr>
        <w:t>Los productos plásticos de un solo uso a que se refiere el apartado anterior llevarán en su embalaje o en el propio producto un marcado claramente legible e indeleble que contendrá la siguiente información destinada a los consumidores:</w:t>
      </w:r>
    </w:p>
    <w:p w14:paraId="6CFD1D28" w14:textId="77777777"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medios adecuados de eliminación de residuos del producto o medios de eliminación de residuos que deben evitarse para dicho producto, en consonancia con la jerarquía de residuos; y </w:t>
      </w:r>
    </w:p>
    <w:p w14:paraId="45546BB6" w14:textId="00EB4430"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la presencia de plástico en el producto y el consiguiente impacto negativo de la basura u otros medios inadecuados de eliminación de residuos del producto en el medio ambiente. </w:t>
      </w:r>
    </w:p>
    <w:p w14:paraId="52B4F969" w14:textId="23F7E8B2" w:rsidR="000B1395" w:rsidRPr="003A48D5" w:rsidRDefault="000B1395" w:rsidP="00C525D6">
      <w:pPr>
        <w:pStyle w:val="ListParagraph"/>
        <w:numPr>
          <w:ilvl w:val="0"/>
          <w:numId w:val="13"/>
        </w:numPr>
        <w:jc w:val="both"/>
        <w:rPr>
          <w:rFonts w:ascii="Verdana" w:hAnsi="Verdana"/>
        </w:rPr>
      </w:pPr>
      <w:r>
        <w:rPr>
          <w:rFonts w:ascii="Verdana" w:hAnsi="Verdana"/>
        </w:rPr>
        <w:lastRenderedPageBreak/>
        <w:t>Las normas sobre las especificaciones de marcado a que se refieren los apartados anteriores se establecen en el Reglamento de Ejecución (UE) 2020/2151 de la Comisión, de 17 de diciembre de 2020.</w:t>
      </w:r>
    </w:p>
    <w:p w14:paraId="03D11840" w14:textId="2FEB97F4" w:rsidR="000B1395" w:rsidRDefault="000B1395" w:rsidP="00C525D6">
      <w:pPr>
        <w:pStyle w:val="ListParagraph"/>
        <w:numPr>
          <w:ilvl w:val="0"/>
          <w:numId w:val="13"/>
        </w:numPr>
        <w:jc w:val="both"/>
        <w:rPr>
          <w:rFonts w:ascii="Verdana" w:hAnsi="Verdana"/>
        </w:rPr>
      </w:pPr>
      <w:r>
        <w:rPr>
          <w:rFonts w:ascii="Verdana" w:hAnsi="Verdana"/>
        </w:rPr>
        <w:t>Las disposiciones del presente artículo relativas a los productos del tabaco se añadirán a las establecidas en el Decreto-Ley n.º 109/2015, de 26 de agosto.</w:t>
      </w:r>
    </w:p>
    <w:p w14:paraId="4528C33F" w14:textId="77777777" w:rsidR="000B1395" w:rsidRPr="003F6B93" w:rsidRDefault="000B1395" w:rsidP="00A85085">
      <w:pPr>
        <w:spacing w:before="120" w:after="120" w:line="240" w:lineRule="auto"/>
        <w:jc w:val="both"/>
        <w:rPr>
          <w:rFonts w:ascii="Verdana" w:hAnsi="Verdana" w:cs="Arial"/>
          <w:color w:val="3C3C3C"/>
          <w:sz w:val="21"/>
          <w:szCs w:val="21"/>
        </w:rPr>
      </w:pPr>
    </w:p>
    <w:p w14:paraId="182C2EF4" w14:textId="77777777" w:rsidR="00F9082F" w:rsidRPr="003F6B93" w:rsidRDefault="00F9082F" w:rsidP="00893B34">
      <w:pPr>
        <w:jc w:val="both"/>
        <w:rPr>
          <w:rFonts w:ascii="Verdana" w:hAnsi="Verdana"/>
        </w:rPr>
      </w:pPr>
    </w:p>
    <w:p w14:paraId="6AE4673B" w14:textId="762ECF40" w:rsidR="009820C4" w:rsidRPr="003F6B93" w:rsidRDefault="003F14EA" w:rsidP="00E92A33">
      <w:pPr>
        <w:pStyle w:val="Heading1"/>
        <w:tabs>
          <w:tab w:val="clear" w:pos="3969"/>
          <w:tab w:val="left" w:pos="2410"/>
        </w:tabs>
      </w:pPr>
      <w:r>
        <w:br/>
      </w:r>
      <w:bookmarkStart w:id="26" w:name="_Ref66121225"/>
      <w:r>
        <w:t>Responsabilidad ampliada del productor</w:t>
      </w:r>
      <w:bookmarkEnd w:id="26"/>
    </w:p>
    <w:p w14:paraId="4D4FD2B1" w14:textId="6A54F531" w:rsidR="00CF3B6A" w:rsidRDefault="00AC3F76" w:rsidP="000600E7">
      <w:pPr>
        <w:pStyle w:val="Heading2"/>
        <w:numPr>
          <w:ilvl w:val="0"/>
          <w:numId w:val="0"/>
        </w:numPr>
        <w:tabs>
          <w:tab w:val="clear" w:pos="1701"/>
          <w:tab w:val="left" w:pos="1418"/>
        </w:tabs>
        <w:ind w:left="426"/>
      </w:pPr>
      <w:bookmarkStart w:id="27" w:name="_Ref66121190"/>
      <w:r>
        <w:t>Artículo 13</w:t>
      </w:r>
      <w:r>
        <w:br/>
      </w:r>
      <w:bookmarkEnd w:id="27"/>
      <w:r>
        <w:t>Adaptación del régimen de responsabilidad ampliada del productor</w:t>
      </w:r>
    </w:p>
    <w:p w14:paraId="078DCD32" w14:textId="77777777" w:rsidR="006610EC" w:rsidRPr="006610EC" w:rsidRDefault="006610EC" w:rsidP="006610EC"/>
    <w:p w14:paraId="3392D79B" w14:textId="0F56A5E4" w:rsidR="00CF3B6A" w:rsidRPr="00F7675E" w:rsidRDefault="00CF3B6A" w:rsidP="00C525D6">
      <w:pPr>
        <w:pStyle w:val="ListParagraph"/>
        <w:numPr>
          <w:ilvl w:val="0"/>
          <w:numId w:val="32"/>
        </w:numPr>
        <w:jc w:val="both"/>
        <w:rPr>
          <w:rFonts w:ascii="Verdana" w:hAnsi="Verdana"/>
        </w:rPr>
      </w:pPr>
      <w:bookmarkStart w:id="28" w:name="_Hlk65401219"/>
      <w:bookmarkStart w:id="29" w:name="_Ref63444363"/>
      <w:bookmarkStart w:id="30" w:name="_Hlk65800056"/>
      <w:bookmarkStart w:id="31" w:name="_Hlk65440645"/>
      <w:r>
        <w:t>A más tardar el 1 de enero de 2023, se modificará el actual régimen de responsabilidad ampliada del productor en lo que respecta a los envases y residuos de envases de los siguientes productos plásticos de un solo uso comercializados, a fin de establecer los requisitos a que se refiere el artículo 15</w:t>
      </w:r>
      <w:bookmarkEnd w:id="28"/>
      <w:r>
        <w:t>:</w:t>
      </w:r>
      <w:bookmarkEnd w:id="29"/>
    </w:p>
    <w:bookmarkEnd w:id="30"/>
    <w:p w14:paraId="02229E91"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Recipientes para alimentos, tales como cajas, con o sin tapa, utilizados para contener alimentos que: </w:t>
      </w:r>
    </w:p>
    <w:p w14:paraId="0529DB33"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están destinados al consumo inmediato, in situ o para llevar,</w:t>
      </w:r>
    </w:p>
    <w:p w14:paraId="31CAE1B0"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normalmente se consumen en el propio recipiente, y</w:t>
      </w:r>
    </w:p>
    <w:p w14:paraId="4F40E336"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 xml:space="preserve">están listos para el consumo sin ninguna otra preparación posterior, como cocinar, hervir o calentar. </w:t>
      </w:r>
    </w:p>
    <w:p w14:paraId="075967C0" w14:textId="77777777" w:rsidR="00197BF8" w:rsidRPr="00E92A33" w:rsidRDefault="00197BF8" w:rsidP="00197BF8">
      <w:pPr>
        <w:tabs>
          <w:tab w:val="left" w:pos="567"/>
        </w:tabs>
        <w:spacing w:after="200" w:line="276" w:lineRule="auto"/>
        <w:ind w:left="1134"/>
        <w:jc w:val="both"/>
        <w:rPr>
          <w:rFonts w:ascii="Verdana" w:hAnsi="Verdana"/>
        </w:rPr>
      </w:pPr>
      <w:r>
        <w:rPr>
          <w:rFonts w:ascii="Verdana" w:hAnsi="Verdana"/>
        </w:rPr>
        <w:t>Estos incluyen recipientes para alimentos utilizados para comida rápida u otros alimentos listos para su consumo inmediato, excepto los recipientes para bebidas, platos, y envases y envoltorios que contengan alimentos;</w:t>
      </w:r>
    </w:p>
    <w:p w14:paraId="0BEDD35F"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Envases y envoltorios fabricados con un material flexible que contienen alimentos destinados a un consumo inmediato en el propio envoltorio o envase sin ninguna otra preparación posterior; </w:t>
      </w:r>
    </w:p>
    <w:p w14:paraId="3DD293D7"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lastRenderedPageBreak/>
        <w:t xml:space="preserve">Recipientes de bebidas con una capacidad de hasta tres litros, es decir, recipientes utilizados para contener líquidos, como botellas de bebidas, incluidos sus tapas y tapones y envases de bebidas compuestos, incluidos sus tapas y tapones, pero no recipientes de bebidas de vidrio o metal que tengan tapas y tapones de plástico; </w:t>
      </w:r>
    </w:p>
    <w:p w14:paraId="527E7F03"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Vasos para bebidas, incluidos sus tapas y tapones; </w:t>
      </w:r>
    </w:p>
    <w:p w14:paraId="59DB831C" w14:textId="1B14A90A" w:rsidR="00197BF8" w:rsidRPr="00F7675E" w:rsidRDefault="00197BF8" w:rsidP="00C525D6">
      <w:pPr>
        <w:pStyle w:val="ListParagraph"/>
        <w:numPr>
          <w:ilvl w:val="0"/>
          <w:numId w:val="33"/>
        </w:numPr>
        <w:spacing w:line="240" w:lineRule="auto"/>
        <w:rPr>
          <w:rFonts w:ascii="Verdana" w:hAnsi="Verdana"/>
        </w:rPr>
      </w:pPr>
      <w:r>
        <w:rPr>
          <w:rFonts w:ascii="Verdana" w:hAnsi="Verdana"/>
        </w:rPr>
        <w:t>Bolsas de plástico ligeras.</w:t>
      </w:r>
    </w:p>
    <w:p w14:paraId="7E641AC3" w14:textId="6163971C" w:rsidR="00197BF8" w:rsidRDefault="00197BF8" w:rsidP="00D4270E">
      <w:pPr>
        <w:pStyle w:val="ListParagraph"/>
        <w:tabs>
          <w:tab w:val="left" w:pos="284"/>
        </w:tabs>
        <w:autoSpaceDE w:val="0"/>
        <w:autoSpaceDN w:val="0"/>
        <w:adjustRightInd w:val="0"/>
        <w:ind w:left="426"/>
        <w:jc w:val="center"/>
        <w:rPr>
          <w:rFonts w:ascii="Verdana" w:hAnsi="Verdana" w:cs="EU Albertina"/>
        </w:rPr>
      </w:pPr>
    </w:p>
    <w:p w14:paraId="5D248077" w14:textId="0B4608A6" w:rsidR="00CF3B6A" w:rsidRPr="00F7675E" w:rsidRDefault="00700314" w:rsidP="00C525D6">
      <w:pPr>
        <w:pStyle w:val="ListParagraph"/>
        <w:numPr>
          <w:ilvl w:val="0"/>
          <w:numId w:val="32"/>
        </w:numPr>
        <w:jc w:val="both"/>
        <w:rPr>
          <w:rFonts w:ascii="Verdana" w:hAnsi="Verdana"/>
        </w:rPr>
      </w:pPr>
      <w:bookmarkStart w:id="32" w:name="_Hlk65800069"/>
      <w:bookmarkEnd w:id="31"/>
      <w:r>
        <w:rPr>
          <w:rFonts w:ascii="Verdana" w:hAnsi="Verdana"/>
        </w:rPr>
        <w:t>La modificación prevista en el apartado anterior se publicará a más tardar un año antes de su entrada en vigor.</w:t>
      </w:r>
    </w:p>
    <w:p w14:paraId="53598B95" w14:textId="77777777" w:rsidR="001D7D5A" w:rsidRPr="00F7675E" w:rsidRDefault="001D7D5A" w:rsidP="00F7675E">
      <w:pPr>
        <w:pStyle w:val="ListParagraph"/>
        <w:ind w:left="928"/>
        <w:jc w:val="both"/>
        <w:rPr>
          <w:rFonts w:ascii="Verdana" w:hAnsi="Verdana"/>
        </w:rPr>
      </w:pPr>
    </w:p>
    <w:p w14:paraId="42F5CA37" w14:textId="10733D2B" w:rsidR="00AA57E3" w:rsidRPr="001D7D5A" w:rsidRDefault="00AC3F76" w:rsidP="000600E7">
      <w:pPr>
        <w:pStyle w:val="Heading2"/>
        <w:numPr>
          <w:ilvl w:val="0"/>
          <w:numId w:val="0"/>
        </w:numPr>
        <w:tabs>
          <w:tab w:val="clear" w:pos="1701"/>
          <w:tab w:val="left" w:pos="1418"/>
        </w:tabs>
        <w:ind w:left="426"/>
      </w:pPr>
      <w:bookmarkStart w:id="33" w:name="_Ref66121335"/>
      <w:bookmarkEnd w:id="32"/>
      <w:r>
        <w:t>Artículo 14</w:t>
      </w:r>
      <w:r>
        <w:br/>
      </w:r>
      <w:bookmarkEnd w:id="33"/>
      <w:r>
        <w:t>Creación de regímenes de responsabilidad ampliada del productor para los productos plásticos de un solo uso</w:t>
      </w:r>
    </w:p>
    <w:p w14:paraId="34F37462" w14:textId="77777777" w:rsidR="006610EC" w:rsidRPr="00AA57E3" w:rsidRDefault="006610EC" w:rsidP="00AA57E3">
      <w:pPr>
        <w:jc w:val="center"/>
        <w:rPr>
          <w:rFonts w:ascii="Verdana" w:hAnsi="Verdana"/>
          <w:b/>
        </w:rPr>
      </w:pPr>
    </w:p>
    <w:p w14:paraId="2759F1AD" w14:textId="488A6E81" w:rsidR="00AA57E3" w:rsidRPr="00F7675E" w:rsidRDefault="00AA57E3" w:rsidP="00C525D6">
      <w:pPr>
        <w:pStyle w:val="ListParagraph"/>
        <w:numPr>
          <w:ilvl w:val="0"/>
          <w:numId w:val="34"/>
        </w:numPr>
        <w:jc w:val="both"/>
        <w:rPr>
          <w:rFonts w:ascii="Verdana" w:hAnsi="Verdana"/>
        </w:rPr>
      </w:pPr>
      <w:bookmarkStart w:id="34" w:name="_Ref63444386"/>
      <w:bookmarkStart w:id="35" w:name="_Ref63444377"/>
      <w:r>
        <w:rPr>
          <w:rFonts w:ascii="Verdana" w:hAnsi="Verdana"/>
        </w:rPr>
        <w:t>A más tardar el 1 de enero de 2023, se habrá establecido el régimen de responsabilidad ampliada del productor para los productos del tabaco con filtros y filtros comercializados para utilizarse en combinación con productos del tabaco;</w:t>
      </w:r>
      <w:bookmarkEnd w:id="34"/>
      <w:r>
        <w:rPr>
          <w:rFonts w:ascii="Verdana" w:hAnsi="Verdana"/>
        </w:rPr>
        <w:t xml:space="preserve"> </w:t>
      </w:r>
    </w:p>
    <w:p w14:paraId="40994946" w14:textId="419FC4E7" w:rsidR="00AA57E3" w:rsidRPr="00F7675E" w:rsidRDefault="00AA57E3" w:rsidP="00C525D6">
      <w:pPr>
        <w:pStyle w:val="ListParagraph"/>
        <w:numPr>
          <w:ilvl w:val="0"/>
          <w:numId w:val="34"/>
        </w:numPr>
        <w:jc w:val="both"/>
        <w:rPr>
          <w:rFonts w:ascii="Verdana" w:hAnsi="Verdana"/>
        </w:rPr>
      </w:pPr>
      <w:bookmarkStart w:id="36" w:name="_Ref66121489"/>
      <w:r>
        <w:rPr>
          <w:rFonts w:ascii="Verdana" w:hAnsi="Verdana"/>
        </w:rPr>
        <w:t>A más tardar el 1 de enero de 2025, se habrán establecido los regímenes de responsabilidad ampliada del productor para los siguientes productos plásticos de un solo uso:</w:t>
      </w:r>
      <w:bookmarkEnd w:id="35"/>
      <w:bookmarkEnd w:id="36"/>
    </w:p>
    <w:p w14:paraId="539CCA96"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 xml:space="preserve">Toallitas húmedas, es decir, toallitas </w:t>
      </w:r>
      <w:proofErr w:type="spellStart"/>
      <w:r>
        <w:rPr>
          <w:rFonts w:ascii="Verdana" w:hAnsi="Verdana"/>
        </w:rPr>
        <w:t>prehumedecidas</w:t>
      </w:r>
      <w:proofErr w:type="spellEnd"/>
      <w:r>
        <w:rPr>
          <w:rFonts w:ascii="Verdana" w:hAnsi="Verdana"/>
        </w:rPr>
        <w:t xml:space="preserve"> para higiene personal y para uso doméstico; </w:t>
      </w:r>
    </w:p>
    <w:p w14:paraId="4114B342"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Globos, excepto los globos para usos y aplicaciones industriales y profesionales, que no se distribuyan a los consumidores;</w:t>
      </w:r>
    </w:p>
    <w:p w14:paraId="522DD1DA" w14:textId="7C4D7238" w:rsidR="00AA57E3" w:rsidRPr="00F7675E" w:rsidRDefault="00AA57E3" w:rsidP="00C525D6">
      <w:pPr>
        <w:pStyle w:val="ListParagraph"/>
        <w:numPr>
          <w:ilvl w:val="0"/>
          <w:numId w:val="35"/>
        </w:numPr>
        <w:spacing w:line="240" w:lineRule="auto"/>
        <w:rPr>
          <w:rFonts w:ascii="Verdana" w:hAnsi="Verdana"/>
        </w:rPr>
      </w:pPr>
      <w:r>
        <w:rPr>
          <w:rFonts w:ascii="Verdana" w:hAnsi="Verdana"/>
        </w:rPr>
        <w:t>Vasos para bebidas, incluidos sus tapas y tapones;</w:t>
      </w:r>
    </w:p>
    <w:p w14:paraId="42D88118" w14:textId="55FDD9ED" w:rsidR="00AA57E3" w:rsidRPr="00F7675E" w:rsidRDefault="00AA57E3" w:rsidP="00C525D6">
      <w:pPr>
        <w:pStyle w:val="ListParagraph"/>
        <w:numPr>
          <w:ilvl w:val="0"/>
          <w:numId w:val="34"/>
        </w:numPr>
        <w:jc w:val="both"/>
        <w:rPr>
          <w:rFonts w:ascii="Verdana" w:hAnsi="Verdana"/>
        </w:rPr>
      </w:pPr>
      <w:bookmarkStart w:id="37" w:name="_Ref63672653"/>
      <w:bookmarkStart w:id="38" w:name="_Ref63697458"/>
      <w:r>
        <w:rPr>
          <w:rFonts w:ascii="Verdana" w:hAnsi="Verdana"/>
        </w:rPr>
        <w:t xml:space="preserve">A más tardar el 1 de enero de 2025, deberá haberse establecido el régimen de responsabilidad ampliada del productor para los artes de pesca que contengan plásticos comercializados y fijará un porcentaje mínimo anual nacional de recogida de residuos de artes de pesca que contengan plástico para su reciclado. </w:t>
      </w:r>
      <w:bookmarkEnd w:id="37"/>
      <w:bookmarkEnd w:id="38"/>
    </w:p>
    <w:p w14:paraId="52EACFCD" w14:textId="1800FB3B" w:rsidR="00700314" w:rsidRPr="00F7675E" w:rsidRDefault="00AA57E3" w:rsidP="00C525D6">
      <w:pPr>
        <w:pStyle w:val="ListParagraph"/>
        <w:numPr>
          <w:ilvl w:val="0"/>
          <w:numId w:val="34"/>
        </w:numPr>
        <w:jc w:val="both"/>
        <w:rPr>
          <w:rFonts w:ascii="Verdana" w:hAnsi="Verdana"/>
        </w:rPr>
      </w:pPr>
      <w:r>
        <w:rPr>
          <w:rFonts w:ascii="Verdana" w:hAnsi="Verdana"/>
        </w:rPr>
        <w:t>La Dirección General de Recursos Naturales, Seguridad y Servicios Marítimos (DGRM) será responsable de realizar un estudio en apoyo de la definición del índice a que se refiere el párrafo anterior.</w:t>
      </w:r>
      <w:bookmarkStart w:id="39" w:name="_Hlk65427440"/>
    </w:p>
    <w:p w14:paraId="06EFD80B" w14:textId="160A381E" w:rsidR="00700314" w:rsidRPr="00F7675E" w:rsidRDefault="00700314" w:rsidP="00C525D6">
      <w:pPr>
        <w:pStyle w:val="ListParagraph"/>
        <w:numPr>
          <w:ilvl w:val="0"/>
          <w:numId w:val="34"/>
        </w:numPr>
        <w:jc w:val="both"/>
        <w:rPr>
          <w:rFonts w:ascii="Verdana" w:hAnsi="Verdana"/>
        </w:rPr>
      </w:pPr>
      <w:r>
        <w:lastRenderedPageBreak/>
        <w:t>El establecimiento de cada uno de los regímenes de responsabilidad ampliada del productor contemplados en los apartados 1, 2 y 3 se publicará a más tardar un año antes de la entrada en vigor del régimen.</w:t>
      </w:r>
      <w:bookmarkEnd w:id="39"/>
    </w:p>
    <w:p w14:paraId="756377B4" w14:textId="77777777" w:rsidR="00AA57E3" w:rsidRPr="00AA57E3" w:rsidRDefault="00AA57E3" w:rsidP="00040D73">
      <w:pPr>
        <w:pStyle w:val="ListParagraph"/>
        <w:tabs>
          <w:tab w:val="left" w:pos="284"/>
        </w:tabs>
        <w:autoSpaceDE w:val="0"/>
        <w:autoSpaceDN w:val="0"/>
        <w:adjustRightInd w:val="0"/>
        <w:spacing w:before="120" w:after="120" w:line="240" w:lineRule="auto"/>
        <w:ind w:left="426"/>
        <w:jc w:val="both"/>
      </w:pPr>
    </w:p>
    <w:p w14:paraId="793F53FD" w14:textId="3286B9D4" w:rsidR="00F92863" w:rsidRPr="00040D73" w:rsidRDefault="00AC3F76" w:rsidP="00AC3F76">
      <w:pPr>
        <w:pStyle w:val="Heading2"/>
        <w:numPr>
          <w:ilvl w:val="0"/>
          <w:numId w:val="0"/>
        </w:numPr>
        <w:tabs>
          <w:tab w:val="clear" w:pos="1701"/>
          <w:tab w:val="left" w:pos="1276"/>
        </w:tabs>
        <w:ind w:left="426"/>
      </w:pPr>
      <w:bookmarkStart w:id="40" w:name="_Ref66121553"/>
      <w:r>
        <w:t>Artículo 15</w:t>
      </w:r>
      <w:r>
        <w:br/>
      </w:r>
      <w:bookmarkEnd w:id="40"/>
      <w:r>
        <w:t>Costes que deben cubrir los regímenes de responsabilidad ampliada del productor</w:t>
      </w:r>
    </w:p>
    <w:p w14:paraId="0390D9A7" w14:textId="77777777" w:rsidR="006610EC" w:rsidRPr="00040D73" w:rsidRDefault="006610EC" w:rsidP="00040D73">
      <w:pPr>
        <w:pStyle w:val="ListParagraph"/>
        <w:tabs>
          <w:tab w:val="left" w:pos="284"/>
        </w:tabs>
        <w:autoSpaceDE w:val="0"/>
        <w:autoSpaceDN w:val="0"/>
        <w:adjustRightInd w:val="0"/>
        <w:spacing w:before="120" w:after="120" w:line="240" w:lineRule="auto"/>
        <w:ind w:left="426"/>
        <w:jc w:val="both"/>
      </w:pPr>
    </w:p>
    <w:p w14:paraId="08105367" w14:textId="1DFBFEB6" w:rsidR="00F92863" w:rsidRPr="00F7675E" w:rsidRDefault="00F92863" w:rsidP="00C525D6">
      <w:pPr>
        <w:pStyle w:val="ListParagraph"/>
        <w:numPr>
          <w:ilvl w:val="0"/>
          <w:numId w:val="36"/>
        </w:numPr>
        <w:jc w:val="both"/>
        <w:rPr>
          <w:rFonts w:ascii="Verdana" w:hAnsi="Verdana"/>
        </w:rPr>
      </w:pPr>
      <w:bookmarkStart w:id="41" w:name="_Ref63444260"/>
      <w:r>
        <w:rPr>
          <w:rFonts w:ascii="Verdana" w:hAnsi="Verdana"/>
        </w:rPr>
        <w:t xml:space="preserve">Además de los costes previstos en el artículo 13, apartado 3, letra a), del GSWM y </w:t>
      </w:r>
      <w:proofErr w:type="spellStart"/>
      <w:r>
        <w:rPr>
          <w:rFonts w:ascii="Verdana" w:hAnsi="Verdana"/>
        </w:rPr>
        <w:t>Unilex</w:t>
      </w:r>
      <w:proofErr w:type="spellEnd"/>
      <w:r>
        <w:rPr>
          <w:rFonts w:ascii="Verdana" w:hAnsi="Verdana"/>
        </w:rPr>
        <w:t>, los productores de productos plásticos de un solo uso a que se refiere el artículo 13 cubrirán también los siguientes costes, en la medida en que no estén ya incluidos en dichos costes:</w:t>
      </w:r>
      <w:bookmarkEnd w:id="41"/>
      <w:r>
        <w:rPr>
          <w:rFonts w:ascii="Verdana" w:hAnsi="Verdana"/>
        </w:rPr>
        <w:t xml:space="preserve"> </w:t>
      </w:r>
    </w:p>
    <w:p w14:paraId="755C5CD9" w14:textId="6FEA5A33" w:rsidR="00F92863" w:rsidRPr="003F6B93" w:rsidRDefault="00F92863" w:rsidP="00C525D6">
      <w:pPr>
        <w:pStyle w:val="ListParagraph"/>
        <w:numPr>
          <w:ilvl w:val="0"/>
          <w:numId w:val="37"/>
        </w:numPr>
        <w:spacing w:line="240" w:lineRule="auto"/>
        <w:rPr>
          <w:rFonts w:ascii="Verdana" w:hAnsi="Verdana"/>
        </w:rPr>
      </w:pPr>
      <w:r>
        <w:t>Los costes de las medidas de sensibilización a que se refiere el presente Decreto-Ley en relación con dichos productos;</w:t>
      </w:r>
      <w:r>
        <w:rPr>
          <w:rFonts w:ascii="Verdana" w:hAnsi="Verdana"/>
        </w:rPr>
        <w:t xml:space="preserve"> </w:t>
      </w:r>
    </w:p>
    <w:p w14:paraId="7362E724"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 xml:space="preserve">Los costes de recogida de residuos para los productos que se desechen en los sistemas públicos de recogida, incluidas la infraestructura y su funcionamiento, así como el transporte y tratamiento posteriores de dichos residuos; y </w:t>
      </w:r>
    </w:p>
    <w:p w14:paraId="344A4917"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Los costes de limpieza de la basura resultante de esos productos y el posterior transporte y tratamiento de dicha basura.</w:t>
      </w:r>
    </w:p>
    <w:p w14:paraId="20E2B852" w14:textId="544EF49E" w:rsidR="00F92863" w:rsidRPr="00F7675E" w:rsidRDefault="00F92863" w:rsidP="00C525D6">
      <w:pPr>
        <w:pStyle w:val="ListParagraph"/>
        <w:numPr>
          <w:ilvl w:val="0"/>
          <w:numId w:val="36"/>
        </w:numPr>
        <w:jc w:val="both"/>
        <w:rPr>
          <w:rFonts w:ascii="Verdana" w:hAnsi="Verdana"/>
        </w:rPr>
      </w:pPr>
      <w:bookmarkStart w:id="42" w:name="_Ref63444269"/>
      <w:r>
        <w:t>Los productores de los productos plásticos de un solo uso a que se refieren los apartados 1 y 2 cubrirán al menos los siguientes costes:</w:t>
      </w:r>
      <w:bookmarkEnd w:id="42"/>
      <w:r>
        <w:rPr>
          <w:rFonts w:ascii="Verdana" w:hAnsi="Verdana"/>
        </w:rPr>
        <w:t xml:space="preserve"> </w:t>
      </w:r>
    </w:p>
    <w:p w14:paraId="34C5E7C6" w14:textId="6CEF6915" w:rsidR="00F92863" w:rsidRPr="003F6B93" w:rsidRDefault="00F92863" w:rsidP="00C525D6">
      <w:pPr>
        <w:pStyle w:val="ListParagraph"/>
        <w:numPr>
          <w:ilvl w:val="0"/>
          <w:numId w:val="38"/>
        </w:numPr>
        <w:spacing w:line="240" w:lineRule="auto"/>
        <w:rPr>
          <w:rFonts w:ascii="Verdana" w:hAnsi="Verdana"/>
        </w:rPr>
      </w:pPr>
      <w:r>
        <w:t>Los costes de las medidas de sensibilización a que se refiere el presente Decreto-Ley en relación con dichos productos;</w:t>
      </w:r>
    </w:p>
    <w:p w14:paraId="2759636F" w14:textId="77777777"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Los costes de limpieza de la basura resultante de esos productos y el posterior transporte y tratamiento de dicha basura; y </w:t>
      </w:r>
    </w:p>
    <w:p w14:paraId="2B485E43" w14:textId="4F86EA8B"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Costes de recopilación y notificación de datos de conformidad con el artículo 13, apartado 1, letras c) y d), del GSWM. </w:t>
      </w:r>
    </w:p>
    <w:p w14:paraId="1254E804" w14:textId="77777777" w:rsidR="00F92863" w:rsidRPr="00F7675E" w:rsidRDefault="00F92863" w:rsidP="00C525D6">
      <w:pPr>
        <w:pStyle w:val="ListParagraph"/>
        <w:numPr>
          <w:ilvl w:val="0"/>
          <w:numId w:val="36"/>
        </w:numPr>
        <w:jc w:val="both"/>
        <w:rPr>
          <w:rFonts w:ascii="Verdana" w:hAnsi="Verdana"/>
        </w:rPr>
      </w:pPr>
      <w:bookmarkStart w:id="43" w:name="_Ref63444276"/>
      <w:r>
        <w:rPr>
          <w:rFonts w:ascii="Verdana" w:hAnsi="Verdana"/>
        </w:rPr>
        <w:t>En el caso de los productos del tabaco con filtros y filtros comercializados para utilizarse en combinación con productos del tabaco, los productores también deben cubrir los costes de recogida de residuos de los productos que se desechen en los sistemas públicos de recogida, incluida la infraestructura y su funcionamiento, así como el transporte y tratamiento posteriores de dichos residuos.</w:t>
      </w:r>
      <w:bookmarkEnd w:id="43"/>
      <w:r>
        <w:rPr>
          <w:rFonts w:ascii="Verdana" w:hAnsi="Verdana"/>
        </w:rPr>
        <w:t xml:space="preserve"> </w:t>
      </w:r>
    </w:p>
    <w:p w14:paraId="5E55935B" w14:textId="77777777" w:rsidR="00F92863" w:rsidRPr="00F7675E" w:rsidRDefault="00F92863" w:rsidP="00C525D6">
      <w:pPr>
        <w:pStyle w:val="ListParagraph"/>
        <w:numPr>
          <w:ilvl w:val="0"/>
          <w:numId w:val="36"/>
        </w:numPr>
        <w:jc w:val="both"/>
        <w:rPr>
          <w:rFonts w:ascii="Verdana" w:hAnsi="Verdana"/>
        </w:rPr>
      </w:pPr>
      <w:bookmarkStart w:id="44" w:name="_Ref63444282"/>
      <w:r>
        <w:rPr>
          <w:rFonts w:ascii="Verdana" w:hAnsi="Verdana"/>
        </w:rPr>
        <w:t xml:space="preserve">Los costes a que se refiere el apartado anterior podrán incluir la creación de infraestructuras específicas para la recogida de residuos </w:t>
      </w:r>
      <w:r>
        <w:rPr>
          <w:rFonts w:ascii="Verdana" w:hAnsi="Verdana"/>
        </w:rPr>
        <w:lastRenderedPageBreak/>
        <w:t>de dichos productos, tales como recipientes de residuos adecuados en los puntos de acceso a la basura común.</w:t>
      </w:r>
      <w:bookmarkEnd w:id="44"/>
      <w:r>
        <w:rPr>
          <w:rFonts w:ascii="Verdana" w:hAnsi="Verdana"/>
        </w:rPr>
        <w:t xml:space="preserve"> </w:t>
      </w:r>
    </w:p>
    <w:p w14:paraId="1402E2DA" w14:textId="14DE25D9" w:rsidR="00F92863" w:rsidRPr="00F7675E" w:rsidRDefault="00F92863" w:rsidP="00C525D6">
      <w:pPr>
        <w:pStyle w:val="ListParagraph"/>
        <w:numPr>
          <w:ilvl w:val="0"/>
          <w:numId w:val="36"/>
        </w:numPr>
        <w:jc w:val="both"/>
        <w:rPr>
          <w:rFonts w:ascii="Verdana" w:hAnsi="Verdana"/>
        </w:rPr>
      </w:pPr>
      <w:r>
        <w:rPr>
          <w:rFonts w:ascii="Verdana" w:hAnsi="Verdana"/>
        </w:rPr>
        <w:t>Los costes que deban cubrirse a que se refieren los apartados anteriores no superarán los costes necesarios para prestar los servicios mencionados en los mismos de manera rentable y se establecerán de manera transparente entre los agentes interesados.</w:t>
      </w:r>
    </w:p>
    <w:p w14:paraId="4DC58209" w14:textId="295EBFA3" w:rsidR="00F92863" w:rsidRPr="00F7675E" w:rsidRDefault="00F92863" w:rsidP="00C525D6">
      <w:pPr>
        <w:pStyle w:val="ListParagraph"/>
        <w:numPr>
          <w:ilvl w:val="0"/>
          <w:numId w:val="36"/>
        </w:numPr>
        <w:jc w:val="both"/>
        <w:rPr>
          <w:rFonts w:ascii="Verdana" w:hAnsi="Verdana"/>
        </w:rPr>
      </w:pPr>
      <w:r>
        <w:rPr>
          <w:rFonts w:ascii="Verdana" w:hAnsi="Verdana"/>
        </w:rPr>
        <w:t>Los costes de limpieza de la basura se limitarán a las actividades realizadas por las autoridades públicas o en su nombre y la metodología de cálculo se desarrollará de manera que los costes de limpieza de la basura se determinen de modo proporcionado.</w:t>
      </w:r>
    </w:p>
    <w:p w14:paraId="2D1A7FFE" w14:textId="77777777" w:rsidR="00F92863" w:rsidRPr="00F7675E" w:rsidRDefault="00F92863" w:rsidP="00C525D6">
      <w:pPr>
        <w:pStyle w:val="ListParagraph"/>
        <w:numPr>
          <w:ilvl w:val="0"/>
          <w:numId w:val="36"/>
        </w:numPr>
        <w:jc w:val="both"/>
        <w:rPr>
          <w:rFonts w:ascii="Verdana" w:hAnsi="Verdana"/>
        </w:rPr>
      </w:pPr>
      <w:r>
        <w:rPr>
          <w:rFonts w:ascii="Verdana" w:hAnsi="Verdana"/>
        </w:rPr>
        <w:t>Para reducir al mínimo los costes administrativos, las contribuciones financieras a los costes de limpieza de la basura se determinarán mediante la fijación de importes fijos plurianuales adecuados, que se fijarán por orden de los miembros del gobierno responsables de los asuntos económicos y medioambientales.</w:t>
      </w:r>
    </w:p>
    <w:p w14:paraId="6CACFC40" w14:textId="5C1FE9BF" w:rsidR="00F92863" w:rsidRPr="00F7675E" w:rsidRDefault="00F92863" w:rsidP="00C525D6">
      <w:pPr>
        <w:pStyle w:val="ListParagraph"/>
        <w:numPr>
          <w:ilvl w:val="0"/>
          <w:numId w:val="36"/>
        </w:numPr>
        <w:jc w:val="both"/>
        <w:rPr>
          <w:rFonts w:ascii="Verdana" w:hAnsi="Verdana"/>
        </w:rPr>
      </w:pPr>
      <w:r>
        <w:rPr>
          <w:rFonts w:ascii="Verdana" w:hAnsi="Verdana"/>
        </w:rPr>
        <w:t>Las contribuciones financieras mencionadas en el párrafo anterior podrán actualizarse y deberán tener en cuenta en todo momento las orientaciones adoptadas por la Comisión Europea sobre los criterios relativos al coste de la limpieza de los desechos.</w:t>
      </w:r>
    </w:p>
    <w:p w14:paraId="5AD567E5" w14:textId="01156E0F" w:rsidR="00231C0A" w:rsidRPr="00F7675E" w:rsidRDefault="00231C0A" w:rsidP="00C525D6">
      <w:pPr>
        <w:pStyle w:val="ListParagraph"/>
        <w:numPr>
          <w:ilvl w:val="0"/>
          <w:numId w:val="36"/>
        </w:numPr>
        <w:jc w:val="both"/>
        <w:rPr>
          <w:rFonts w:ascii="Verdana" w:hAnsi="Verdana"/>
        </w:rPr>
      </w:pPr>
      <w:bookmarkStart w:id="45" w:name="_Ref63672961"/>
      <w:r>
        <w:t>Por lo que se refiere a los regímenes de responsabilidad ampliada del productor establecidos en virtud del artículo 14, punto 3, los productores de artes de pesca que contengan plástico cubrirán los costes de recogida separada de los artes de pesca que contengan plástico y que hayan sido entregados a instalaciones portuarias receptoras adecuadas de conformidad con el Decreto-Ley n.º 102/2020, de 9 de diciembre, o a otros sistemas de recogida equivalente que queden fuera del ámbito de aplicación de dicha Directiva, así como los costes de su posterior transporte y tratamiento.</w:t>
      </w:r>
      <w:bookmarkEnd w:id="45"/>
      <w:r>
        <w:rPr>
          <w:rFonts w:ascii="Verdana" w:hAnsi="Verdana"/>
        </w:rPr>
        <w:t xml:space="preserve"> </w:t>
      </w:r>
    </w:p>
    <w:p w14:paraId="47FFA491" w14:textId="2E2BE508" w:rsidR="00231C0A" w:rsidRPr="00F7675E" w:rsidRDefault="00231C0A" w:rsidP="00C525D6">
      <w:pPr>
        <w:pStyle w:val="ListParagraph"/>
        <w:numPr>
          <w:ilvl w:val="0"/>
          <w:numId w:val="36"/>
        </w:numPr>
        <w:jc w:val="both"/>
        <w:rPr>
          <w:rFonts w:ascii="Verdana" w:hAnsi="Verdana"/>
        </w:rPr>
      </w:pPr>
      <w:bookmarkStart w:id="46" w:name="_Ref63672968"/>
      <w:r>
        <w:t>Los productores de artes de pesca cubrirán también los costes de las medidas de sensibilización contempladas en el artículo 18 del presente Reglamento relativas a dichos productos.</w:t>
      </w:r>
      <w:bookmarkEnd w:id="46"/>
      <w:r>
        <w:rPr>
          <w:rFonts w:ascii="Verdana" w:hAnsi="Verdana"/>
        </w:rPr>
        <w:t xml:space="preserve"> </w:t>
      </w:r>
    </w:p>
    <w:p w14:paraId="3559297D" w14:textId="26D04FCD" w:rsidR="00231C0A" w:rsidRPr="00F7675E" w:rsidRDefault="00231C0A" w:rsidP="00C525D6">
      <w:pPr>
        <w:pStyle w:val="ListParagraph"/>
        <w:numPr>
          <w:ilvl w:val="0"/>
          <w:numId w:val="36"/>
        </w:numPr>
        <w:jc w:val="both"/>
        <w:rPr>
          <w:rFonts w:ascii="Verdana" w:hAnsi="Verdana"/>
        </w:rPr>
      </w:pPr>
      <w:r>
        <w:t>Los requisitos establecidos en los apartados 9 y 10 completan los requisitos aplicables a los residuos de buques pesqueros previstos en el Decreto-Ley n.º 102/2020, de 9 de diciembre.</w:t>
      </w:r>
      <w:r>
        <w:rPr>
          <w:rFonts w:ascii="Verdana" w:hAnsi="Verdana"/>
        </w:rPr>
        <w:t xml:space="preserve"> </w:t>
      </w:r>
    </w:p>
    <w:p w14:paraId="690C7125" w14:textId="69198AB9" w:rsidR="00F92863" w:rsidRDefault="00F92863" w:rsidP="00F92863"/>
    <w:p w14:paraId="64CD888A" w14:textId="162B1D69" w:rsidR="003F14EA" w:rsidRDefault="00AC3F76" w:rsidP="000600E7">
      <w:pPr>
        <w:pStyle w:val="Heading2"/>
        <w:numPr>
          <w:ilvl w:val="0"/>
          <w:numId w:val="0"/>
        </w:numPr>
        <w:tabs>
          <w:tab w:val="clear" w:pos="1701"/>
          <w:tab w:val="left" w:pos="1418"/>
        </w:tabs>
        <w:ind w:left="426"/>
      </w:pPr>
      <w:r>
        <w:t>Artículo 16</w:t>
      </w:r>
      <w:r>
        <w:br/>
      </w:r>
      <w:bookmarkStart w:id="47" w:name="_Ref66121774"/>
      <w:r>
        <w:t>Representante autorizado</w:t>
      </w:r>
      <w:bookmarkEnd w:id="47"/>
    </w:p>
    <w:p w14:paraId="0E6F245D" w14:textId="77777777" w:rsidR="00014396" w:rsidRPr="00014396" w:rsidRDefault="00014396" w:rsidP="00014396"/>
    <w:p w14:paraId="5E8ECB47" w14:textId="794F8C80" w:rsidR="00231C0A" w:rsidRPr="000E29F8" w:rsidRDefault="00231C0A" w:rsidP="00C525D6">
      <w:pPr>
        <w:pStyle w:val="ListParagraph"/>
        <w:numPr>
          <w:ilvl w:val="0"/>
          <w:numId w:val="39"/>
        </w:numPr>
        <w:jc w:val="both"/>
        <w:rPr>
          <w:rFonts w:ascii="Verdana" w:hAnsi="Verdana"/>
        </w:rPr>
      </w:pPr>
      <w:r>
        <w:rPr>
          <w:rFonts w:ascii="Verdana" w:hAnsi="Verdana"/>
        </w:rPr>
        <w:lastRenderedPageBreak/>
        <w:t>Los productores de los productos plásticos de un solo uso a que se refieren los artículos 13 y 14, que estén establecidos en otro estado miembro de la Unión Europea o en un tercer país y que vendan productos mediante técnicas de comunicación a distancia directamente a los consumidores finales de Portugal, designarán a una persona física o jurídica establecida en Portugal como su representante autorizado, que será responsable del cumplimiento de las obligaciones en virtud del presente Decreto-Ley.</w:t>
      </w:r>
    </w:p>
    <w:p w14:paraId="7C661ED7" w14:textId="27C8AC62" w:rsidR="00231C0A" w:rsidRPr="000E29F8" w:rsidRDefault="00231C0A" w:rsidP="00C525D6">
      <w:pPr>
        <w:pStyle w:val="ListParagraph"/>
        <w:numPr>
          <w:ilvl w:val="0"/>
          <w:numId w:val="39"/>
        </w:numPr>
        <w:jc w:val="both"/>
        <w:rPr>
          <w:rFonts w:ascii="Verdana" w:hAnsi="Verdana"/>
        </w:rPr>
      </w:pPr>
      <w:r>
        <w:rPr>
          <w:rFonts w:ascii="Verdana" w:hAnsi="Verdana"/>
        </w:rPr>
        <w:t>Sin perjuicio de la obligación prevista en el apartado 13, los productores de los productos plásticos de un solo uso a que se refieren los artículos 13 y 14 establecidos en otro estado miembro de la Unión Europea podrán designar a una persona física o jurídica establecida en Portugal como su representante autorizado a efectos del cumplimiento de las obligaciones del productor en virtud del presente Decreto-Ley.</w:t>
      </w:r>
    </w:p>
    <w:p w14:paraId="55C99F0A" w14:textId="3DA443E7" w:rsidR="001F7456" w:rsidRPr="000E29F8" w:rsidRDefault="001F7456" w:rsidP="00C525D6">
      <w:pPr>
        <w:pStyle w:val="ListParagraph"/>
        <w:numPr>
          <w:ilvl w:val="0"/>
          <w:numId w:val="39"/>
        </w:numPr>
        <w:jc w:val="both"/>
        <w:rPr>
          <w:rFonts w:ascii="Verdana" w:hAnsi="Verdana"/>
        </w:rPr>
      </w:pPr>
      <w:r>
        <w:rPr>
          <w:rFonts w:ascii="Verdana" w:hAnsi="Verdana"/>
        </w:rPr>
        <w:t>Los productores establecidos en Portugal que vendan los productos plásticos de un solo uso a que se refieren los artículos 13 y 14 mediante técnicas de comunicación a distancia directamente a los consumidores finales de otro estado miembro en el que no estén establecidos nombrarán un representante autorizado en ese estado miembro, que será responsable del cumplimiento de las obligaciones del productor en virtud del presente Decreto-Ley en el territorio de ese otro estado miembro.</w:t>
      </w:r>
    </w:p>
    <w:p w14:paraId="77BFA3F9" w14:textId="2747B585" w:rsidR="00CC50F8" w:rsidRPr="000E29F8" w:rsidRDefault="003679EF" w:rsidP="00C525D6">
      <w:pPr>
        <w:pStyle w:val="ListParagraph"/>
        <w:numPr>
          <w:ilvl w:val="0"/>
          <w:numId w:val="39"/>
        </w:numPr>
        <w:jc w:val="both"/>
        <w:rPr>
          <w:rFonts w:ascii="Verdana" w:hAnsi="Verdana"/>
        </w:rPr>
      </w:pPr>
      <w:r>
        <w:rPr>
          <w:rFonts w:ascii="Verdana" w:hAnsi="Verdana"/>
        </w:rPr>
        <w:t xml:space="preserve">Se deberán cumplir las condiciones para el nombramiento de un representante autorizado y las obligaciones respectivas establecidas en el artículo 20 de </w:t>
      </w:r>
      <w:proofErr w:type="spellStart"/>
      <w:r>
        <w:rPr>
          <w:rFonts w:ascii="Verdana" w:hAnsi="Verdana"/>
        </w:rPr>
        <w:t>Unilex</w:t>
      </w:r>
      <w:proofErr w:type="spellEnd"/>
      <w:r>
        <w:rPr>
          <w:rFonts w:ascii="Verdana" w:hAnsi="Verdana"/>
        </w:rPr>
        <w:t>.</w:t>
      </w:r>
    </w:p>
    <w:p w14:paraId="7547E496" w14:textId="621945A0" w:rsidR="004A192F" w:rsidRDefault="004A192F" w:rsidP="004A192F">
      <w:pPr>
        <w:pStyle w:val="ListParagraph"/>
        <w:tabs>
          <w:tab w:val="left" w:pos="851"/>
        </w:tabs>
        <w:autoSpaceDE w:val="0"/>
        <w:autoSpaceDN w:val="0"/>
        <w:adjustRightInd w:val="0"/>
        <w:ind w:left="644"/>
        <w:jc w:val="both"/>
        <w:rPr>
          <w:rFonts w:ascii="Verdana" w:hAnsi="Verdana" w:cs="EU Albertina"/>
          <w:color w:val="000000"/>
        </w:rPr>
      </w:pPr>
    </w:p>
    <w:p w14:paraId="7E8920A4" w14:textId="77777777" w:rsidR="000E29F8" w:rsidRDefault="000E29F8" w:rsidP="004A192F">
      <w:pPr>
        <w:pStyle w:val="ListParagraph"/>
        <w:tabs>
          <w:tab w:val="left" w:pos="851"/>
        </w:tabs>
        <w:autoSpaceDE w:val="0"/>
        <w:autoSpaceDN w:val="0"/>
        <w:adjustRightInd w:val="0"/>
        <w:ind w:left="644"/>
        <w:jc w:val="both"/>
        <w:rPr>
          <w:rFonts w:ascii="Verdana" w:hAnsi="Verdana" w:cs="EU Albertina"/>
          <w:color w:val="000000"/>
        </w:rPr>
      </w:pPr>
    </w:p>
    <w:p w14:paraId="1D37557F" w14:textId="0E026CC3" w:rsidR="00ED79DD" w:rsidRPr="003F6B93" w:rsidRDefault="003F14EA" w:rsidP="00AA057C">
      <w:pPr>
        <w:pStyle w:val="Heading1"/>
        <w:tabs>
          <w:tab w:val="clear" w:pos="3969"/>
          <w:tab w:val="left" w:pos="2410"/>
        </w:tabs>
        <w:ind w:firstLine="180"/>
      </w:pPr>
      <w:r>
        <w:br/>
        <w:t>Recogida separada</w:t>
      </w:r>
    </w:p>
    <w:p w14:paraId="6118BF46" w14:textId="0F140822" w:rsidR="00ED79DD" w:rsidRDefault="00AC3F76" w:rsidP="000600E7">
      <w:pPr>
        <w:pStyle w:val="Heading2"/>
        <w:numPr>
          <w:ilvl w:val="0"/>
          <w:numId w:val="0"/>
        </w:numPr>
        <w:tabs>
          <w:tab w:val="clear" w:pos="1701"/>
          <w:tab w:val="left" w:pos="1418"/>
        </w:tabs>
        <w:ind w:left="426"/>
      </w:pPr>
      <w:r>
        <w:t>Artículo 17</w:t>
      </w:r>
      <w:r>
        <w:br/>
      </w:r>
      <w:bookmarkStart w:id="48" w:name="_Ref66121801"/>
      <w:r>
        <w:t>Objetivos de la recogida separada de botellas</w:t>
      </w:r>
      <w:bookmarkEnd w:id="48"/>
    </w:p>
    <w:p w14:paraId="663DD529" w14:textId="77777777" w:rsidR="00DA0902" w:rsidRPr="00DA0902" w:rsidRDefault="00DA0902" w:rsidP="00DA0902"/>
    <w:p w14:paraId="4881CA6C" w14:textId="46F49258" w:rsidR="006236DA" w:rsidRPr="000E29F8" w:rsidRDefault="006236DA" w:rsidP="00C525D6">
      <w:pPr>
        <w:pStyle w:val="ListParagraph"/>
        <w:numPr>
          <w:ilvl w:val="0"/>
          <w:numId w:val="40"/>
        </w:numPr>
        <w:jc w:val="both"/>
        <w:rPr>
          <w:rFonts w:ascii="Verdana" w:hAnsi="Verdana"/>
        </w:rPr>
      </w:pPr>
      <w:bookmarkStart w:id="49" w:name="_Ref63698199"/>
      <w:r>
        <w:rPr>
          <w:rFonts w:ascii="Verdana" w:hAnsi="Verdana"/>
        </w:rPr>
        <w:t>Los productores de botellas de plástico de un solo uso para bebidas con una capacidad de hasta tres litros, incluidos sus tapas y tapones, deberán garantizar:</w:t>
      </w:r>
    </w:p>
    <w:p w14:paraId="00529814" w14:textId="55C98796" w:rsidR="006236DA" w:rsidRPr="000E29F8" w:rsidRDefault="006236DA" w:rsidP="00C525D6">
      <w:pPr>
        <w:pStyle w:val="ListParagraph"/>
        <w:numPr>
          <w:ilvl w:val="0"/>
          <w:numId w:val="41"/>
        </w:numPr>
        <w:spacing w:line="240" w:lineRule="auto"/>
        <w:rPr>
          <w:rFonts w:ascii="Verdana" w:hAnsi="Verdana"/>
        </w:rPr>
      </w:pPr>
      <w:r>
        <w:rPr>
          <w:rFonts w:ascii="Verdana" w:hAnsi="Verdana"/>
        </w:rPr>
        <w:lastRenderedPageBreak/>
        <w:t>A más tardar el 31 de diciembre de 2025, la recogida separada de residuos destinados al reciclado, en una proporción de al menos el 77% de dichos productos comercializados en peso en un año determinado;</w:t>
      </w:r>
    </w:p>
    <w:p w14:paraId="1B95B4D1" w14:textId="2F6357FD" w:rsidR="006236DA" w:rsidRPr="000E29F8" w:rsidRDefault="006236DA" w:rsidP="00C525D6">
      <w:pPr>
        <w:pStyle w:val="ListParagraph"/>
        <w:numPr>
          <w:ilvl w:val="0"/>
          <w:numId w:val="41"/>
        </w:numPr>
        <w:spacing w:line="240" w:lineRule="auto"/>
        <w:rPr>
          <w:rFonts w:ascii="Verdana" w:hAnsi="Verdana"/>
        </w:rPr>
      </w:pPr>
      <w:r>
        <w:rPr>
          <w:rFonts w:ascii="Verdana" w:hAnsi="Verdana"/>
        </w:rPr>
        <w:t>A más tardar el 31 de diciembre de 2029, la recogida separada de residuos destinados al reciclado en una proporción de al menos el 90% de dichos productos comercializados en peso en un año determinado.</w:t>
      </w:r>
    </w:p>
    <w:p w14:paraId="2A1F56ED" w14:textId="4E3E67AA" w:rsidR="006236DA" w:rsidRPr="000E29F8" w:rsidRDefault="006236DA" w:rsidP="00C525D6">
      <w:pPr>
        <w:pStyle w:val="ListParagraph"/>
        <w:numPr>
          <w:ilvl w:val="0"/>
          <w:numId w:val="40"/>
        </w:numPr>
        <w:jc w:val="both"/>
        <w:rPr>
          <w:rFonts w:ascii="Verdana" w:hAnsi="Verdana"/>
        </w:rPr>
      </w:pPr>
      <w:r>
        <w:rPr>
          <w:rFonts w:ascii="Verdana" w:hAnsi="Verdana"/>
        </w:rPr>
        <w:t xml:space="preserve">Para cumplir los objetivos establecidos en los apartados anteriores, contribuirá el sistema de depósito de envases plásticos no reutilizables para bebidas previsto en el artículo 23 </w:t>
      </w:r>
      <w:proofErr w:type="spellStart"/>
      <w:r>
        <w:rPr>
          <w:rFonts w:ascii="Verdana" w:hAnsi="Verdana"/>
        </w:rPr>
        <w:t>quater</w:t>
      </w:r>
      <w:proofErr w:type="spellEnd"/>
      <w:r>
        <w:rPr>
          <w:rFonts w:ascii="Verdana" w:hAnsi="Verdana"/>
        </w:rPr>
        <w:t xml:space="preserve"> de </w:t>
      </w:r>
      <w:proofErr w:type="spellStart"/>
      <w:r>
        <w:rPr>
          <w:rFonts w:ascii="Verdana" w:hAnsi="Verdana"/>
        </w:rPr>
        <w:t>Unilex</w:t>
      </w:r>
      <w:proofErr w:type="spellEnd"/>
      <w:r>
        <w:rPr>
          <w:rFonts w:ascii="Verdana" w:hAnsi="Verdana"/>
        </w:rPr>
        <w:t>, en su estado actual.</w:t>
      </w:r>
    </w:p>
    <w:bookmarkEnd w:id="49"/>
    <w:p w14:paraId="53319A72" w14:textId="61D4E81F" w:rsidR="00A53FF8" w:rsidRPr="000E29F8" w:rsidRDefault="00A53FF8" w:rsidP="00C525D6">
      <w:pPr>
        <w:pStyle w:val="ListParagraph"/>
        <w:numPr>
          <w:ilvl w:val="0"/>
          <w:numId w:val="40"/>
        </w:numPr>
        <w:jc w:val="both"/>
        <w:rPr>
          <w:rFonts w:ascii="Verdana" w:hAnsi="Verdana"/>
        </w:rPr>
      </w:pPr>
      <w:r>
        <w:t>En los apartados 1 y 2 se excluirá lo siguiente:</w:t>
      </w:r>
    </w:p>
    <w:p w14:paraId="0351D4D5" w14:textId="2D9F9A35" w:rsidR="006236DA" w:rsidRPr="000E29F8" w:rsidRDefault="00A53FF8" w:rsidP="00C525D6">
      <w:pPr>
        <w:pStyle w:val="ListParagraph"/>
        <w:numPr>
          <w:ilvl w:val="0"/>
          <w:numId w:val="42"/>
        </w:numPr>
        <w:spacing w:line="240" w:lineRule="auto"/>
        <w:rPr>
          <w:rFonts w:ascii="Verdana" w:hAnsi="Verdana"/>
        </w:rPr>
      </w:pPr>
      <w:r>
        <w:rPr>
          <w:rFonts w:ascii="Verdana" w:hAnsi="Verdana"/>
        </w:rPr>
        <w:t xml:space="preserve">Botellas de vidrio o metálicas para bebidas con tapas y tapones de plástico; </w:t>
      </w:r>
    </w:p>
    <w:p w14:paraId="3CEC0E19" w14:textId="77777777" w:rsidR="00A53FF8" w:rsidRPr="000E29F8" w:rsidRDefault="00A53FF8" w:rsidP="00C525D6">
      <w:pPr>
        <w:pStyle w:val="ListParagraph"/>
        <w:numPr>
          <w:ilvl w:val="0"/>
          <w:numId w:val="42"/>
        </w:numPr>
        <w:spacing w:line="240" w:lineRule="auto"/>
        <w:rPr>
          <w:rFonts w:ascii="Verdana" w:hAnsi="Verdana"/>
        </w:rPr>
      </w:pPr>
      <w:r>
        <w:rPr>
          <w:rFonts w:ascii="Verdana" w:hAnsi="Verdana"/>
        </w:rPr>
        <w:t>Botellas para bebidas destinadas y utilizadas para alimentos con fines médicos específicos, tal como se define en el artículo 2, letra g), del Reglamento (UE) n.º 609/2013, en forma líquida.</w:t>
      </w:r>
    </w:p>
    <w:p w14:paraId="0D3B6430" w14:textId="20E31A6E" w:rsidR="003067B2" w:rsidRPr="000E29F8" w:rsidRDefault="003067B2" w:rsidP="00C525D6">
      <w:pPr>
        <w:pStyle w:val="ListParagraph"/>
        <w:numPr>
          <w:ilvl w:val="0"/>
          <w:numId w:val="40"/>
        </w:numPr>
        <w:jc w:val="both"/>
        <w:rPr>
          <w:rFonts w:ascii="Verdana" w:hAnsi="Verdana"/>
        </w:rPr>
      </w:pPr>
      <w:r>
        <w:t>Para verificar el cumplimiento de los objetivos establecidos en los apartados 1 y 2, se tendrán en cuenta las normas de cálculo establecidas en el acto de ejecución adoptado por la Comisión Europea.</w:t>
      </w:r>
      <w:r>
        <w:rPr>
          <w:rFonts w:ascii="Verdana" w:hAnsi="Verdana"/>
        </w:rPr>
        <w:t xml:space="preserve"> </w:t>
      </w:r>
    </w:p>
    <w:p w14:paraId="5B274A4B" w14:textId="1678079D" w:rsidR="002B07FB" w:rsidRPr="000E29F8" w:rsidRDefault="00486308" w:rsidP="00C525D6">
      <w:pPr>
        <w:pStyle w:val="ListParagraph"/>
        <w:numPr>
          <w:ilvl w:val="0"/>
          <w:numId w:val="40"/>
        </w:numPr>
        <w:jc w:val="both"/>
        <w:rPr>
          <w:rFonts w:ascii="Verdana" w:hAnsi="Verdana"/>
        </w:rPr>
      </w:pPr>
      <w:r>
        <w:rPr>
          <w:rFonts w:ascii="Verdana" w:hAnsi="Verdana"/>
        </w:rPr>
        <w:t>La cantidad de botellas de plástico de un solo uso para bebidas con una capacidad de hasta tres litros comercializadas puede considerarse igual a la cantidad de residuos generados por dichas botellas, incluida la basura, en el mismo año.</w:t>
      </w:r>
    </w:p>
    <w:p w14:paraId="4DBFCC05" w14:textId="77777777" w:rsidR="00E1488F" w:rsidRPr="00AE50FA" w:rsidRDefault="00E1488F" w:rsidP="003B7EF0">
      <w:pPr>
        <w:spacing w:after="0"/>
        <w:rPr>
          <w:rFonts w:ascii="Verdana" w:hAnsi="Verdana"/>
          <w:b/>
          <w:sz w:val="24"/>
        </w:rPr>
      </w:pPr>
    </w:p>
    <w:p w14:paraId="18717885" w14:textId="7BE4F46B" w:rsidR="00E06216" w:rsidRPr="003F6B93" w:rsidRDefault="00CD4ECA" w:rsidP="00A66A89">
      <w:pPr>
        <w:pStyle w:val="Heading1"/>
        <w:tabs>
          <w:tab w:val="clear" w:pos="3969"/>
          <w:tab w:val="left" w:pos="2552"/>
        </w:tabs>
      </w:pPr>
      <w:r>
        <w:br/>
        <w:t>Medidas de sensibilización</w:t>
      </w:r>
    </w:p>
    <w:p w14:paraId="4B983E0F" w14:textId="0E88C2AB" w:rsidR="00E06216" w:rsidRDefault="00AC3F76" w:rsidP="00AC3F76">
      <w:pPr>
        <w:pStyle w:val="Heading2"/>
        <w:numPr>
          <w:ilvl w:val="0"/>
          <w:numId w:val="0"/>
        </w:numPr>
        <w:tabs>
          <w:tab w:val="clear" w:pos="1701"/>
          <w:tab w:val="left" w:pos="1418"/>
        </w:tabs>
        <w:ind w:left="426"/>
      </w:pPr>
      <w:bookmarkStart w:id="50" w:name="_Ref63444090"/>
      <w:r>
        <w:t>Artículo 18</w:t>
      </w:r>
      <w:r>
        <w:br/>
      </w:r>
      <w:bookmarkStart w:id="51" w:name="_Ref66121837"/>
      <w:r>
        <w:t>Medidas de sensibilización</w:t>
      </w:r>
      <w:bookmarkEnd w:id="50"/>
      <w:bookmarkEnd w:id="51"/>
    </w:p>
    <w:p w14:paraId="176D4E94" w14:textId="77777777" w:rsidR="00DA0902" w:rsidRPr="000E29F8" w:rsidRDefault="00DA0902" w:rsidP="000E29F8"/>
    <w:p w14:paraId="6254D43E" w14:textId="4CDEA858" w:rsidR="00EE73F2" w:rsidRPr="000E29F8" w:rsidRDefault="00EE73F2" w:rsidP="00C525D6">
      <w:pPr>
        <w:pStyle w:val="ListParagraph"/>
        <w:numPr>
          <w:ilvl w:val="0"/>
          <w:numId w:val="43"/>
        </w:numPr>
        <w:ind w:left="709"/>
        <w:jc w:val="both"/>
        <w:rPr>
          <w:rFonts w:ascii="Verdana" w:hAnsi="Verdana"/>
        </w:rPr>
      </w:pPr>
      <w:r>
        <w:rPr>
          <w:rFonts w:ascii="Verdana" w:hAnsi="Verdana"/>
        </w:rPr>
        <w:t>Los productores que comercialicen los productos enumerados en el apartado 3 del presente artículo, así como artes de pesca promoverán campañas de información y sensibilización para los consumidores y usuarios de dichos productos con el fin de fomentar un comportamiento responsable y reducir los residuos de dichos productos.</w:t>
      </w:r>
    </w:p>
    <w:p w14:paraId="6B5F3553" w14:textId="77777777" w:rsidR="00EE73F2" w:rsidRPr="000E29F8" w:rsidRDefault="00EE73F2" w:rsidP="00C525D6">
      <w:pPr>
        <w:pStyle w:val="ListParagraph"/>
        <w:numPr>
          <w:ilvl w:val="0"/>
          <w:numId w:val="43"/>
        </w:numPr>
        <w:ind w:left="709"/>
        <w:jc w:val="both"/>
        <w:rPr>
          <w:rFonts w:ascii="Verdana" w:hAnsi="Verdana"/>
        </w:rPr>
      </w:pPr>
      <w:r>
        <w:rPr>
          <w:rFonts w:ascii="Verdana" w:hAnsi="Verdana"/>
        </w:rPr>
        <w:lastRenderedPageBreak/>
        <w:t>Las campañas mencionadas en el apartado anterior incluirán, como mínimo, información sobre:</w:t>
      </w:r>
    </w:p>
    <w:p w14:paraId="3E8D9316" w14:textId="40533EE7"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La disponibilidad de alternativas reutilizables, sistemas de reutilización y opciones de gestión de residuos para productos plásticos de un solo uso y artes de pesca que contengan plástico, así como las mejores prácticas de gestión de residuos llevadas a cabo de conformidad con el artículo 6 del GSWM;</w:t>
      </w:r>
    </w:p>
    <w:p w14:paraId="0AFDDD62" w14:textId="77777777" w:rsidR="001D4FEE" w:rsidRPr="000E29F8" w:rsidRDefault="00EE73F2" w:rsidP="00C525D6">
      <w:pPr>
        <w:pStyle w:val="ListParagraph"/>
        <w:numPr>
          <w:ilvl w:val="0"/>
          <w:numId w:val="44"/>
        </w:numPr>
        <w:spacing w:line="240" w:lineRule="auto"/>
        <w:ind w:left="1134"/>
        <w:rPr>
          <w:rFonts w:ascii="Verdana" w:hAnsi="Verdana"/>
        </w:rPr>
      </w:pPr>
      <w:r>
        <w:rPr>
          <w:rFonts w:ascii="Verdana" w:hAnsi="Verdana"/>
        </w:rPr>
        <w:t xml:space="preserve">El impacto medioambiental de la eliminación de residuos y otros métodos inadecuados de eliminación de residuos procedentes de productos plásticos de un solo uso y de artes de pesca que contengan plásticos, especialmente en el medio marino; y </w:t>
      </w:r>
    </w:p>
    <w:p w14:paraId="21CDC05E" w14:textId="4822A51C"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El impacto de los medios inadecuados de eliminación de estos productos plásticos de un solo uso en la red de alcantarillado.</w:t>
      </w:r>
    </w:p>
    <w:p w14:paraId="6D59A259" w14:textId="7D55787E" w:rsidR="00EE73F2" w:rsidRPr="000E29F8" w:rsidRDefault="00EE73F2" w:rsidP="00C525D6">
      <w:pPr>
        <w:pStyle w:val="ListParagraph"/>
        <w:numPr>
          <w:ilvl w:val="0"/>
          <w:numId w:val="43"/>
        </w:numPr>
        <w:ind w:left="709"/>
        <w:jc w:val="both"/>
        <w:rPr>
          <w:rFonts w:ascii="Verdana" w:hAnsi="Verdana"/>
        </w:rPr>
      </w:pPr>
      <w:r>
        <w:rPr>
          <w:rFonts w:ascii="Verdana" w:hAnsi="Verdana"/>
        </w:rPr>
        <w:t>Los productos plásticos de un solo uso para los que se lleven a cabo las campañas de sensibilización e información a que se refiere el apartado 1 del presente artículo serán los siguientes:</w:t>
      </w:r>
    </w:p>
    <w:p w14:paraId="22B6261F"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Recipientes para alimentos, tales como cajas, con o sin tapa, utilizados para contener alimentos que: </w:t>
      </w:r>
    </w:p>
    <w:p w14:paraId="40E13B6B"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están destinados al consumo inmediato, in situ o para llevar, </w:t>
      </w:r>
    </w:p>
    <w:p w14:paraId="1BB14EA4"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normalmente se consumen en el propio recipiente, y </w:t>
      </w:r>
    </w:p>
    <w:p w14:paraId="7C22AA17"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están listos para consumir sin ninguna otra preparación posterior, es decir, sin cocinar, hervir o calentar. </w:t>
      </w:r>
    </w:p>
    <w:p w14:paraId="58E41D41" w14:textId="77777777" w:rsidR="00EE73F2" w:rsidRPr="006B0045" w:rsidRDefault="00EE73F2" w:rsidP="006B0045">
      <w:pPr>
        <w:pStyle w:val="ListParagraph"/>
        <w:spacing w:line="240" w:lineRule="auto"/>
        <w:ind w:left="1134"/>
        <w:rPr>
          <w:rFonts w:ascii="Verdana" w:hAnsi="Verdana"/>
        </w:rPr>
      </w:pPr>
      <w:r>
        <w:rPr>
          <w:rFonts w:ascii="Verdana" w:hAnsi="Verdana"/>
        </w:rPr>
        <w:t xml:space="preserve">Estos incluyen recipientes para alimentos utilizados para comida rápida u otros alimentos listos para su consumo inmediato, excepto los recipientes para bebidas, platos, y envases y envoltorios que contengan alimentos; </w:t>
      </w:r>
    </w:p>
    <w:p w14:paraId="42432BD7"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Envases y envoltorios fabricados a partir de material flexible que contenga alimentos destinados al consumo inmediato directamente del envase o envoltorio sin más preparación; </w:t>
      </w:r>
    </w:p>
    <w:p w14:paraId="25F5C028"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Recipientes de bebidas con una capacidad de hasta tres litros, es decir, recipientes utilizados para contener líquidos, como botellas de bebidas, incluidos sus tapas y tapones y envases de bebidas compuestos, incluidos sus tapas y tapones, pero no recipientes de bebidas de vidrio o metal que tengan tapas y tapones de plástico; </w:t>
      </w:r>
    </w:p>
    <w:p w14:paraId="5FD98B55"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Vasos para bebidas, incluidos sus tapas y tapones; </w:t>
      </w:r>
    </w:p>
    <w:p w14:paraId="37C31CB0"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Productos derivados del tabaco con filtros y filtros comercializados para utilizarse en combinación con productos derivados del tabaco; </w:t>
      </w:r>
    </w:p>
    <w:p w14:paraId="5330597D"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Toallitas húmedas, es decir, toallitas </w:t>
      </w:r>
      <w:proofErr w:type="spellStart"/>
      <w:r>
        <w:rPr>
          <w:rFonts w:ascii="Verdana" w:hAnsi="Verdana"/>
        </w:rPr>
        <w:t>prehumedecidas</w:t>
      </w:r>
      <w:proofErr w:type="spellEnd"/>
      <w:r>
        <w:rPr>
          <w:rFonts w:ascii="Verdana" w:hAnsi="Verdana"/>
        </w:rPr>
        <w:t xml:space="preserve"> para higiene personal y para uso doméstico; </w:t>
      </w:r>
    </w:p>
    <w:p w14:paraId="00E5EA2E"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Globos, excepto los globos para usos y aplicaciones industriales y profesionales, que no se distribuyan a los consumidores; </w:t>
      </w:r>
    </w:p>
    <w:p w14:paraId="0F558B0E" w14:textId="7981C8AC"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lastRenderedPageBreak/>
        <w:t>Bolsas de plástico ligeras.</w:t>
      </w:r>
    </w:p>
    <w:p w14:paraId="5FC44F3C"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Compresas, tampones higiénicos y aplicadores de tampones;</w:t>
      </w:r>
    </w:p>
    <w:p w14:paraId="3B85A2EB" w14:textId="3E56771B" w:rsidR="00EE73F2" w:rsidRPr="000E29F8" w:rsidRDefault="004E09D6" w:rsidP="00C525D6">
      <w:pPr>
        <w:pStyle w:val="ListParagraph"/>
        <w:numPr>
          <w:ilvl w:val="0"/>
          <w:numId w:val="43"/>
        </w:numPr>
        <w:ind w:left="709"/>
        <w:jc w:val="both"/>
        <w:rPr>
          <w:rFonts w:ascii="Verdana" w:hAnsi="Verdana"/>
        </w:rPr>
      </w:pPr>
      <w:r>
        <w:rPr>
          <w:rFonts w:ascii="Verdana" w:hAnsi="Verdana"/>
        </w:rPr>
        <w:t xml:space="preserve">En el caso de los productos plásticos de un solo uso contemplados en las letras a) a g) del apartado anterior, los productores cumplirán la obligación a que se refiere el presente artículo a través del organismo gestor del sistema integrado al que transfieran la responsabilidad ampliada del productor, o de un sistema individual autorizado en virtud de </w:t>
      </w:r>
      <w:proofErr w:type="spellStart"/>
      <w:r>
        <w:rPr>
          <w:rFonts w:ascii="Verdana" w:hAnsi="Verdana"/>
        </w:rPr>
        <w:t>Unilex</w:t>
      </w:r>
      <w:proofErr w:type="spellEnd"/>
      <w:r>
        <w:rPr>
          <w:rFonts w:ascii="Verdana" w:hAnsi="Verdana"/>
        </w:rPr>
        <w:t>.</w:t>
      </w:r>
    </w:p>
    <w:p w14:paraId="58299463" w14:textId="31299E33" w:rsidR="00B779E1" w:rsidRPr="000E29F8" w:rsidRDefault="005016C9" w:rsidP="00C525D6">
      <w:pPr>
        <w:pStyle w:val="ListParagraph"/>
        <w:numPr>
          <w:ilvl w:val="0"/>
          <w:numId w:val="43"/>
        </w:numPr>
        <w:ind w:left="709"/>
        <w:jc w:val="both"/>
        <w:rPr>
          <w:rFonts w:ascii="Verdana" w:hAnsi="Verdana"/>
        </w:rPr>
      </w:pPr>
      <w:r>
        <w:t>En el caso de los productos plásticos de un solo uso a que se refiere el apartado 3, letra h), los productores cumplirán las obligaciones establecidas en los apartados 1 y 2 individualmente o a través de una asociación representativa.</w:t>
      </w:r>
      <w:r>
        <w:rPr>
          <w:rFonts w:ascii="Verdana" w:hAnsi="Verdana"/>
        </w:rPr>
        <w:t xml:space="preserve"> </w:t>
      </w:r>
    </w:p>
    <w:p w14:paraId="4B055247" w14:textId="2EBF5C69" w:rsidR="002B37F4" w:rsidRPr="000E29F8" w:rsidRDefault="004C777A" w:rsidP="00C525D6">
      <w:pPr>
        <w:pStyle w:val="ListParagraph"/>
        <w:numPr>
          <w:ilvl w:val="0"/>
          <w:numId w:val="43"/>
        </w:numPr>
        <w:ind w:left="709"/>
        <w:jc w:val="both"/>
        <w:rPr>
          <w:rFonts w:ascii="Verdana" w:hAnsi="Verdana"/>
        </w:rPr>
      </w:pPr>
      <w:r>
        <w:t>A más tardar el 30 de abril del año siguiente, las asociaciones o los productores mencionados en el párrafo anterior remitirán a la APA, al I.P. y a la DGAE un informe en el que se expongan las campañas realizadas de conformidad con los apartados 1 y 2, con la información mínima contenida en el documento publicado en los portales de Internet de APA, I.P. y DGAE.</w:t>
      </w:r>
    </w:p>
    <w:p w14:paraId="25C23FBA" w14:textId="0F60BA64" w:rsidR="004C777A" w:rsidRPr="000E29F8" w:rsidRDefault="002B37F4" w:rsidP="00C525D6">
      <w:pPr>
        <w:pStyle w:val="ListParagraph"/>
        <w:numPr>
          <w:ilvl w:val="0"/>
          <w:numId w:val="43"/>
        </w:numPr>
        <w:ind w:left="709"/>
        <w:jc w:val="both"/>
        <w:rPr>
          <w:rFonts w:ascii="Verdana" w:hAnsi="Verdana"/>
        </w:rPr>
      </w:pPr>
      <w:r>
        <w:rPr>
          <w:rFonts w:ascii="Verdana" w:hAnsi="Verdana"/>
        </w:rPr>
        <w:t>Sin perjuicio de la responsabilidad de los productores prevista en los apartados anteriores, los demás operadores económicos implicados en la cadena comercial, en particular los distribuidores, vendedores y proveedores de servicios de restauración, responsables de comercializar los productos enumerados en el apartado 3 del presente artículo y los artes de pesca, habida cuenta de su proximidad a los consumidores y usuarios finales, contribuirán también a la información y a la sensibilización en cuanto a dichos productos.</w:t>
      </w:r>
    </w:p>
    <w:p w14:paraId="4359F6E2" w14:textId="46BE87AA" w:rsidR="00A26F33" w:rsidRPr="000E29F8" w:rsidRDefault="00A26F33" w:rsidP="00C525D6">
      <w:pPr>
        <w:pStyle w:val="ListParagraph"/>
        <w:numPr>
          <w:ilvl w:val="0"/>
          <w:numId w:val="43"/>
        </w:numPr>
        <w:ind w:left="709"/>
        <w:jc w:val="both"/>
        <w:rPr>
          <w:rFonts w:ascii="Verdana" w:hAnsi="Verdana"/>
        </w:rPr>
      </w:pPr>
      <w:r>
        <w:rPr>
          <w:rFonts w:ascii="Verdana" w:hAnsi="Verdana"/>
        </w:rPr>
        <w:t>Los agentes económicos a que se refiere el apartado anterior llevarán un registro en el que se indicarán la información y las acciones de sensibilización llevadas a cabo mediante su puesta a disposición a petición de las autoridades competentes.</w:t>
      </w:r>
    </w:p>
    <w:p w14:paraId="617C23B6" w14:textId="58FCB739" w:rsidR="008B4B7F" w:rsidRDefault="008B4B7F" w:rsidP="009820C4">
      <w:pPr>
        <w:rPr>
          <w:rFonts w:ascii="Verdana" w:hAnsi="Verdana"/>
          <w:b/>
          <w:sz w:val="24"/>
        </w:rPr>
      </w:pPr>
    </w:p>
    <w:p w14:paraId="07713E95" w14:textId="47FB0247" w:rsidR="006B0668" w:rsidRPr="003F6B93" w:rsidRDefault="00AE50FA" w:rsidP="000600E7">
      <w:pPr>
        <w:pStyle w:val="Heading1"/>
        <w:tabs>
          <w:tab w:val="clear" w:pos="3969"/>
          <w:tab w:val="left" w:pos="2268"/>
        </w:tabs>
        <w:ind w:firstLine="540"/>
      </w:pPr>
      <w:r>
        <w:br/>
        <w:t>Comunicación de resultados</w:t>
      </w:r>
    </w:p>
    <w:p w14:paraId="1B798C4B" w14:textId="4329DFBF" w:rsidR="0075174E" w:rsidRPr="0075174E" w:rsidRDefault="00AC3F76" w:rsidP="00AC3F76">
      <w:pPr>
        <w:pStyle w:val="Heading2"/>
        <w:numPr>
          <w:ilvl w:val="0"/>
          <w:numId w:val="0"/>
        </w:numPr>
        <w:tabs>
          <w:tab w:val="clear" w:pos="1701"/>
          <w:tab w:val="left" w:pos="1418"/>
        </w:tabs>
        <w:ind w:left="426"/>
      </w:pPr>
      <w:r>
        <w:t>Artículo 19</w:t>
      </w:r>
      <w:r>
        <w:br/>
        <w:t>Registro de productores</w:t>
      </w:r>
    </w:p>
    <w:p w14:paraId="465253EE" w14:textId="77777777" w:rsidR="0075174E" w:rsidRPr="0075174E" w:rsidRDefault="0075174E" w:rsidP="0075174E"/>
    <w:p w14:paraId="30FE0A7E" w14:textId="730BFBEF" w:rsidR="00655287" w:rsidRPr="001D4FEE" w:rsidRDefault="00655287" w:rsidP="00C525D6">
      <w:pPr>
        <w:pStyle w:val="ListParagraph"/>
        <w:numPr>
          <w:ilvl w:val="0"/>
          <w:numId w:val="47"/>
        </w:numPr>
        <w:ind w:left="709"/>
        <w:jc w:val="both"/>
        <w:rPr>
          <w:rFonts w:ascii="Verdana" w:hAnsi="Verdana" w:cs="EU Albertina"/>
          <w:color w:val="000000"/>
        </w:rPr>
      </w:pPr>
      <w:r>
        <w:rPr>
          <w:rFonts w:ascii="Verdana" w:hAnsi="Verdana"/>
        </w:rPr>
        <w:lastRenderedPageBreak/>
        <w:t xml:space="preserve">Los productores de productos plásticos de un solo uso previstos en el presente Decreto-Ley deberán introducir y presentar datos en el sistema electrónico integrado de registro de residuos (SIRER), según lo dispuesto en los artículos 97, 98 y 99 del GSWM, informando a APA, I. P. del tipo y la cantidad de productos comercializados, sin perjuicio de otra información específica en el caso de un producto que entre en un flujo específico de residuos, y </w:t>
      </w:r>
      <w:r>
        <w:rPr>
          <w:rFonts w:ascii="Verdana" w:hAnsi="Verdana"/>
          <w:color w:val="000000"/>
        </w:rPr>
        <w:t>de conformidad con lo dispuesto en el Reglamento SIRER</w:t>
      </w:r>
      <w:r>
        <w:rPr>
          <w:rFonts w:ascii="Verdana" w:hAnsi="Verdana"/>
        </w:rPr>
        <w:t>.</w:t>
      </w:r>
    </w:p>
    <w:p w14:paraId="564433F5" w14:textId="77777777" w:rsidR="001D4FEE" w:rsidRPr="006B0045" w:rsidRDefault="00655287" w:rsidP="00C525D6">
      <w:pPr>
        <w:pStyle w:val="ListParagraph"/>
        <w:numPr>
          <w:ilvl w:val="0"/>
          <w:numId w:val="47"/>
        </w:numPr>
        <w:ind w:left="709"/>
        <w:jc w:val="both"/>
        <w:rPr>
          <w:rFonts w:ascii="Verdana" w:hAnsi="Verdana"/>
        </w:rPr>
      </w:pPr>
      <w:r>
        <w:rPr>
          <w:rFonts w:ascii="Verdana" w:hAnsi="Verdana"/>
        </w:rPr>
        <w:t>A efectos de la presentación de los datos previstos en el apartado 31, los productores de productos o sus representantes autorizados presentarán anualmente, a más tardar el 31 de marzo del año (</w:t>
      </w:r>
      <w:r>
        <w:rPr>
          <w:rFonts w:ascii="Verdana" w:hAnsi="Verdana"/>
          <w:i/>
          <w:iCs/>
        </w:rPr>
        <w:t>n</w:t>
      </w:r>
      <w:r>
        <w:rPr>
          <w:rFonts w:ascii="Verdana" w:hAnsi="Verdana"/>
        </w:rPr>
        <w:t>):</w:t>
      </w:r>
    </w:p>
    <w:p w14:paraId="3535B3DD" w14:textId="77777777" w:rsidR="001D4FEE" w:rsidRPr="008855C2" w:rsidRDefault="00655287" w:rsidP="00C525D6">
      <w:pPr>
        <w:pStyle w:val="ListParagraph"/>
        <w:numPr>
          <w:ilvl w:val="0"/>
          <w:numId w:val="48"/>
        </w:numPr>
        <w:ind w:left="1134"/>
        <w:jc w:val="both"/>
        <w:rPr>
          <w:rFonts w:ascii="Verdana" w:hAnsi="Verdana"/>
        </w:rPr>
      </w:pPr>
      <w:r>
        <w:rPr>
          <w:rFonts w:ascii="Verdana" w:hAnsi="Verdana"/>
        </w:rPr>
        <w:t>Una declaración de corrección del año anterior (</w:t>
      </w:r>
      <w:r>
        <w:rPr>
          <w:rFonts w:ascii="Verdana" w:hAnsi="Verdana"/>
          <w:i/>
          <w:iCs/>
        </w:rPr>
        <w:t>n-1</w:t>
      </w:r>
      <w:r>
        <w:rPr>
          <w:rFonts w:ascii="Verdana" w:hAnsi="Verdana"/>
        </w:rPr>
        <w:t xml:space="preserve">) para comunicar información sobre las cantidades de productos comercializados en el año </w:t>
      </w:r>
      <w:r>
        <w:rPr>
          <w:rFonts w:ascii="Verdana" w:hAnsi="Verdana"/>
          <w:i/>
          <w:iCs/>
        </w:rPr>
        <w:t>n-1</w:t>
      </w:r>
      <w:r>
        <w:rPr>
          <w:rFonts w:ascii="Verdana" w:hAnsi="Verdana"/>
        </w:rPr>
        <w:t>;</w:t>
      </w:r>
    </w:p>
    <w:p w14:paraId="33716009" w14:textId="6841F9F4" w:rsidR="00655287" w:rsidRPr="008855C2" w:rsidRDefault="00655287" w:rsidP="00C525D6">
      <w:pPr>
        <w:pStyle w:val="ListParagraph"/>
        <w:numPr>
          <w:ilvl w:val="0"/>
          <w:numId w:val="48"/>
        </w:numPr>
        <w:ind w:left="1134" w:hanging="357"/>
        <w:jc w:val="both"/>
        <w:rPr>
          <w:rFonts w:ascii="Verdana" w:hAnsi="Verdana"/>
        </w:rPr>
      </w:pPr>
      <w:r>
        <w:rPr>
          <w:rFonts w:ascii="Verdana" w:hAnsi="Verdana"/>
        </w:rPr>
        <w:t xml:space="preserve">Una estimación anual n para comunicar información sobre las cantidades de productos que estiman comercializar en el año </w:t>
      </w:r>
      <w:r>
        <w:rPr>
          <w:rFonts w:ascii="Verdana" w:hAnsi="Verdana"/>
          <w:i/>
        </w:rPr>
        <w:t>n</w:t>
      </w:r>
      <w:r>
        <w:rPr>
          <w:rFonts w:ascii="Verdana" w:hAnsi="Verdana"/>
        </w:rPr>
        <w:t>.</w:t>
      </w:r>
    </w:p>
    <w:p w14:paraId="35305B8F" w14:textId="13A601C9" w:rsidR="00006B68" w:rsidRPr="006B0045" w:rsidRDefault="00006B68" w:rsidP="00C525D6">
      <w:pPr>
        <w:pStyle w:val="ListParagraph"/>
        <w:numPr>
          <w:ilvl w:val="0"/>
          <w:numId w:val="47"/>
        </w:numPr>
        <w:ind w:left="709"/>
        <w:jc w:val="both"/>
        <w:rPr>
          <w:rFonts w:ascii="Verdana" w:hAnsi="Verdana"/>
        </w:rPr>
      </w:pPr>
      <w:bookmarkStart w:id="52" w:name="_Hlk66371193"/>
      <w:r>
        <w:rPr>
          <w:rFonts w:ascii="Verdana" w:hAnsi="Verdana"/>
        </w:rPr>
        <w:t xml:space="preserve">Con el fin de medir el cumplimiento de las medidas previstas en este Decreto-Ley, APA, I.P. recoge la siguiente información de conformidad con la legislación o normativa específica: </w:t>
      </w:r>
    </w:p>
    <w:p w14:paraId="281594D3"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Datos sobre los vasos de bebidas y los envases alimentarios que se hayan comercializado con el fin de demostrar una reducción del consumo de conformidad con el artículo 7; </w:t>
      </w:r>
    </w:p>
    <w:p w14:paraId="5EFB3AEB"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Datos sobre botellas de plástico de un solo uso para bebidas con una capacidad de hasta tres litros, que se hayan recogido por separado, con el fin de demostrar el cumplimiento del objetivo de recogida separada establecido en el artículo 17; </w:t>
      </w:r>
    </w:p>
    <w:p w14:paraId="6710222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Datos sobre los artes de pesca que contengan plásticos comercializados y los residuos de artes de pesca recogidos anualmente;</w:t>
      </w:r>
    </w:p>
    <w:p w14:paraId="70FB621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Información sobre el contenido de material reciclado en las botellas de bebidas para demostrar el cumplimiento de los objetivos establecidos en el artículo 11;</w:t>
      </w:r>
    </w:p>
    <w:p w14:paraId="76EF45CD" w14:textId="24CC0CDA"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Datos sobre los residuos de productos del tabaco con filtros y filtros comercializados para utilizarse en combinación con productos del tabaco recogidos de conformidad con el artículo 15, apartado 3. </w:t>
      </w:r>
    </w:p>
    <w:p w14:paraId="626F4EE8" w14:textId="77777777" w:rsidR="00006B68" w:rsidRPr="008855C2" w:rsidRDefault="00006B68" w:rsidP="008855C2">
      <w:pPr>
        <w:pStyle w:val="ListParagraph"/>
        <w:ind w:left="709"/>
        <w:jc w:val="both"/>
        <w:rPr>
          <w:rFonts w:ascii="Verdana" w:hAnsi="Verdana"/>
        </w:rPr>
      </w:pPr>
    </w:p>
    <w:p w14:paraId="56B0C35B" w14:textId="472AB424" w:rsidR="00006B68" w:rsidRPr="006B0045" w:rsidRDefault="00006B68" w:rsidP="00C525D6">
      <w:pPr>
        <w:pStyle w:val="ListParagraph"/>
        <w:numPr>
          <w:ilvl w:val="0"/>
          <w:numId w:val="47"/>
        </w:numPr>
        <w:ind w:left="709"/>
        <w:jc w:val="both"/>
        <w:rPr>
          <w:rFonts w:ascii="Verdana" w:hAnsi="Verdana"/>
        </w:rPr>
      </w:pPr>
      <w:r>
        <w:rPr>
          <w:rFonts w:ascii="Verdana" w:hAnsi="Verdana"/>
        </w:rPr>
        <w:t>El primer período de información previsto en las letras a) a c) se referirá al año 2022.</w:t>
      </w:r>
    </w:p>
    <w:p w14:paraId="1748737B" w14:textId="270DC7A5" w:rsidR="00006B68" w:rsidRPr="006B0045" w:rsidRDefault="00006B68" w:rsidP="00C525D6">
      <w:pPr>
        <w:pStyle w:val="ListParagraph"/>
        <w:numPr>
          <w:ilvl w:val="0"/>
          <w:numId w:val="47"/>
        </w:numPr>
        <w:ind w:left="709"/>
        <w:jc w:val="both"/>
        <w:rPr>
          <w:rFonts w:ascii="Verdana" w:hAnsi="Verdana"/>
        </w:rPr>
      </w:pPr>
      <w:r>
        <w:rPr>
          <w:rFonts w:ascii="Verdana" w:hAnsi="Verdana"/>
        </w:rPr>
        <w:t>El primer período de información previsto en las letras d) y e) es para el año 2023.</w:t>
      </w:r>
    </w:p>
    <w:bookmarkEnd w:id="52"/>
    <w:p w14:paraId="4C26F6C4" w14:textId="76816B5C" w:rsidR="00B63641" w:rsidRPr="006B0045" w:rsidRDefault="00B63641" w:rsidP="00C525D6">
      <w:pPr>
        <w:pStyle w:val="ListParagraph"/>
        <w:numPr>
          <w:ilvl w:val="0"/>
          <w:numId w:val="47"/>
        </w:numPr>
        <w:ind w:left="709"/>
        <w:jc w:val="both"/>
        <w:rPr>
          <w:rFonts w:ascii="Verdana" w:hAnsi="Verdana"/>
        </w:rPr>
      </w:pPr>
      <w:r>
        <w:rPr>
          <w:rFonts w:ascii="Verdana" w:hAnsi="Verdana"/>
        </w:rPr>
        <w:lastRenderedPageBreak/>
        <w:t>La recogida y el tratamiento de los datos que resultan de las obligaciones previstas en el apartado anterior estarán sujetos a la legislación en materia de protección de datos personales.</w:t>
      </w:r>
    </w:p>
    <w:p w14:paraId="3D42586E" w14:textId="77777777" w:rsidR="00B63641" w:rsidRPr="003F6B93" w:rsidRDefault="00B63641" w:rsidP="008855C2">
      <w:pPr>
        <w:pStyle w:val="ListParagraph"/>
        <w:ind w:left="709"/>
        <w:jc w:val="both"/>
        <w:rPr>
          <w:rFonts w:ascii="Verdana" w:hAnsi="Verdana"/>
        </w:rPr>
      </w:pPr>
    </w:p>
    <w:p w14:paraId="1D7B605F" w14:textId="3BF02AFE" w:rsidR="006B0668" w:rsidRPr="003F6B93" w:rsidRDefault="00DD1E2B" w:rsidP="008855C2">
      <w:pPr>
        <w:pStyle w:val="Heading1"/>
        <w:tabs>
          <w:tab w:val="clear" w:pos="3969"/>
        </w:tabs>
      </w:pPr>
      <w:r>
        <w:br/>
        <w:t>Sistema de supervisión e infracciones administrativas</w:t>
      </w:r>
    </w:p>
    <w:p w14:paraId="504AC209" w14:textId="3D54499C" w:rsidR="006B0668" w:rsidRDefault="00AC3F76" w:rsidP="00AC3F76">
      <w:pPr>
        <w:pStyle w:val="Heading2"/>
        <w:numPr>
          <w:ilvl w:val="0"/>
          <w:numId w:val="0"/>
        </w:numPr>
        <w:tabs>
          <w:tab w:val="clear" w:pos="1701"/>
          <w:tab w:val="left" w:pos="1418"/>
        </w:tabs>
        <w:ind w:left="426"/>
      </w:pPr>
      <w:r>
        <w:t>Artículo 20</w:t>
      </w:r>
      <w:r>
        <w:br/>
        <w:t>Inspección y supervisión</w:t>
      </w:r>
    </w:p>
    <w:p w14:paraId="52BFFB6C" w14:textId="77777777" w:rsidR="00B82A72" w:rsidRPr="00B82A72" w:rsidRDefault="00B82A72" w:rsidP="00B82A72"/>
    <w:p w14:paraId="5F02C2E9" w14:textId="59F292EB" w:rsidR="006B0668" w:rsidRPr="00DD1E2B" w:rsidRDefault="006B0668" w:rsidP="00C525D6">
      <w:pPr>
        <w:pStyle w:val="ListParagraph"/>
        <w:numPr>
          <w:ilvl w:val="0"/>
          <w:numId w:val="50"/>
        </w:numPr>
        <w:ind w:left="709"/>
        <w:jc w:val="both"/>
        <w:rPr>
          <w:rFonts w:ascii="Verdana" w:hAnsi="Verdana"/>
        </w:rPr>
      </w:pPr>
      <w:r>
        <w:rPr>
          <w:rFonts w:ascii="Verdana" w:hAnsi="Verdana"/>
        </w:rPr>
        <w:t>El control del cumplimiento de las disposiciones del presente Decreto-Ley será responsabilidad de la Inspección General de Agricultura, Mar, Medio Ambiente y Ordenación del Territorio (IGAMAOT), la Autoridad de Seguridad Alimentaria y Económica (ASAE) y la Autoridad Fiscal y Aduanera (AT), así como las autoridades policiales de acuerdo con su competencia territorial.</w:t>
      </w:r>
    </w:p>
    <w:p w14:paraId="07FC5737" w14:textId="70AB462A" w:rsidR="006B0668" w:rsidRPr="001D278E" w:rsidRDefault="006B0668" w:rsidP="00C525D6">
      <w:pPr>
        <w:pStyle w:val="ListParagraph"/>
        <w:numPr>
          <w:ilvl w:val="0"/>
          <w:numId w:val="50"/>
        </w:numPr>
        <w:ind w:left="709"/>
        <w:jc w:val="both"/>
        <w:rPr>
          <w:rFonts w:ascii="Verdana" w:hAnsi="Verdana"/>
        </w:rPr>
      </w:pPr>
      <w:r>
        <w:rPr>
          <w:rFonts w:ascii="Verdana" w:hAnsi="Verdana"/>
        </w:rPr>
        <w:t>Las disposiciones del apartado anterior se entenderán sin perjuicio del ejercicio de las facultades de supervisión y policiales otorgadas a otras autoridades públicas.</w:t>
      </w:r>
    </w:p>
    <w:p w14:paraId="3BBF5192" w14:textId="77777777" w:rsidR="006B0668" w:rsidRDefault="006B0668" w:rsidP="006B0668">
      <w:pPr>
        <w:jc w:val="center"/>
        <w:rPr>
          <w:rFonts w:ascii="Verdana" w:hAnsi="Verdana"/>
        </w:rPr>
      </w:pPr>
    </w:p>
    <w:p w14:paraId="64B92E95" w14:textId="6598AC2D" w:rsidR="00D22B19" w:rsidRDefault="00AC3F76" w:rsidP="00AC3F76">
      <w:pPr>
        <w:pStyle w:val="Heading2"/>
        <w:numPr>
          <w:ilvl w:val="0"/>
          <w:numId w:val="0"/>
        </w:numPr>
        <w:tabs>
          <w:tab w:val="clear" w:pos="1701"/>
          <w:tab w:val="left" w:pos="1276"/>
        </w:tabs>
        <w:ind w:left="426"/>
      </w:pPr>
      <w:r>
        <w:t>Artículo 21</w:t>
      </w:r>
      <w:r>
        <w:br/>
        <w:t>Infracciones administrativas económicas</w:t>
      </w:r>
    </w:p>
    <w:p w14:paraId="0561408D" w14:textId="77777777" w:rsidR="00B82A72" w:rsidRPr="00B82A72" w:rsidRDefault="00B82A72" w:rsidP="00B82A72"/>
    <w:p w14:paraId="380E9DA4" w14:textId="2D1DBB67" w:rsidR="00D22B19" w:rsidRPr="001D278E" w:rsidRDefault="00757BC4" w:rsidP="00C525D6">
      <w:pPr>
        <w:pStyle w:val="ListParagraph"/>
        <w:numPr>
          <w:ilvl w:val="0"/>
          <w:numId w:val="51"/>
        </w:numPr>
        <w:ind w:left="709"/>
        <w:jc w:val="both"/>
        <w:rPr>
          <w:rFonts w:ascii="Verdana" w:hAnsi="Verdana"/>
        </w:rPr>
      </w:pPr>
      <w:r>
        <w:rPr>
          <w:rFonts w:ascii="Verdana" w:hAnsi="Verdana"/>
        </w:rPr>
        <w:t>Las infracciones administrativas económicas graves, sancionadas por el régimen jurídico de las infracciones administrativas económicas, aprobado por el Decreto-Ley n.º 9/2021, de 29 de enero, son las siguientes:</w:t>
      </w:r>
    </w:p>
    <w:p w14:paraId="5D42299A" w14:textId="4C05EAFA" w:rsidR="00757BC4" w:rsidRPr="001D278E" w:rsidRDefault="00757BC4" w:rsidP="00C525D6">
      <w:pPr>
        <w:pStyle w:val="ListParagraph"/>
        <w:numPr>
          <w:ilvl w:val="1"/>
          <w:numId w:val="52"/>
        </w:numPr>
        <w:spacing w:after="0"/>
        <w:ind w:left="1134"/>
        <w:jc w:val="both"/>
        <w:rPr>
          <w:rFonts w:ascii="Verdana" w:hAnsi="Verdana"/>
        </w:rPr>
      </w:pPr>
      <w:r>
        <w:rPr>
          <w:rFonts w:ascii="Verdana" w:hAnsi="Verdana"/>
        </w:rPr>
        <w:t xml:space="preserve">El incumplimiento del artículo 4, apartado 1; </w:t>
      </w:r>
    </w:p>
    <w:p w14:paraId="423006AE" w14:textId="3B2478D6" w:rsidR="00B94B1F" w:rsidRPr="001D278E" w:rsidRDefault="00B94B1F" w:rsidP="00C525D6">
      <w:pPr>
        <w:pStyle w:val="ListParagraph"/>
        <w:numPr>
          <w:ilvl w:val="1"/>
          <w:numId w:val="52"/>
        </w:numPr>
        <w:spacing w:after="0"/>
        <w:ind w:left="1134"/>
        <w:jc w:val="both"/>
        <w:rPr>
          <w:rFonts w:ascii="Verdana" w:hAnsi="Verdana"/>
        </w:rPr>
      </w:pPr>
      <w:r>
        <w:rPr>
          <w:rFonts w:ascii="Verdana" w:hAnsi="Verdana"/>
        </w:rPr>
        <w:t xml:space="preserve">El incumplimiento del artículo 4, apartado 2; </w:t>
      </w:r>
    </w:p>
    <w:p w14:paraId="013C6DC8" w14:textId="0AD0363E"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El incumplimiento del artículo 5, apartado 1; </w:t>
      </w:r>
    </w:p>
    <w:p w14:paraId="70BD8DE9" w14:textId="49FB245A"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El incumplimiento del artículo 5, apartado 2, por parte de las entidades que lleven a cabo las actividades previstas en el mismo; </w:t>
      </w:r>
    </w:p>
    <w:p w14:paraId="79B7025C" w14:textId="52342E57" w:rsidR="007D2095" w:rsidRPr="001D278E" w:rsidRDefault="007D2095" w:rsidP="00C525D6">
      <w:pPr>
        <w:pStyle w:val="ListParagraph"/>
        <w:numPr>
          <w:ilvl w:val="1"/>
          <w:numId w:val="52"/>
        </w:numPr>
        <w:spacing w:after="0"/>
        <w:ind w:left="1134"/>
        <w:jc w:val="both"/>
        <w:rPr>
          <w:rFonts w:ascii="Verdana" w:hAnsi="Verdana"/>
        </w:rPr>
      </w:pPr>
      <w:r>
        <w:t>El incumplimiento de las medidas establecidas en el artículo 8, apartados 1, 2, 5 y 6;</w:t>
      </w:r>
    </w:p>
    <w:p w14:paraId="2A1AD62E" w14:textId="24C37A57" w:rsidR="006802F6" w:rsidRPr="001D278E" w:rsidRDefault="006802F6" w:rsidP="00C525D6">
      <w:pPr>
        <w:pStyle w:val="ListParagraph"/>
        <w:numPr>
          <w:ilvl w:val="1"/>
          <w:numId w:val="52"/>
        </w:numPr>
        <w:spacing w:after="0"/>
        <w:ind w:left="1134"/>
        <w:jc w:val="both"/>
        <w:rPr>
          <w:rFonts w:ascii="Verdana" w:hAnsi="Verdana"/>
        </w:rPr>
      </w:pPr>
      <w:r>
        <w:rPr>
          <w:rFonts w:ascii="Verdana" w:hAnsi="Verdana"/>
        </w:rPr>
        <w:lastRenderedPageBreak/>
        <w:t>El incumplimiento por el productor de la obligación de nombrar a un representante autorizado, de conformidad con el artículo 20, apartado 3;</w:t>
      </w:r>
    </w:p>
    <w:p w14:paraId="597A0744" w14:textId="1E4E2581" w:rsidR="00D22B19" w:rsidRPr="001D278E" w:rsidRDefault="00D22B19" w:rsidP="00C525D6">
      <w:pPr>
        <w:pStyle w:val="ListParagraph"/>
        <w:numPr>
          <w:ilvl w:val="0"/>
          <w:numId w:val="51"/>
        </w:numPr>
        <w:ind w:left="709"/>
        <w:jc w:val="both"/>
        <w:rPr>
          <w:rFonts w:ascii="Verdana" w:hAnsi="Verdana"/>
        </w:rPr>
      </w:pPr>
      <w:r>
        <w:rPr>
          <w:rFonts w:ascii="Verdana" w:hAnsi="Verdana"/>
        </w:rPr>
        <w:t xml:space="preserve">2. Los intentos de cometer un delito y la negligencia son punibles y los límites mínimos y máximos de la multa se reducirán a la mitad. </w:t>
      </w:r>
    </w:p>
    <w:p w14:paraId="46A43068" w14:textId="77777777" w:rsidR="00D22B19" w:rsidRDefault="00D22B19" w:rsidP="00FB0A52">
      <w:pPr>
        <w:rPr>
          <w:rFonts w:ascii="Verdana" w:hAnsi="Verdana"/>
        </w:rPr>
      </w:pPr>
    </w:p>
    <w:p w14:paraId="62AA6CC8" w14:textId="51D77CD8" w:rsidR="002B3376" w:rsidRDefault="00AC3F76" w:rsidP="00AC3F76">
      <w:pPr>
        <w:pStyle w:val="Heading2"/>
        <w:numPr>
          <w:ilvl w:val="0"/>
          <w:numId w:val="0"/>
        </w:numPr>
        <w:ind w:left="426"/>
      </w:pPr>
      <w:r>
        <w:t>Artículo 22</w:t>
      </w:r>
      <w:r>
        <w:br/>
        <w:t>Producto de las multas</w:t>
      </w:r>
    </w:p>
    <w:p w14:paraId="418208D4" w14:textId="77777777" w:rsidR="00B82A72" w:rsidRPr="00B82A72" w:rsidRDefault="00B82A72" w:rsidP="00B82A72"/>
    <w:p w14:paraId="49DD38B3" w14:textId="5F90344D" w:rsidR="008B1B8C" w:rsidRPr="00D22B19" w:rsidRDefault="00D22B19" w:rsidP="00B82A72">
      <w:pPr>
        <w:jc w:val="both"/>
        <w:rPr>
          <w:rFonts w:ascii="Verdana" w:hAnsi="Verdana"/>
        </w:rPr>
      </w:pPr>
      <w:r>
        <w:rPr>
          <w:rFonts w:ascii="Verdana" w:hAnsi="Verdana"/>
        </w:rPr>
        <w:t xml:space="preserve">El producto de las multas previstas en el artículo anterior se asignará de conformidad con el </w:t>
      </w:r>
      <w:r>
        <w:rPr>
          <w:rFonts w:ascii="Verdana" w:hAnsi="Verdana"/>
          <w:color w:val="000000" w:themeColor="text1"/>
          <w:shd w:val="clear" w:color="auto" w:fill="FFFFFF"/>
        </w:rPr>
        <w:t>Régimen Jurídico de Infracciones Administrativas Económicas</w:t>
      </w:r>
      <w:r>
        <w:rPr>
          <w:rFonts w:ascii="Verdana" w:hAnsi="Verdana"/>
        </w:rPr>
        <w:t xml:space="preserve">. </w:t>
      </w:r>
    </w:p>
    <w:p w14:paraId="7BB9EBFC" w14:textId="77777777" w:rsidR="002B3376" w:rsidRPr="00D22B19" w:rsidRDefault="002B3376" w:rsidP="00FB0A52"/>
    <w:p w14:paraId="29AD576B" w14:textId="0B7D8431" w:rsidR="004551A4" w:rsidRDefault="00AC3F76" w:rsidP="00AC3F76">
      <w:pPr>
        <w:pStyle w:val="Heading2"/>
        <w:numPr>
          <w:ilvl w:val="0"/>
          <w:numId w:val="0"/>
        </w:numPr>
        <w:tabs>
          <w:tab w:val="clear" w:pos="1701"/>
        </w:tabs>
        <w:ind w:left="426"/>
      </w:pPr>
      <w:r>
        <w:t>Artículo 23</w:t>
      </w:r>
      <w:r>
        <w:br/>
        <w:t>Infracciones administrativas ambientales</w:t>
      </w:r>
    </w:p>
    <w:p w14:paraId="37B492A3" w14:textId="77777777" w:rsidR="002B3376" w:rsidRPr="002B3376" w:rsidRDefault="002B3376" w:rsidP="002B3376"/>
    <w:p w14:paraId="04444803" w14:textId="3745F447" w:rsidR="004551A4" w:rsidRPr="001D278E" w:rsidRDefault="004551A4" w:rsidP="00C525D6">
      <w:pPr>
        <w:pStyle w:val="ListParagraph"/>
        <w:numPr>
          <w:ilvl w:val="0"/>
          <w:numId w:val="53"/>
        </w:numPr>
        <w:ind w:left="709"/>
        <w:jc w:val="both"/>
        <w:rPr>
          <w:rFonts w:ascii="Verdana" w:hAnsi="Verdana"/>
        </w:rPr>
      </w:pPr>
      <w:r>
        <w:t xml:space="preserve">Lo siguiente constituye una infracción administrativa ambiental muy grave, punible en virtud de la Ley marco de infracciones administrativas ambientales, aprobada en el anexo de la </w:t>
      </w:r>
      <w:hyperlink r:id="rId8" w:tgtFrame="_blank" w:tooltip="Ley n.º 50/2006" w:history="1">
        <w:r>
          <w:rPr>
            <w:rFonts w:ascii="Verdana" w:hAnsi="Verdana"/>
          </w:rPr>
          <w:t>Ley n.º 50/2006,</w:t>
        </w:r>
      </w:hyperlink>
      <w:r>
        <w:t xml:space="preserve"> de 29 de agosto, en su redacción actual:</w:t>
      </w:r>
    </w:p>
    <w:p w14:paraId="1FC85153" w14:textId="734444EC" w:rsidR="00DD1E2B" w:rsidRPr="001D278E" w:rsidRDefault="005630B1" w:rsidP="00C525D6">
      <w:pPr>
        <w:pStyle w:val="ListParagraph"/>
        <w:numPr>
          <w:ilvl w:val="1"/>
          <w:numId w:val="54"/>
        </w:numPr>
        <w:spacing w:after="0"/>
        <w:ind w:left="1134"/>
        <w:jc w:val="both"/>
        <w:rPr>
          <w:rFonts w:ascii="Verdana" w:hAnsi="Verdana"/>
        </w:rPr>
      </w:pPr>
      <w:r>
        <w:rPr>
          <w:rFonts w:ascii="Verdana" w:hAnsi="Verdana"/>
        </w:rPr>
        <w:t>El incumplimiento de la incorporación de plástico reciclado en las botellas de bebidas, contemplada en el artículo 11, apartado 5;</w:t>
      </w:r>
    </w:p>
    <w:p w14:paraId="379602CA" w14:textId="7B93E60C" w:rsidR="004551A4" w:rsidRPr="001D278E" w:rsidRDefault="004551A4" w:rsidP="00C525D6">
      <w:pPr>
        <w:pStyle w:val="ListParagraph"/>
        <w:numPr>
          <w:ilvl w:val="0"/>
          <w:numId w:val="53"/>
        </w:numPr>
        <w:ind w:left="709"/>
        <w:jc w:val="both"/>
        <w:rPr>
          <w:rFonts w:ascii="Verdana" w:hAnsi="Verdana"/>
        </w:rPr>
      </w:pPr>
      <w:r>
        <w:t xml:space="preserve">Las infracciones administrativas ambientales graves, sancionadas en virtud de la Ley marco de infracciones administrativas ambientales, adoptada en el anexo de la Ley n.º 50/2006, de 29 de agosto, </w:t>
      </w:r>
      <w:hyperlink r:id="rId9" w:tgtFrame="_blank" w:tooltip="Ley n.º 50/2006" w:history="1">
        <w:proofErr w:type="spellStart"/>
        <w:r>
          <w:rPr>
            <w:rFonts w:ascii="Verdana" w:hAnsi="Verdana"/>
          </w:rPr>
          <w:t>Lei</w:t>
        </w:r>
        <w:proofErr w:type="spellEnd"/>
        <w:r>
          <w:rPr>
            <w:rFonts w:ascii="Verdana" w:hAnsi="Verdana"/>
          </w:rPr>
          <w:t xml:space="preserve"> n.º 50/2006</w:t>
        </w:r>
      </w:hyperlink>
      <w:r>
        <w:t xml:space="preserve"> en su redacción actual:</w:t>
      </w:r>
    </w:p>
    <w:p w14:paraId="0E19D986" w14:textId="3A86DB1E" w:rsidR="005630B1" w:rsidRPr="001D278E" w:rsidRDefault="009E11DC" w:rsidP="00C525D6">
      <w:pPr>
        <w:pStyle w:val="ListParagraph"/>
        <w:numPr>
          <w:ilvl w:val="1"/>
          <w:numId w:val="55"/>
        </w:numPr>
        <w:spacing w:after="0"/>
        <w:ind w:left="1134"/>
        <w:jc w:val="both"/>
        <w:rPr>
          <w:rFonts w:ascii="Verdana" w:hAnsi="Verdana"/>
        </w:rPr>
      </w:pPr>
      <w:r>
        <w:rPr>
          <w:rFonts w:ascii="Verdana" w:hAnsi="Verdana"/>
        </w:rPr>
        <w:t>La comercialización de envases de bebidas que no cumplan los requisitos de diseño establecidos en el artículo 10, apartado 1;</w:t>
      </w:r>
    </w:p>
    <w:p w14:paraId="59E5084D" w14:textId="6290E616" w:rsidR="00950E5B" w:rsidRPr="001D278E" w:rsidRDefault="009E11DC" w:rsidP="00C525D6">
      <w:pPr>
        <w:pStyle w:val="ListParagraph"/>
        <w:numPr>
          <w:ilvl w:val="1"/>
          <w:numId w:val="55"/>
        </w:numPr>
        <w:spacing w:after="0"/>
        <w:ind w:left="1134"/>
        <w:jc w:val="both"/>
        <w:rPr>
          <w:rFonts w:ascii="Verdana" w:hAnsi="Verdana"/>
        </w:rPr>
      </w:pPr>
      <w:r>
        <w:rPr>
          <w:rFonts w:ascii="Verdana" w:hAnsi="Verdana"/>
        </w:rPr>
        <w:t xml:space="preserve">El incumplimiento de los requisitos de marcado establecidos en el artículo 12, apartado 2; </w:t>
      </w:r>
    </w:p>
    <w:p w14:paraId="2C12473B" w14:textId="2C68299B" w:rsidR="005630B1" w:rsidRPr="001D278E" w:rsidRDefault="00950E5B" w:rsidP="00C525D6">
      <w:pPr>
        <w:pStyle w:val="ListParagraph"/>
        <w:numPr>
          <w:ilvl w:val="1"/>
          <w:numId w:val="55"/>
        </w:numPr>
        <w:spacing w:after="0"/>
        <w:ind w:left="1134"/>
        <w:jc w:val="both"/>
        <w:rPr>
          <w:rFonts w:ascii="Verdana" w:hAnsi="Verdana"/>
        </w:rPr>
      </w:pPr>
      <w:r>
        <w:rPr>
          <w:rFonts w:ascii="Verdana" w:hAnsi="Verdana"/>
        </w:rPr>
        <w:t>El incumplimiento de las normas sobre las especificaciones de marcado previstas en el Reglamento de Ejecución (UE) 2020/2151 de la Comisión, de 17 de diciembre de 2020.</w:t>
      </w:r>
    </w:p>
    <w:p w14:paraId="56FB7032" w14:textId="5E0C55B6" w:rsidR="00C64656" w:rsidRPr="001D278E" w:rsidRDefault="00C64656" w:rsidP="00C525D6">
      <w:pPr>
        <w:pStyle w:val="ListParagraph"/>
        <w:numPr>
          <w:ilvl w:val="1"/>
          <w:numId w:val="55"/>
        </w:numPr>
        <w:spacing w:after="0"/>
        <w:ind w:left="1134"/>
        <w:jc w:val="both"/>
        <w:rPr>
          <w:rFonts w:ascii="Verdana" w:hAnsi="Verdana"/>
        </w:rPr>
      </w:pPr>
      <w:r>
        <w:rPr>
          <w:rFonts w:ascii="Verdana" w:hAnsi="Verdana"/>
        </w:rPr>
        <w:t xml:space="preserve">El incumplimiento por parte de los productores de la obligación establecida en el artículo 18, apartado 5; </w:t>
      </w:r>
    </w:p>
    <w:p w14:paraId="0B1C9F8F" w14:textId="4F3555FB" w:rsidR="004551A4" w:rsidRPr="001D278E" w:rsidRDefault="00881A44" w:rsidP="00C525D6">
      <w:pPr>
        <w:pStyle w:val="ListParagraph"/>
        <w:numPr>
          <w:ilvl w:val="1"/>
          <w:numId w:val="55"/>
        </w:numPr>
        <w:spacing w:after="0"/>
        <w:ind w:left="1134"/>
        <w:jc w:val="both"/>
        <w:rPr>
          <w:rFonts w:ascii="Verdana" w:hAnsi="Verdana"/>
        </w:rPr>
      </w:pPr>
      <w:r>
        <w:rPr>
          <w:rFonts w:ascii="Verdana" w:hAnsi="Verdana"/>
        </w:rPr>
        <w:t xml:space="preserve">El incumplimiento por parte de los productores, o por parte de los productores a través de asociaciones, de la obligación de enviar el </w:t>
      </w:r>
      <w:r>
        <w:rPr>
          <w:rFonts w:ascii="Verdana" w:hAnsi="Verdana"/>
        </w:rPr>
        <w:lastRenderedPageBreak/>
        <w:t>informe contemplado en el artículo 18, apartado 6, de conformidad con el procedimiento establecido en el mismo;</w:t>
      </w:r>
    </w:p>
    <w:p w14:paraId="358BC049" w14:textId="74925ACB"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El incumplimiento del artículo 18, apartado 7, por parte de los agentes económicos mencionados en las normas de que se trate; </w:t>
      </w:r>
    </w:p>
    <w:p w14:paraId="009DF47A" w14:textId="3217E37E"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El incumplimiento del artículo 18, apartado 8, por parte de los agentes económicos mencionados en el apartado 7 del artículo. </w:t>
      </w:r>
    </w:p>
    <w:p w14:paraId="53B1C166" w14:textId="77777777" w:rsidR="005630B1" w:rsidRPr="001D278E" w:rsidRDefault="004551A4" w:rsidP="00C525D6">
      <w:pPr>
        <w:pStyle w:val="ListParagraph"/>
        <w:numPr>
          <w:ilvl w:val="0"/>
          <w:numId w:val="53"/>
        </w:numPr>
        <w:ind w:left="709"/>
        <w:jc w:val="both"/>
        <w:rPr>
          <w:rFonts w:ascii="Verdana" w:hAnsi="Verdana"/>
        </w:rPr>
      </w:pPr>
      <w:r>
        <w:t xml:space="preserve">Los siguientes delitos administrativos ambientales, sancionados en virtud de la Ley marco de delitos administrativos ambientales, aprobada en un anexo de la </w:t>
      </w:r>
      <w:hyperlink r:id="rId10" w:tgtFrame="_blank" w:tooltip="Ley n.º 50/2006" w:history="1">
        <w:r>
          <w:rPr>
            <w:rFonts w:ascii="Verdana" w:hAnsi="Verdana"/>
          </w:rPr>
          <w:t>Ley n.º 50/2006</w:t>
        </w:r>
      </w:hyperlink>
      <w:r>
        <w:t>, de 29 de agosto, en su redacción actual:</w:t>
      </w:r>
    </w:p>
    <w:p w14:paraId="4F6BA6A5" w14:textId="6BD7D22D" w:rsidR="006E6B90" w:rsidRPr="001D278E" w:rsidRDefault="006E6B90" w:rsidP="00C525D6">
      <w:pPr>
        <w:pStyle w:val="ListParagraph"/>
        <w:numPr>
          <w:ilvl w:val="1"/>
          <w:numId w:val="55"/>
        </w:numPr>
        <w:spacing w:after="0"/>
        <w:ind w:left="1134"/>
        <w:jc w:val="both"/>
        <w:rPr>
          <w:rFonts w:ascii="Verdana" w:hAnsi="Verdana"/>
        </w:rPr>
      </w:pPr>
      <w:r>
        <w:rPr>
          <w:rFonts w:ascii="Verdana" w:hAnsi="Verdana"/>
        </w:rPr>
        <w:t>El incumplimiento de las obligaciones del representante autorizado de conformidad con el artículo 16, apartado 4.</w:t>
      </w:r>
    </w:p>
    <w:p w14:paraId="50F93058" w14:textId="691E101E" w:rsidR="009D112F" w:rsidRPr="001D278E" w:rsidRDefault="009D112F" w:rsidP="00C525D6">
      <w:pPr>
        <w:pStyle w:val="ListParagraph"/>
        <w:numPr>
          <w:ilvl w:val="0"/>
          <w:numId w:val="53"/>
        </w:numPr>
        <w:ind w:left="709"/>
        <w:jc w:val="both"/>
        <w:rPr>
          <w:rFonts w:ascii="Verdana" w:hAnsi="Verdana"/>
        </w:rPr>
      </w:pPr>
      <w:r>
        <w:rPr>
          <w:rFonts w:ascii="Verdana" w:hAnsi="Verdana"/>
        </w:rPr>
        <w:t>La negligencia es punible de conformidad con la Ley marco sobre infracciones administrativas ambientales.</w:t>
      </w:r>
    </w:p>
    <w:p w14:paraId="02C0935D" w14:textId="0366A113" w:rsidR="009D112F" w:rsidRPr="001D278E" w:rsidRDefault="009D112F" w:rsidP="00C525D6">
      <w:pPr>
        <w:pStyle w:val="ListParagraph"/>
        <w:numPr>
          <w:ilvl w:val="0"/>
          <w:numId w:val="53"/>
        </w:numPr>
        <w:ind w:left="709"/>
        <w:jc w:val="both"/>
        <w:rPr>
          <w:rFonts w:ascii="Verdana" w:hAnsi="Verdana"/>
        </w:rPr>
      </w:pPr>
      <w:r>
        <w:rPr>
          <w:rFonts w:ascii="Verdana" w:hAnsi="Verdana"/>
        </w:rPr>
        <w:t>El producto de las multas previstas en el presente artículo se dividirá de conformidad con el artículo 73 de la Ley marco sobre infracciones administrativas ambientales.</w:t>
      </w:r>
    </w:p>
    <w:p w14:paraId="1E162BA3" w14:textId="7D85120F" w:rsidR="009D112F" w:rsidRPr="001D278E" w:rsidRDefault="009D112F" w:rsidP="00C525D6">
      <w:pPr>
        <w:pStyle w:val="ListParagraph"/>
        <w:numPr>
          <w:ilvl w:val="0"/>
          <w:numId w:val="53"/>
        </w:numPr>
        <w:ind w:left="709"/>
        <w:jc w:val="both"/>
        <w:rPr>
          <w:rFonts w:ascii="Verdana" w:hAnsi="Verdana"/>
        </w:rPr>
      </w:pPr>
      <w:r>
        <w:t>La condena por las infracciones muy graves y graves previstas en los apartados 1 y 2 podrá anunciarse cuando la medida específica de la multa impuesta supere la mitad del importe máximo de la multa que sea aplicable de forma abstracta, de conformidad con las disposiciones de la Ley marco sobre infracciones administrativas ambientales.</w:t>
      </w:r>
    </w:p>
    <w:p w14:paraId="69198DB2" w14:textId="77777777" w:rsidR="009D112F" w:rsidRPr="009D112F" w:rsidRDefault="009D112F" w:rsidP="009D112F">
      <w:pPr>
        <w:jc w:val="both"/>
        <w:rPr>
          <w:rFonts w:ascii="Verdana" w:hAnsi="Verdana"/>
          <w:color w:val="000000" w:themeColor="text1"/>
        </w:rPr>
      </w:pPr>
    </w:p>
    <w:p w14:paraId="14D75E23" w14:textId="5FC68CFC" w:rsidR="009D112F" w:rsidRPr="009D112F" w:rsidRDefault="00AC3F76" w:rsidP="00AC3F76">
      <w:pPr>
        <w:pStyle w:val="Heading2"/>
        <w:numPr>
          <w:ilvl w:val="0"/>
          <w:numId w:val="0"/>
        </w:numPr>
        <w:tabs>
          <w:tab w:val="clear" w:pos="1701"/>
          <w:tab w:val="left" w:pos="1418"/>
        </w:tabs>
        <w:ind w:left="426"/>
      </w:pPr>
      <w:r>
        <w:t>Artículo 24</w:t>
      </w:r>
      <w:r>
        <w:br/>
        <w:t>Procesos de investigación y decisión</w:t>
      </w:r>
    </w:p>
    <w:p w14:paraId="2543265B" w14:textId="07ACC442" w:rsidR="009D112F" w:rsidRPr="009D112F" w:rsidRDefault="009D112F" w:rsidP="00C525D6">
      <w:pPr>
        <w:pStyle w:val="ListParagraph"/>
        <w:numPr>
          <w:ilvl w:val="0"/>
          <w:numId w:val="56"/>
        </w:numPr>
        <w:ind w:left="709"/>
        <w:jc w:val="both"/>
        <w:rPr>
          <w:rFonts w:ascii="Verdana" w:hAnsi="Verdana"/>
        </w:rPr>
      </w:pPr>
      <w:r>
        <w:rPr>
          <w:rFonts w:ascii="Verdana" w:hAnsi="Verdana"/>
        </w:rPr>
        <w:t>1 – Corresponde a IGAMAOT [Inspección General de Agricultura, Mar, Medio Ambiente y Ordenación Espacial], a la ASAE [Autoridad de Seguridad Alimentaria y Económica] y a la AT [Autoridad Fiscal y Aduanera], en el ámbito de sus respectivas competencias, incoar un procedimiento de infracción administrativa en el ámbito del presente Decreto-Ley, así como la aplicación de las correspondientes multas y sanciones accesorias previstas en el apartado 6 del artículo 90.</w:t>
      </w:r>
    </w:p>
    <w:p w14:paraId="0E4A6ED5" w14:textId="09F1BE0B" w:rsidR="00A172F1" w:rsidRPr="009D112F" w:rsidRDefault="009D112F" w:rsidP="00C525D6">
      <w:pPr>
        <w:pStyle w:val="ListParagraph"/>
        <w:numPr>
          <w:ilvl w:val="0"/>
          <w:numId w:val="56"/>
        </w:numPr>
        <w:ind w:left="709"/>
        <w:jc w:val="both"/>
        <w:rPr>
          <w:rFonts w:ascii="Verdana" w:hAnsi="Verdana"/>
        </w:rPr>
      </w:pPr>
      <w:r>
        <w:rPr>
          <w:rFonts w:ascii="Verdana" w:hAnsi="Verdana"/>
        </w:rPr>
        <w:t>Cuando la entidad de tratamiento no esté facultada para investigar el caso, IGAMAOT investigará y decidirá en el caso de las infracciones administrativas ambientales previstas en el artículo 23 e informará a las entidades de tratamiento sobre las decisiones.</w:t>
      </w:r>
    </w:p>
    <w:p w14:paraId="162FCAEC" w14:textId="77777777" w:rsidR="009D112F" w:rsidRDefault="009D112F" w:rsidP="009D112F">
      <w:pPr>
        <w:jc w:val="both"/>
        <w:rPr>
          <w:rFonts w:ascii="Verdana" w:hAnsi="Verdana"/>
        </w:rPr>
      </w:pPr>
    </w:p>
    <w:p w14:paraId="43E0AE39" w14:textId="7815CD5A" w:rsidR="009D112F" w:rsidRPr="009D112F" w:rsidRDefault="00AC3F76" w:rsidP="00AC3F76">
      <w:pPr>
        <w:pStyle w:val="Heading2"/>
        <w:numPr>
          <w:ilvl w:val="0"/>
          <w:numId w:val="0"/>
        </w:numPr>
        <w:tabs>
          <w:tab w:val="clear" w:pos="1701"/>
          <w:tab w:val="left" w:pos="1418"/>
        </w:tabs>
        <w:ind w:left="426"/>
      </w:pPr>
      <w:r>
        <w:lastRenderedPageBreak/>
        <w:t>Artículo 25</w:t>
      </w:r>
      <w:r>
        <w:br/>
        <w:t>Incautación cautelar</w:t>
      </w:r>
    </w:p>
    <w:p w14:paraId="0BE9E5AF" w14:textId="3FC2B62D" w:rsidR="009D112F" w:rsidRDefault="009D112F" w:rsidP="009D112F">
      <w:pPr>
        <w:jc w:val="both"/>
        <w:rPr>
          <w:rFonts w:ascii="Verdana" w:hAnsi="Verdana"/>
        </w:rPr>
      </w:pPr>
      <w:r>
        <w:rPr>
          <w:rFonts w:ascii="Verdana" w:hAnsi="Verdana"/>
        </w:rPr>
        <w:t xml:space="preserve">Cuando sea necesario, la autoridad competente podrá determinar la incautación provisional de activos y documentos con arreglo al artículo 42 de la Ley marco sobre infracciones administrativas ambientales, o la incautación de objetos de conformidad con el régimen jurídico de infracciones administrativas económicas. </w:t>
      </w:r>
    </w:p>
    <w:p w14:paraId="40F71398" w14:textId="77777777" w:rsidR="009D112F" w:rsidRPr="003F6B93" w:rsidRDefault="009D112F" w:rsidP="009D112F">
      <w:pPr>
        <w:jc w:val="both"/>
        <w:rPr>
          <w:rFonts w:ascii="Verdana" w:hAnsi="Verdana"/>
        </w:rPr>
      </w:pPr>
    </w:p>
    <w:p w14:paraId="588A90F5" w14:textId="50AF98BA" w:rsidR="00A172F1" w:rsidRPr="003F6B93" w:rsidRDefault="00DD1E2B" w:rsidP="001E4779">
      <w:pPr>
        <w:pStyle w:val="Heading1"/>
        <w:tabs>
          <w:tab w:val="clear" w:pos="3969"/>
          <w:tab w:val="left" w:pos="2410"/>
        </w:tabs>
      </w:pPr>
      <w:r>
        <w:br/>
        <w:t xml:space="preserve">Enmiendas legislativas </w:t>
      </w:r>
    </w:p>
    <w:p w14:paraId="3E28DF84" w14:textId="6C30B52E" w:rsidR="008B4B7F" w:rsidRPr="00007109" w:rsidRDefault="008B4B7F" w:rsidP="00A172F1">
      <w:pPr>
        <w:jc w:val="both"/>
        <w:rPr>
          <w:rFonts w:ascii="Verdana" w:hAnsi="Verdana"/>
        </w:rPr>
      </w:pPr>
    </w:p>
    <w:p w14:paraId="1E8AFD6F" w14:textId="4E66953E" w:rsidR="00054EAE" w:rsidRDefault="00AC3F76" w:rsidP="00AC3F76">
      <w:pPr>
        <w:pStyle w:val="Heading2"/>
        <w:numPr>
          <w:ilvl w:val="0"/>
          <w:numId w:val="0"/>
        </w:numPr>
        <w:tabs>
          <w:tab w:val="clear" w:pos="1701"/>
          <w:tab w:val="left" w:pos="1560"/>
        </w:tabs>
        <w:ind w:left="426"/>
      </w:pPr>
      <w:r>
        <w:t>Artículo 26</w:t>
      </w:r>
      <w:r>
        <w:br/>
        <w:t>Enmienda de la Ley n.º 77/2019 de 2 de septiembre</w:t>
      </w:r>
    </w:p>
    <w:p w14:paraId="5E323956" w14:textId="77777777" w:rsidR="00A76322" w:rsidRPr="00007109" w:rsidRDefault="00A76322" w:rsidP="00007109">
      <w:pPr>
        <w:jc w:val="both"/>
        <w:rPr>
          <w:rFonts w:ascii="Verdana" w:hAnsi="Verdana"/>
        </w:rPr>
      </w:pPr>
    </w:p>
    <w:p w14:paraId="55295FC4" w14:textId="1EB7775E" w:rsidR="00054EAE" w:rsidRPr="00007109" w:rsidRDefault="00054EAE" w:rsidP="00007109">
      <w:pPr>
        <w:jc w:val="both"/>
        <w:rPr>
          <w:rFonts w:ascii="Verdana" w:hAnsi="Verdana"/>
        </w:rPr>
      </w:pPr>
      <w:r>
        <w:rPr>
          <w:rFonts w:ascii="Verdana" w:hAnsi="Verdana"/>
        </w:rPr>
        <w:t>Los artículos 1, 2, 3, 4, 5, 6 y 7 de la Ley n.º 77/2019, de 2 de septiembre, se sustituyen por el texto siguiente:</w:t>
      </w:r>
    </w:p>
    <w:p w14:paraId="775CD874" w14:textId="77777777" w:rsidR="006A3393" w:rsidRPr="00007109" w:rsidRDefault="006A3393" w:rsidP="00007109">
      <w:pPr>
        <w:jc w:val="both"/>
        <w:rPr>
          <w:rFonts w:ascii="Verdana" w:hAnsi="Verdana"/>
        </w:rPr>
      </w:pPr>
    </w:p>
    <w:p w14:paraId="2F4BD73E" w14:textId="7F37B1FF" w:rsidR="00054EAE" w:rsidRPr="008E2CAE" w:rsidRDefault="000600E7" w:rsidP="00054EAE">
      <w:pPr>
        <w:spacing w:after="0" w:line="360" w:lineRule="auto"/>
        <w:jc w:val="center"/>
        <w:rPr>
          <w:rFonts w:ascii="Verdana" w:hAnsi="Verdana" w:cstheme="minorHAnsi"/>
        </w:rPr>
      </w:pPr>
      <w:r>
        <w:rPr>
          <w:rFonts w:ascii="Verdana" w:hAnsi="Verdana"/>
        </w:rPr>
        <w:t>«</w:t>
      </w:r>
      <w:r>
        <w:t>Artículo 1</w:t>
      </w:r>
    </w:p>
    <w:p w14:paraId="0B8D34BA"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32C76D2" w14:textId="51A6EFAC" w:rsidR="00054EAE" w:rsidRPr="00007109" w:rsidRDefault="00054EAE" w:rsidP="00007109">
      <w:pPr>
        <w:jc w:val="both"/>
        <w:rPr>
          <w:rFonts w:ascii="Verdana" w:hAnsi="Verdana"/>
        </w:rPr>
      </w:pPr>
      <w:bookmarkStart w:id="53" w:name="_Hlk65428420"/>
      <w:r>
        <w:rPr>
          <w:rFonts w:ascii="Verdana" w:hAnsi="Verdana"/>
        </w:rPr>
        <w:t xml:space="preserve">Esta ley prohíbe la puesta a disposición de bolsas de plástico ultraligeras y recipientes de plástico de un solo uso, como cubetas y cajas, con o sin tapa, en la comercialización de productos de panadería y pastelería, frutas y verduras, en las tiendas, así como la obligación de poner a disposición de los consumidores finales alternativas al uso de bolsas de plástico ultraligeras. </w:t>
      </w:r>
    </w:p>
    <w:bookmarkEnd w:id="53"/>
    <w:p w14:paraId="1BD7396C" w14:textId="77777777" w:rsidR="00054EAE" w:rsidRPr="00007109" w:rsidRDefault="00054EAE" w:rsidP="00007109">
      <w:pPr>
        <w:jc w:val="both"/>
        <w:rPr>
          <w:rFonts w:ascii="Verdana" w:hAnsi="Verdana"/>
        </w:rPr>
      </w:pPr>
    </w:p>
    <w:p w14:paraId="2AC2A3A0" w14:textId="77777777" w:rsidR="00054EAE" w:rsidRPr="008E2CAE" w:rsidRDefault="00054EAE" w:rsidP="00054EAE">
      <w:pPr>
        <w:spacing w:after="0" w:line="360" w:lineRule="auto"/>
        <w:jc w:val="center"/>
        <w:rPr>
          <w:rFonts w:ascii="Verdana" w:hAnsi="Verdana" w:cstheme="minorHAnsi"/>
        </w:rPr>
      </w:pPr>
      <w:r>
        <w:rPr>
          <w:rFonts w:ascii="Verdana" w:hAnsi="Verdana"/>
        </w:rPr>
        <w:t>Artículo 2</w:t>
      </w:r>
    </w:p>
    <w:p w14:paraId="080BFE3B"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F24CD63" w14:textId="77777777" w:rsidR="00054EAE" w:rsidRPr="00007109" w:rsidRDefault="00054EAE" w:rsidP="00007109">
      <w:pPr>
        <w:jc w:val="both"/>
        <w:rPr>
          <w:rFonts w:ascii="Verdana" w:hAnsi="Verdana"/>
        </w:rPr>
      </w:pPr>
      <w:r>
        <w:rPr>
          <w:rFonts w:ascii="Verdana" w:hAnsi="Verdana"/>
        </w:rPr>
        <w:t xml:space="preserve">A los efectos de la presente Ley, se aplicarán las siguientes definiciones: </w:t>
      </w:r>
    </w:p>
    <w:p w14:paraId="53E227F4" w14:textId="3871EE5A" w:rsidR="00054EAE" w:rsidRPr="001D278E" w:rsidRDefault="00054EAE" w:rsidP="00C525D6">
      <w:pPr>
        <w:pStyle w:val="ListParagraph"/>
        <w:numPr>
          <w:ilvl w:val="1"/>
          <w:numId w:val="57"/>
        </w:numPr>
        <w:spacing w:after="0"/>
        <w:ind w:left="1134"/>
        <w:jc w:val="both"/>
        <w:rPr>
          <w:rFonts w:ascii="Verdana" w:hAnsi="Verdana"/>
        </w:rPr>
      </w:pPr>
      <w:bookmarkStart w:id="54" w:name="_Hlk65428543"/>
      <w:r>
        <w:rPr>
          <w:rFonts w:ascii="Verdana" w:hAnsi="Verdana"/>
        </w:rPr>
        <w:t xml:space="preserve">«bolsas de plástico ultraligeras»: bolsas de plástico con un espesor inferior a 15 micras necesarias para fines de higiene o </w:t>
      </w:r>
      <w:r>
        <w:rPr>
          <w:rFonts w:ascii="Verdana" w:hAnsi="Verdana"/>
        </w:rPr>
        <w:lastRenderedPageBreak/>
        <w:t>suministradas como envase primario para pan, frutas y hortalizas sin envasar;</w:t>
      </w:r>
    </w:p>
    <w:bookmarkEnd w:id="54"/>
    <w:p w14:paraId="26239E9F" w14:textId="1D1F40AF" w:rsidR="00054EAE" w:rsidRPr="001D278E" w:rsidRDefault="00054EAE" w:rsidP="00C525D6">
      <w:pPr>
        <w:pStyle w:val="ListParagraph"/>
        <w:numPr>
          <w:ilvl w:val="1"/>
          <w:numId w:val="57"/>
        </w:numPr>
        <w:spacing w:after="0"/>
        <w:ind w:left="1134"/>
        <w:jc w:val="both"/>
        <w:rPr>
          <w:rFonts w:ascii="Verdana" w:hAnsi="Verdana"/>
        </w:rPr>
      </w:pPr>
      <w:r>
        <w:rPr>
          <w:rFonts w:ascii="Verdana" w:hAnsi="Verdana"/>
        </w:rPr>
        <w:t>«plástico biodegradable»: un plástico capaz de sufrir descomposición física o biológica, de modo que, en último término, se descompone en dióxido de carbono (CO2), biomasa y agua, y que, conforme a las normas europeas en materia de envases, es recuperable mediante compostaje y digestión anaeróbica;.</w:t>
      </w:r>
    </w:p>
    <w:p w14:paraId="3F891194" w14:textId="44E496B7" w:rsidR="00054EAE" w:rsidRPr="001D278E" w:rsidRDefault="00054EAE" w:rsidP="00C525D6">
      <w:pPr>
        <w:pStyle w:val="ListParagraph"/>
        <w:numPr>
          <w:ilvl w:val="1"/>
          <w:numId w:val="57"/>
        </w:numPr>
        <w:spacing w:after="0"/>
        <w:ind w:left="1134"/>
        <w:jc w:val="both"/>
        <w:rPr>
          <w:rFonts w:ascii="Verdana" w:hAnsi="Verdana"/>
        </w:rPr>
      </w:pPr>
      <w:bookmarkStart w:id="55" w:name="_Hlk65428640"/>
      <w:r>
        <w:rPr>
          <w:rFonts w:ascii="Verdana" w:hAnsi="Verdana"/>
        </w:rPr>
        <w:t>«establecimiento comercial»: todo establecimiento al por menor fijo y permanente, en el que el proveedor de bienes o el prestador de servicios de restauración ejerzan su actividad de forma permanente, y que comercialice pan, frutas y hortalizas, cubiertos por el régimen jurídico de acceso y ejercicio de las actividades comerciales, de servicios y de restauración, aprobado por el Decreto-Ley n.º 10/2015, de 16 de enero, modificado por el Decreto-Ley n.º 102/2017, de 23 de agosto, y por la Ley n.º 15/2018, de 27.</w:t>
      </w:r>
    </w:p>
    <w:bookmarkEnd w:id="55"/>
    <w:p w14:paraId="320C7822" w14:textId="77777777" w:rsidR="00054EAE" w:rsidRPr="008B374C" w:rsidRDefault="00054EAE" w:rsidP="00054EAE">
      <w:pPr>
        <w:spacing w:after="0" w:line="360" w:lineRule="auto"/>
        <w:jc w:val="center"/>
        <w:rPr>
          <w:rFonts w:ascii="Verdana" w:hAnsi="Verdana" w:cstheme="minorHAnsi"/>
        </w:rPr>
      </w:pPr>
    </w:p>
    <w:p w14:paraId="23698E8A" w14:textId="77777777" w:rsidR="00054EAE" w:rsidRPr="008B374C" w:rsidRDefault="00054EAE" w:rsidP="00054EAE">
      <w:pPr>
        <w:spacing w:after="0" w:line="360" w:lineRule="auto"/>
        <w:jc w:val="center"/>
        <w:rPr>
          <w:rFonts w:ascii="Verdana" w:hAnsi="Verdana" w:cstheme="minorHAnsi"/>
        </w:rPr>
      </w:pPr>
      <w:r>
        <w:rPr>
          <w:rFonts w:ascii="Verdana" w:hAnsi="Verdana"/>
        </w:rPr>
        <w:t>Artículo 3</w:t>
      </w:r>
    </w:p>
    <w:p w14:paraId="238E03F9" w14:textId="77777777" w:rsidR="00054EAE" w:rsidRPr="008B374C" w:rsidRDefault="00054EAE" w:rsidP="00054EAE">
      <w:pPr>
        <w:spacing w:after="0" w:line="360" w:lineRule="auto"/>
        <w:jc w:val="center"/>
        <w:rPr>
          <w:rFonts w:ascii="Verdana" w:hAnsi="Verdana" w:cstheme="minorHAnsi"/>
        </w:rPr>
      </w:pPr>
      <w:r>
        <w:rPr>
          <w:rFonts w:ascii="Verdana" w:hAnsi="Verdana"/>
        </w:rPr>
        <w:t>[…]</w:t>
      </w:r>
    </w:p>
    <w:p w14:paraId="1A3B3802" w14:textId="4C305360" w:rsidR="00054EAE" w:rsidRPr="00007109" w:rsidRDefault="00054EAE" w:rsidP="00007109">
      <w:pPr>
        <w:jc w:val="both"/>
        <w:rPr>
          <w:rFonts w:ascii="Verdana" w:hAnsi="Verdana"/>
        </w:rPr>
      </w:pPr>
      <w:r>
        <w:rPr>
          <w:rFonts w:ascii="Verdana" w:hAnsi="Verdana"/>
        </w:rPr>
        <w:t>Esta ley se aplica a todos los establecimientos comerciales en los que se comercializan productos de panadería y pastelería, frutas y hortalizas.</w:t>
      </w:r>
    </w:p>
    <w:p w14:paraId="6CE06251" w14:textId="77777777" w:rsidR="00054EAE" w:rsidRPr="008E2CAE" w:rsidRDefault="00054EAE" w:rsidP="00054EAE">
      <w:pPr>
        <w:spacing w:after="0" w:line="360" w:lineRule="auto"/>
        <w:jc w:val="center"/>
        <w:rPr>
          <w:rFonts w:ascii="Verdana" w:hAnsi="Verdana" w:cstheme="minorHAnsi"/>
        </w:rPr>
      </w:pPr>
    </w:p>
    <w:p w14:paraId="7728A31A" w14:textId="77777777" w:rsidR="00054EAE" w:rsidRPr="008E2CAE" w:rsidRDefault="00054EAE" w:rsidP="00054EAE">
      <w:pPr>
        <w:spacing w:after="0" w:line="360" w:lineRule="auto"/>
        <w:jc w:val="center"/>
        <w:rPr>
          <w:rFonts w:ascii="Verdana" w:hAnsi="Verdana" w:cstheme="minorHAnsi"/>
        </w:rPr>
      </w:pPr>
      <w:r>
        <w:rPr>
          <w:rFonts w:ascii="Verdana" w:hAnsi="Verdana"/>
        </w:rPr>
        <w:t>Artículo 4</w:t>
      </w:r>
    </w:p>
    <w:p w14:paraId="6D060904"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797D8056" w14:textId="4A1A464E" w:rsidR="00A75014" w:rsidRPr="00007109" w:rsidRDefault="00EB2667" w:rsidP="00C525D6">
      <w:pPr>
        <w:pStyle w:val="ListParagraph"/>
        <w:numPr>
          <w:ilvl w:val="0"/>
          <w:numId w:val="58"/>
        </w:numPr>
        <w:ind w:left="709"/>
        <w:jc w:val="both"/>
        <w:rPr>
          <w:rFonts w:ascii="Verdana" w:hAnsi="Verdana"/>
        </w:rPr>
      </w:pPr>
      <w:r>
        <w:rPr>
          <w:rFonts w:ascii="Verdana" w:hAnsi="Verdana"/>
        </w:rPr>
        <w:t>A partir del 1 de junio de 2023, se impedirá a los establecimientos:</w:t>
      </w:r>
    </w:p>
    <w:p w14:paraId="4B1574A0" w14:textId="583FEA2E" w:rsidR="00EB2667" w:rsidRPr="00007109" w:rsidRDefault="00A75014" w:rsidP="00C525D6">
      <w:pPr>
        <w:pStyle w:val="ListParagraph"/>
        <w:numPr>
          <w:ilvl w:val="1"/>
          <w:numId w:val="59"/>
        </w:numPr>
        <w:spacing w:after="0"/>
        <w:ind w:left="1134"/>
        <w:jc w:val="both"/>
        <w:rPr>
          <w:rFonts w:ascii="Verdana" w:hAnsi="Verdana"/>
        </w:rPr>
      </w:pPr>
      <w:r>
        <w:t xml:space="preserve">proporcionar bolsas de plástico muy ligeras para el envasado </w:t>
      </w:r>
      <w:bookmarkStart w:id="56" w:name="_Hlk66404382"/>
      <w:r>
        <w:t>de productos de panadería y pastelería</w:t>
      </w:r>
      <w:bookmarkEnd w:id="56"/>
      <w:r>
        <w:t>, frutas y verduras;</w:t>
      </w:r>
    </w:p>
    <w:p w14:paraId="1B94BFF0" w14:textId="71559D2A" w:rsidR="00054EAE" w:rsidRPr="00007109" w:rsidRDefault="00A75014" w:rsidP="00C525D6">
      <w:pPr>
        <w:pStyle w:val="ListParagraph"/>
        <w:numPr>
          <w:ilvl w:val="1"/>
          <w:numId w:val="59"/>
        </w:numPr>
        <w:spacing w:after="0"/>
        <w:ind w:left="1134"/>
        <w:jc w:val="both"/>
        <w:rPr>
          <w:rFonts w:ascii="Verdana" w:hAnsi="Verdana"/>
        </w:rPr>
      </w:pPr>
      <w:r>
        <w:rPr>
          <w:rFonts w:ascii="Verdana" w:hAnsi="Verdana"/>
        </w:rPr>
        <w:t>comercializar en bolsas de plástico muy ligeras, productos de panadería y pastelería, frutas y verduras que se embalan en el punto de venta.</w:t>
      </w:r>
    </w:p>
    <w:p w14:paraId="349419CD" w14:textId="5F81FD4E" w:rsidR="00054EAE" w:rsidRPr="00007109" w:rsidRDefault="00EB2667" w:rsidP="00C525D6">
      <w:pPr>
        <w:pStyle w:val="ListParagraph"/>
        <w:numPr>
          <w:ilvl w:val="0"/>
          <w:numId w:val="58"/>
        </w:numPr>
        <w:ind w:left="709"/>
        <w:jc w:val="both"/>
        <w:rPr>
          <w:rFonts w:ascii="Verdana" w:hAnsi="Verdana"/>
        </w:rPr>
      </w:pPr>
      <w:r>
        <w:t xml:space="preserve">A partir del 1 de junio de 2023, se impedirá que las tiendas </w:t>
      </w:r>
      <w:bookmarkStart w:id="57" w:name="_Hlk66404823"/>
      <w:r>
        <w:t>comercialicen productos de panadería y pastelería, frutas y hortalizas embaladas en recipientes de plástico de un solo uso, como cubetas y cajas, con o sin tapa.</w:t>
      </w:r>
      <w:r>
        <w:rPr>
          <w:rFonts w:ascii="Verdana" w:hAnsi="Verdana"/>
        </w:rPr>
        <w:t xml:space="preserve"> </w:t>
      </w:r>
      <w:bookmarkEnd w:id="57"/>
    </w:p>
    <w:p w14:paraId="70876CC6" w14:textId="7D41C726" w:rsidR="00007109" w:rsidRDefault="00974F5D" w:rsidP="00C525D6">
      <w:pPr>
        <w:pStyle w:val="ListParagraph"/>
        <w:numPr>
          <w:ilvl w:val="0"/>
          <w:numId w:val="58"/>
        </w:numPr>
        <w:ind w:left="709"/>
        <w:jc w:val="both"/>
        <w:rPr>
          <w:rFonts w:ascii="Verdana" w:hAnsi="Verdana"/>
        </w:rPr>
      </w:pPr>
      <w:r>
        <w:rPr>
          <w:rFonts w:ascii="Verdana" w:hAnsi="Verdana"/>
        </w:rPr>
        <w:t xml:space="preserve">Las bolsas fabricadas a partir de plásticos que hayan demostrado ser biodegradables y </w:t>
      </w:r>
      <w:proofErr w:type="spellStart"/>
      <w:r>
        <w:rPr>
          <w:rFonts w:ascii="Verdana" w:hAnsi="Verdana"/>
        </w:rPr>
        <w:t>compostables</w:t>
      </w:r>
      <w:proofErr w:type="spellEnd"/>
      <w:r>
        <w:rPr>
          <w:rFonts w:ascii="Verdana" w:hAnsi="Verdana"/>
        </w:rPr>
        <w:t xml:space="preserve"> de conformidad con las normas pertinentes vigentes en ese momento quedarán excluidas de la </w:t>
      </w:r>
      <w:r>
        <w:rPr>
          <w:rFonts w:ascii="Verdana" w:hAnsi="Verdana"/>
        </w:rPr>
        <w:lastRenderedPageBreak/>
        <w:t>prohibición establecida en el apartado 1, siempre que no se pongan a disposición gratuitamente.</w:t>
      </w:r>
    </w:p>
    <w:p w14:paraId="00BA235A" w14:textId="1664DBFF" w:rsidR="00974F5D" w:rsidRPr="00007109" w:rsidRDefault="00974F5D" w:rsidP="00C525D6">
      <w:pPr>
        <w:pStyle w:val="ListParagraph"/>
        <w:numPr>
          <w:ilvl w:val="0"/>
          <w:numId w:val="58"/>
        </w:numPr>
        <w:ind w:left="709"/>
        <w:jc w:val="both"/>
        <w:rPr>
          <w:rFonts w:ascii="Verdana" w:hAnsi="Verdana"/>
        </w:rPr>
      </w:pPr>
      <w:r>
        <w:rPr>
          <w:rFonts w:ascii="Verdana" w:hAnsi="Verdana"/>
        </w:rPr>
        <w:t xml:space="preserve">Los recipientes fabricados a partir de plásticos que hayan demostrado ser biodegradables y </w:t>
      </w:r>
      <w:proofErr w:type="spellStart"/>
      <w:r>
        <w:rPr>
          <w:rFonts w:ascii="Verdana" w:hAnsi="Verdana"/>
        </w:rPr>
        <w:t>compostables</w:t>
      </w:r>
      <w:proofErr w:type="spellEnd"/>
      <w:r>
        <w:rPr>
          <w:rFonts w:ascii="Verdana" w:hAnsi="Verdana"/>
        </w:rPr>
        <w:t xml:space="preserve"> de conformidad con las normas pertinentes vigentes en ese momento y cuando sean necesarias para la higiene o la seguridad alimentaria quedarán excluidos de la prohibición establecida en el apartado 2.</w:t>
      </w:r>
    </w:p>
    <w:p w14:paraId="52622FDE" w14:textId="1BD3261A" w:rsidR="00974F5D" w:rsidRPr="00007109" w:rsidRDefault="00974F5D" w:rsidP="00007109">
      <w:pPr>
        <w:jc w:val="both"/>
        <w:rPr>
          <w:rFonts w:ascii="Verdana" w:hAnsi="Verdana"/>
        </w:rPr>
      </w:pPr>
    </w:p>
    <w:p w14:paraId="4ABB2644" w14:textId="77777777" w:rsidR="00054EAE" w:rsidRPr="00007109" w:rsidRDefault="00054EAE" w:rsidP="00007109">
      <w:pPr>
        <w:jc w:val="both"/>
        <w:rPr>
          <w:rFonts w:ascii="Verdana" w:hAnsi="Verdana"/>
        </w:rPr>
      </w:pPr>
    </w:p>
    <w:p w14:paraId="08B7CA3C" w14:textId="77777777" w:rsidR="00054EAE" w:rsidRPr="008E2CAE" w:rsidRDefault="00054EAE" w:rsidP="00054EAE">
      <w:pPr>
        <w:spacing w:after="0" w:line="360" w:lineRule="auto"/>
        <w:jc w:val="center"/>
        <w:rPr>
          <w:rFonts w:ascii="Verdana" w:hAnsi="Verdana" w:cstheme="minorHAnsi"/>
        </w:rPr>
      </w:pPr>
      <w:r>
        <w:rPr>
          <w:rFonts w:ascii="Verdana" w:hAnsi="Verdana"/>
        </w:rPr>
        <w:t>Artículo 5</w:t>
      </w:r>
    </w:p>
    <w:p w14:paraId="0DD616DF" w14:textId="186D58DF" w:rsidR="00054EAE" w:rsidRDefault="00054EAE" w:rsidP="00054EAE">
      <w:pPr>
        <w:spacing w:after="0" w:line="360" w:lineRule="auto"/>
        <w:jc w:val="center"/>
        <w:rPr>
          <w:rFonts w:ascii="Verdana" w:hAnsi="Verdana" w:cstheme="minorHAnsi"/>
        </w:rPr>
      </w:pPr>
      <w:r>
        <w:rPr>
          <w:rFonts w:ascii="Verdana" w:hAnsi="Verdana"/>
        </w:rPr>
        <w:t>[…]</w:t>
      </w:r>
    </w:p>
    <w:p w14:paraId="35F718E3" w14:textId="77777777" w:rsidR="00827E7D" w:rsidRPr="008E2CAE" w:rsidRDefault="00827E7D" w:rsidP="00054EAE">
      <w:pPr>
        <w:spacing w:after="0" w:line="360" w:lineRule="auto"/>
        <w:jc w:val="center"/>
        <w:rPr>
          <w:rFonts w:ascii="Verdana" w:hAnsi="Verdana" w:cstheme="minorHAnsi"/>
        </w:rPr>
      </w:pPr>
    </w:p>
    <w:p w14:paraId="578A57D7" w14:textId="3B2A8640" w:rsidR="00974F5D" w:rsidRPr="00007109" w:rsidRDefault="00827E7D" w:rsidP="00007109">
      <w:pPr>
        <w:jc w:val="both"/>
        <w:rPr>
          <w:rFonts w:ascii="Verdana" w:hAnsi="Verdana"/>
        </w:rPr>
      </w:pPr>
      <w:bookmarkStart w:id="58" w:name="_Hlk65430716"/>
      <w:r>
        <w:t xml:space="preserve">A partir del 1 de enero de 2022, en los puntos de venta de productos no envasados, será obligatorio proporcionar a los consumidores alternativas reutilizables </w:t>
      </w:r>
      <w:bookmarkStart w:id="59" w:name="_Hlk66404649"/>
      <w:r>
        <w:t>para el envasado de productos de panadería y pastelería, frutas y hortalizas</w:t>
      </w:r>
      <w:bookmarkEnd w:id="59"/>
      <w:r>
        <w:t xml:space="preserve"> o, cuando ello no sea posible, alternativas hechas a partir de un solo material.</w:t>
      </w:r>
    </w:p>
    <w:bookmarkEnd w:id="58"/>
    <w:p w14:paraId="236B55B4" w14:textId="77777777" w:rsidR="00054EAE" w:rsidRPr="00007109" w:rsidRDefault="00054EAE" w:rsidP="00007109">
      <w:pPr>
        <w:jc w:val="both"/>
        <w:rPr>
          <w:rFonts w:ascii="Verdana" w:hAnsi="Verdana"/>
        </w:rPr>
      </w:pPr>
    </w:p>
    <w:p w14:paraId="5573C051" w14:textId="77777777" w:rsidR="00054EAE" w:rsidRPr="008E2CAE" w:rsidRDefault="00054EAE" w:rsidP="00054EAE">
      <w:pPr>
        <w:spacing w:after="0" w:line="360" w:lineRule="auto"/>
        <w:jc w:val="center"/>
        <w:rPr>
          <w:rFonts w:ascii="Verdana" w:hAnsi="Verdana" w:cstheme="minorHAnsi"/>
        </w:rPr>
      </w:pPr>
      <w:r>
        <w:rPr>
          <w:rFonts w:ascii="Verdana" w:hAnsi="Verdana"/>
        </w:rPr>
        <w:t>Artículo 6</w:t>
      </w:r>
    </w:p>
    <w:p w14:paraId="54A5D17F" w14:textId="638286F1" w:rsidR="00054EAE" w:rsidRDefault="00054EAE" w:rsidP="00054EAE">
      <w:pPr>
        <w:spacing w:after="0" w:line="360" w:lineRule="auto"/>
        <w:jc w:val="center"/>
        <w:rPr>
          <w:rFonts w:ascii="Verdana" w:hAnsi="Verdana"/>
        </w:rPr>
      </w:pPr>
      <w:r>
        <w:rPr>
          <w:rFonts w:ascii="Verdana" w:hAnsi="Verdana"/>
        </w:rPr>
        <w:t>[…]</w:t>
      </w:r>
    </w:p>
    <w:p w14:paraId="217FBA86" w14:textId="77777777" w:rsidR="00827E7D" w:rsidRPr="008E2CAE" w:rsidRDefault="00827E7D" w:rsidP="00054EAE">
      <w:pPr>
        <w:spacing w:after="0" w:line="360" w:lineRule="auto"/>
        <w:jc w:val="center"/>
        <w:rPr>
          <w:rFonts w:ascii="Verdana" w:hAnsi="Verdana"/>
        </w:rPr>
      </w:pPr>
    </w:p>
    <w:p w14:paraId="6100731A" w14:textId="7DE7DB9C" w:rsidR="006923D5" w:rsidRPr="008E2CAE" w:rsidRDefault="00054EAE" w:rsidP="00C525D6">
      <w:pPr>
        <w:pStyle w:val="ListParagraph"/>
        <w:numPr>
          <w:ilvl w:val="0"/>
          <w:numId w:val="60"/>
        </w:numPr>
        <w:ind w:left="709"/>
        <w:jc w:val="both"/>
        <w:rPr>
          <w:rFonts w:ascii="Verdana" w:hAnsi="Verdana"/>
        </w:rPr>
      </w:pPr>
      <w:bookmarkStart w:id="60" w:name="_Hlk37520532"/>
      <w:r>
        <w:rPr>
          <w:rFonts w:ascii="Verdana" w:hAnsi="Verdana"/>
        </w:rPr>
        <w:t xml:space="preserve">Se trata de infracciones administrativas económicas leves, punibles en virtud del régimen jurídico de las infracciones administrativas económicas, aprobado por el Decreto-Ley n.º 9/2021, de 29 de enero (RJCE): </w:t>
      </w:r>
    </w:p>
    <w:p w14:paraId="7862C874" w14:textId="597B1A91" w:rsidR="00054EAE" w:rsidRPr="008E2CAE" w:rsidRDefault="0069117E" w:rsidP="00C525D6">
      <w:pPr>
        <w:pStyle w:val="ListParagraph"/>
        <w:numPr>
          <w:ilvl w:val="1"/>
          <w:numId w:val="61"/>
        </w:numPr>
        <w:spacing w:after="0"/>
        <w:ind w:left="1134"/>
        <w:jc w:val="both"/>
        <w:rPr>
          <w:rFonts w:ascii="Verdana" w:hAnsi="Verdana"/>
        </w:rPr>
      </w:pPr>
      <w:r>
        <w:rPr>
          <w:rFonts w:ascii="Verdana" w:hAnsi="Verdana"/>
        </w:rPr>
        <w:t>La indisponibilidad de alternativas reutilizables o hechas de un solo material para los consumidores de conformidad con el artículo anterior;</w:t>
      </w:r>
    </w:p>
    <w:p w14:paraId="2C6EB85E" w14:textId="24F74B4E" w:rsidR="00590C52" w:rsidRDefault="0069117E" w:rsidP="00C525D6">
      <w:pPr>
        <w:pStyle w:val="ListParagraph"/>
        <w:numPr>
          <w:ilvl w:val="1"/>
          <w:numId w:val="61"/>
        </w:numPr>
        <w:spacing w:after="0"/>
        <w:ind w:left="1134"/>
        <w:jc w:val="both"/>
        <w:rPr>
          <w:rFonts w:ascii="Verdana" w:hAnsi="Verdana"/>
        </w:rPr>
      </w:pPr>
      <w:r>
        <w:rPr>
          <w:rFonts w:ascii="Verdana" w:hAnsi="Verdana"/>
        </w:rPr>
        <w:t xml:space="preserve">La puesta a disposición de bolsas de plástico ultraligeras y la comercialización de productos en bolsas de plástico ultraligeras de conformidad con el artículo 4, apartado 1; </w:t>
      </w:r>
    </w:p>
    <w:p w14:paraId="00B109BF" w14:textId="62524D09" w:rsidR="00054EAE" w:rsidRPr="008E2CAE" w:rsidRDefault="00054EAE" w:rsidP="00C525D6">
      <w:pPr>
        <w:pStyle w:val="ListParagraph"/>
        <w:numPr>
          <w:ilvl w:val="1"/>
          <w:numId w:val="61"/>
        </w:numPr>
        <w:spacing w:after="0"/>
        <w:ind w:left="1134"/>
        <w:jc w:val="both"/>
        <w:rPr>
          <w:rFonts w:ascii="Verdana" w:hAnsi="Verdana"/>
        </w:rPr>
      </w:pPr>
      <w:r>
        <w:rPr>
          <w:rFonts w:ascii="Verdana" w:hAnsi="Verdana"/>
        </w:rPr>
        <w:t xml:space="preserve"> La comercialización de productos envasados en envases de plástico de un solo uso, como cubetas y cajas, con o sin tapa, de conformidad con el artículo 4, apartado 2.</w:t>
      </w:r>
    </w:p>
    <w:p w14:paraId="1597C149" w14:textId="50E38EC0" w:rsidR="00054EAE" w:rsidRPr="008E2CAE" w:rsidRDefault="00054EAE" w:rsidP="00C525D6">
      <w:pPr>
        <w:pStyle w:val="ListParagraph"/>
        <w:numPr>
          <w:ilvl w:val="0"/>
          <w:numId w:val="60"/>
        </w:numPr>
        <w:ind w:left="709"/>
        <w:jc w:val="both"/>
        <w:rPr>
          <w:rFonts w:ascii="Verdana" w:hAnsi="Verdana"/>
        </w:rPr>
      </w:pPr>
      <w:r>
        <w:rPr>
          <w:rFonts w:ascii="Verdana" w:hAnsi="Verdana"/>
        </w:rPr>
        <w:t xml:space="preserve">Los intentos y la negligencia son punibles en virtud de la RJCE. </w:t>
      </w:r>
    </w:p>
    <w:bookmarkEnd w:id="60"/>
    <w:p w14:paraId="746A881B" w14:textId="77777777" w:rsidR="00054EAE" w:rsidRPr="008E2CAE" w:rsidRDefault="00054EAE" w:rsidP="00054EAE">
      <w:pPr>
        <w:spacing w:after="0" w:line="360" w:lineRule="auto"/>
        <w:jc w:val="center"/>
        <w:rPr>
          <w:rFonts w:ascii="Verdana" w:hAnsi="Verdana" w:cstheme="minorHAnsi"/>
        </w:rPr>
      </w:pPr>
    </w:p>
    <w:p w14:paraId="35F456F1" w14:textId="77777777" w:rsidR="00054EAE" w:rsidRPr="008E2CAE" w:rsidRDefault="00054EAE" w:rsidP="00054EAE">
      <w:pPr>
        <w:spacing w:after="0" w:line="360" w:lineRule="auto"/>
        <w:jc w:val="center"/>
        <w:rPr>
          <w:rFonts w:ascii="Verdana" w:hAnsi="Verdana" w:cstheme="minorHAnsi"/>
        </w:rPr>
      </w:pPr>
      <w:r>
        <w:rPr>
          <w:rFonts w:ascii="Verdana" w:hAnsi="Verdana"/>
        </w:rPr>
        <w:t>Artículo 7</w:t>
      </w:r>
    </w:p>
    <w:p w14:paraId="79B81B03" w14:textId="7DC95F01" w:rsidR="00054EAE" w:rsidRDefault="00054EAE" w:rsidP="00054EAE">
      <w:pPr>
        <w:spacing w:after="0" w:line="360" w:lineRule="auto"/>
        <w:jc w:val="center"/>
        <w:rPr>
          <w:rFonts w:ascii="Verdana" w:hAnsi="Verdana"/>
        </w:rPr>
      </w:pPr>
      <w:r>
        <w:rPr>
          <w:rFonts w:ascii="Verdana" w:hAnsi="Verdana"/>
        </w:rPr>
        <w:t>Supervisión, investigación y decisión</w:t>
      </w:r>
    </w:p>
    <w:p w14:paraId="314E96FC" w14:textId="77777777" w:rsidR="00827E7D" w:rsidRPr="008E2CAE" w:rsidRDefault="00827E7D" w:rsidP="00054EAE">
      <w:pPr>
        <w:spacing w:after="0" w:line="360" w:lineRule="auto"/>
        <w:jc w:val="center"/>
        <w:rPr>
          <w:rFonts w:ascii="Verdana" w:hAnsi="Verdana"/>
        </w:rPr>
      </w:pPr>
    </w:p>
    <w:p w14:paraId="26F13C86" w14:textId="231F066B" w:rsidR="00054EAE" w:rsidRPr="008E2CAE" w:rsidRDefault="00054EAE" w:rsidP="00C525D6">
      <w:pPr>
        <w:pStyle w:val="ListParagraph"/>
        <w:numPr>
          <w:ilvl w:val="0"/>
          <w:numId w:val="62"/>
        </w:numPr>
        <w:ind w:left="709"/>
        <w:jc w:val="both"/>
        <w:rPr>
          <w:rFonts w:ascii="Verdana" w:hAnsi="Verdana"/>
        </w:rPr>
      </w:pPr>
      <w:r>
        <w:rPr>
          <w:rFonts w:ascii="Verdana" w:hAnsi="Verdana"/>
        </w:rPr>
        <w:t>El control del cumplimiento de las disposiciones de la presente ley, dentro del ámbito de sus respectivas competencias, será responsabilidad de la Autoridad de Seguridad Alimentaria y Económica (ASAE), sin perjuicio de la competencia de las autoridades policiales y administrativas.</w:t>
      </w:r>
    </w:p>
    <w:p w14:paraId="0FABB307" w14:textId="0A1F7518" w:rsidR="00054EAE" w:rsidRPr="00007109" w:rsidRDefault="00054EAE" w:rsidP="00C525D6">
      <w:pPr>
        <w:pStyle w:val="ListParagraph"/>
        <w:numPr>
          <w:ilvl w:val="0"/>
          <w:numId w:val="62"/>
        </w:numPr>
        <w:ind w:left="709"/>
        <w:jc w:val="both"/>
        <w:rPr>
          <w:rFonts w:ascii="Verdana" w:hAnsi="Verdana"/>
        </w:rPr>
      </w:pPr>
      <w:r>
        <w:rPr>
          <w:rFonts w:ascii="Verdana" w:hAnsi="Verdana"/>
        </w:rPr>
        <w:t>Corresponde a la ASAE investigar los casos relacionados con las infracciones contempladas en el artículo 6 y decidir la imposición de una multa.</w:t>
      </w:r>
    </w:p>
    <w:p w14:paraId="4207FFB8" w14:textId="77777777" w:rsidR="008B4B7F" w:rsidRPr="003F6B93" w:rsidRDefault="008B4B7F" w:rsidP="008E2CAE">
      <w:pPr>
        <w:jc w:val="center"/>
        <w:rPr>
          <w:rFonts w:ascii="Verdana" w:hAnsi="Verdana"/>
        </w:rPr>
      </w:pPr>
    </w:p>
    <w:p w14:paraId="692CD72B" w14:textId="1CB18418" w:rsidR="008E2CAE" w:rsidRDefault="000600E7" w:rsidP="000600E7">
      <w:pPr>
        <w:pStyle w:val="Heading2"/>
        <w:numPr>
          <w:ilvl w:val="0"/>
          <w:numId w:val="0"/>
        </w:numPr>
        <w:tabs>
          <w:tab w:val="clear" w:pos="1701"/>
          <w:tab w:val="left" w:pos="1418"/>
        </w:tabs>
        <w:ind w:left="426"/>
      </w:pPr>
      <w:r>
        <w:t>Artículo 27</w:t>
      </w:r>
      <w:r>
        <w:br/>
        <w:t>Adición a la Ley n.º 77/2019, de 2 de septiembre:</w:t>
      </w:r>
    </w:p>
    <w:p w14:paraId="23C307B6" w14:textId="77777777" w:rsidR="00827E7D" w:rsidRPr="00007109" w:rsidRDefault="00827E7D" w:rsidP="00007109">
      <w:pPr>
        <w:jc w:val="both"/>
        <w:rPr>
          <w:rFonts w:ascii="Verdana" w:hAnsi="Verdana"/>
        </w:rPr>
      </w:pPr>
    </w:p>
    <w:p w14:paraId="78478EEB" w14:textId="77777777" w:rsidR="008E2CAE" w:rsidRPr="00007109" w:rsidRDefault="008E2CAE" w:rsidP="00007109">
      <w:pPr>
        <w:jc w:val="both"/>
        <w:rPr>
          <w:rFonts w:ascii="Verdana" w:hAnsi="Verdana"/>
        </w:rPr>
      </w:pPr>
      <w:r>
        <w:rPr>
          <w:rFonts w:ascii="Verdana" w:hAnsi="Verdana"/>
        </w:rPr>
        <w:t xml:space="preserve">A continuación se añade la letra a) del artículo 7 a la Ley n.º 77/2019, de 2 de septiembre: </w:t>
      </w:r>
    </w:p>
    <w:p w14:paraId="6C42C8B3" w14:textId="77777777" w:rsidR="008E2CAE" w:rsidRPr="008E2CAE" w:rsidRDefault="008E2CAE" w:rsidP="008E2CAE">
      <w:pPr>
        <w:spacing w:after="0" w:line="360" w:lineRule="auto"/>
        <w:jc w:val="center"/>
        <w:rPr>
          <w:rFonts w:ascii="Verdana" w:hAnsi="Verdana" w:cstheme="minorHAnsi"/>
        </w:rPr>
      </w:pPr>
    </w:p>
    <w:p w14:paraId="591A7AA1" w14:textId="77777777" w:rsidR="008E2CAE" w:rsidRPr="008E2CAE" w:rsidRDefault="008E2CAE" w:rsidP="008E2CAE">
      <w:pPr>
        <w:spacing w:after="0" w:line="360" w:lineRule="auto"/>
        <w:jc w:val="center"/>
        <w:rPr>
          <w:rFonts w:ascii="Verdana" w:hAnsi="Verdana" w:cstheme="minorHAnsi"/>
        </w:rPr>
      </w:pPr>
      <w:r>
        <w:rPr>
          <w:rFonts w:ascii="Verdana" w:hAnsi="Verdana"/>
        </w:rPr>
        <w:t>«Artículo 7, letra a)</w:t>
      </w:r>
    </w:p>
    <w:p w14:paraId="67DF5936" w14:textId="77777777" w:rsidR="008E2CAE" w:rsidRPr="008E2CAE" w:rsidRDefault="008E2CAE" w:rsidP="008E2CAE">
      <w:pPr>
        <w:spacing w:after="0" w:line="360" w:lineRule="auto"/>
        <w:jc w:val="center"/>
        <w:rPr>
          <w:rFonts w:ascii="Verdana" w:hAnsi="Verdana" w:cstheme="minorHAnsi"/>
          <w:b/>
        </w:rPr>
      </w:pPr>
      <w:r>
        <w:rPr>
          <w:rFonts w:ascii="Verdana" w:hAnsi="Verdana"/>
          <w:b/>
        </w:rPr>
        <w:t>Producto de las multas</w:t>
      </w:r>
    </w:p>
    <w:p w14:paraId="7E6E6DF1" w14:textId="77777777" w:rsidR="008E2CAE" w:rsidRPr="008E2CAE" w:rsidRDefault="008E2CAE" w:rsidP="008E2CAE">
      <w:pPr>
        <w:spacing w:after="0" w:line="360" w:lineRule="auto"/>
        <w:jc w:val="both"/>
        <w:rPr>
          <w:rFonts w:ascii="Verdana" w:hAnsi="Verdana" w:cstheme="minorHAnsi"/>
        </w:rPr>
      </w:pPr>
      <w:r>
        <w:rPr>
          <w:rFonts w:ascii="Verdana" w:hAnsi="Verdana"/>
        </w:rPr>
        <w:t>El producto de las multas se asignará de conformidad con la RJCE.».</w:t>
      </w:r>
    </w:p>
    <w:p w14:paraId="2A5DA637" w14:textId="3065A7F9" w:rsidR="008E2CAE" w:rsidRDefault="008E2CAE" w:rsidP="008E2CAE"/>
    <w:p w14:paraId="46E9C03E" w14:textId="0F0B52EB" w:rsidR="00590C52" w:rsidRPr="00412FEF" w:rsidRDefault="00590C52" w:rsidP="00590C52">
      <w:pPr>
        <w:jc w:val="center"/>
        <w:rPr>
          <w:rFonts w:ascii="Verdana" w:hAnsi="Verdana" w:cstheme="minorHAnsi"/>
          <w:b/>
          <w:sz w:val="28"/>
          <w:szCs w:val="28"/>
        </w:rPr>
      </w:pPr>
      <w:r>
        <w:rPr>
          <w:rFonts w:ascii="Verdana" w:hAnsi="Verdana"/>
          <w:b/>
          <w:sz w:val="28"/>
        </w:rPr>
        <w:t>Capítulo XI</w:t>
      </w:r>
    </w:p>
    <w:p w14:paraId="4078BAD7" w14:textId="65125DFF" w:rsidR="00590C52" w:rsidRPr="00412FEF" w:rsidRDefault="00590C52" w:rsidP="00412FEF">
      <w:pPr>
        <w:jc w:val="center"/>
        <w:rPr>
          <w:rFonts w:ascii="Verdana" w:hAnsi="Verdana" w:cstheme="minorHAnsi"/>
          <w:b/>
        </w:rPr>
      </w:pPr>
      <w:r>
        <w:rPr>
          <w:rFonts w:ascii="Verdana" w:hAnsi="Verdana"/>
          <w:b/>
        </w:rPr>
        <w:t>Disposiciones adicionales, transitorias y finales</w:t>
      </w:r>
    </w:p>
    <w:p w14:paraId="516113FA" w14:textId="77777777" w:rsidR="008E2CAE" w:rsidRPr="008E2CAE" w:rsidRDefault="008E2CAE" w:rsidP="008E2CAE"/>
    <w:p w14:paraId="5E44B2A4" w14:textId="20280901" w:rsidR="008E2CAE" w:rsidRPr="006A3393" w:rsidRDefault="00AC3F76" w:rsidP="00AC3F76">
      <w:pPr>
        <w:pStyle w:val="Heading2"/>
        <w:numPr>
          <w:ilvl w:val="0"/>
          <w:numId w:val="0"/>
        </w:numPr>
        <w:tabs>
          <w:tab w:val="clear" w:pos="1701"/>
          <w:tab w:val="left" w:pos="1560"/>
        </w:tabs>
        <w:ind w:left="426"/>
      </w:pPr>
      <w:r>
        <w:t>Artículo 28</w:t>
      </w:r>
      <w:r>
        <w:br/>
        <w:t>Disposición derogatoria</w:t>
      </w:r>
    </w:p>
    <w:p w14:paraId="11429E44" w14:textId="31E1C1C5" w:rsidR="008E2CAE" w:rsidRPr="008E2CAE" w:rsidRDefault="00590C52" w:rsidP="00007109">
      <w:pPr>
        <w:jc w:val="both"/>
        <w:rPr>
          <w:rFonts w:ascii="Verdana" w:hAnsi="Verdana"/>
        </w:rPr>
      </w:pPr>
      <w:r>
        <w:rPr>
          <w:rFonts w:ascii="Verdana" w:hAnsi="Verdana"/>
        </w:rPr>
        <w:t>Queda derogada la Ley n.º 76/2019, de 2 de septiembre.</w:t>
      </w:r>
    </w:p>
    <w:p w14:paraId="43BE6334" w14:textId="5A32863C" w:rsidR="008E2CAE" w:rsidRPr="008E2CAE" w:rsidRDefault="008E2CAE" w:rsidP="00007109">
      <w:pPr>
        <w:jc w:val="both"/>
        <w:rPr>
          <w:rFonts w:ascii="Verdana" w:hAnsi="Verdana"/>
        </w:rPr>
      </w:pPr>
      <w:bookmarkStart w:id="61" w:name="_Hlk36038265"/>
    </w:p>
    <w:bookmarkEnd w:id="61"/>
    <w:p w14:paraId="0044BACA" w14:textId="5CB7690D" w:rsidR="0037079D" w:rsidRPr="0037079D" w:rsidRDefault="00A315EC" w:rsidP="00A315EC">
      <w:pPr>
        <w:pStyle w:val="Heading2"/>
        <w:numPr>
          <w:ilvl w:val="0"/>
          <w:numId w:val="0"/>
        </w:numPr>
        <w:tabs>
          <w:tab w:val="clear" w:pos="1701"/>
          <w:tab w:val="left" w:pos="1560"/>
        </w:tabs>
        <w:ind w:left="426"/>
      </w:pPr>
      <w:r>
        <w:lastRenderedPageBreak/>
        <w:t>Artículo 29</w:t>
      </w:r>
      <w:r>
        <w:br/>
        <w:t>Aplicación subsidiaria del Decreto-Ley n.º 152-D/2017, de 11 de diciembre</w:t>
      </w:r>
    </w:p>
    <w:p w14:paraId="138F4285" w14:textId="75213671" w:rsidR="008E2CAE" w:rsidRPr="003F6B93" w:rsidRDefault="008E2CAE" w:rsidP="008E2CAE">
      <w:pPr>
        <w:jc w:val="both"/>
        <w:rPr>
          <w:rFonts w:ascii="Verdana" w:hAnsi="Verdana"/>
        </w:rPr>
      </w:pPr>
      <w:r>
        <w:rPr>
          <w:rFonts w:ascii="Verdana" w:hAnsi="Verdana"/>
        </w:rPr>
        <w:t>En todo lo que no esté expresamente previsto en el presente Decreto-Ley, se aplicará adicionalmente el GSWM.</w:t>
      </w:r>
    </w:p>
    <w:p w14:paraId="180438A2" w14:textId="77777777" w:rsidR="008E2CAE" w:rsidRPr="00007109" w:rsidRDefault="008E2CAE" w:rsidP="00007109">
      <w:pPr>
        <w:jc w:val="both"/>
        <w:rPr>
          <w:rFonts w:ascii="Verdana" w:hAnsi="Verdana"/>
        </w:rPr>
      </w:pPr>
    </w:p>
    <w:p w14:paraId="0F3BF910" w14:textId="2FA11858" w:rsidR="00D573FE" w:rsidRDefault="00AC3F76" w:rsidP="00AC3F76">
      <w:pPr>
        <w:pStyle w:val="Heading2"/>
        <w:numPr>
          <w:ilvl w:val="0"/>
          <w:numId w:val="0"/>
        </w:numPr>
        <w:tabs>
          <w:tab w:val="clear" w:pos="1701"/>
          <w:tab w:val="left" w:pos="1418"/>
        </w:tabs>
        <w:ind w:left="426"/>
      </w:pPr>
      <w:r>
        <w:t>Artículo 30</w:t>
      </w:r>
      <w:r>
        <w:br/>
        <w:t>Obligación de cooperación y presentación de documentos</w:t>
      </w:r>
    </w:p>
    <w:p w14:paraId="1201E132" w14:textId="77777777" w:rsidR="0037079D" w:rsidRPr="0037079D" w:rsidRDefault="0037079D" w:rsidP="0037079D"/>
    <w:p w14:paraId="167E15F1" w14:textId="4CFE5D31" w:rsidR="001E4779" w:rsidRPr="001E4779" w:rsidRDefault="001E4779" w:rsidP="00C525D6">
      <w:pPr>
        <w:pStyle w:val="ListParagraph"/>
        <w:numPr>
          <w:ilvl w:val="0"/>
          <w:numId w:val="63"/>
        </w:numPr>
        <w:ind w:left="709"/>
        <w:jc w:val="both"/>
        <w:rPr>
          <w:rFonts w:ascii="Verdana" w:hAnsi="Verdana"/>
        </w:rPr>
      </w:pPr>
      <w:r>
        <w:rPr>
          <w:rFonts w:ascii="Verdana" w:hAnsi="Verdana"/>
        </w:rPr>
        <w:t>APA, I.P., DGAE, DGRM y los organismos de control deben cooperar entre sí para garantizar la aplicación del presente Decreto-Ley, en particular mediante la cooperación técnica y el intercambio de información.</w:t>
      </w:r>
    </w:p>
    <w:p w14:paraId="7E1C832E" w14:textId="61023C9E" w:rsidR="001E4779" w:rsidRPr="001E4779" w:rsidRDefault="001E4779" w:rsidP="00C525D6">
      <w:pPr>
        <w:pStyle w:val="ListParagraph"/>
        <w:numPr>
          <w:ilvl w:val="0"/>
          <w:numId w:val="63"/>
        </w:numPr>
        <w:ind w:left="709"/>
        <w:jc w:val="both"/>
        <w:rPr>
          <w:rFonts w:ascii="Verdana" w:hAnsi="Verdana"/>
        </w:rPr>
      </w:pPr>
      <w:r>
        <w:rPr>
          <w:rFonts w:ascii="Verdana" w:hAnsi="Verdana"/>
        </w:rPr>
        <w:t>2 – La cooperación prevista en el apartado anterior tiene por objeto garantizar el control y el seguimiento integrados de las actividades emprendidas en el marco del presente Decreto-Ley, con la obligación de cooperar con otros organismos públicos interesados, en particular los órganos competentes de las Regiones Autónomas.</w:t>
      </w:r>
    </w:p>
    <w:p w14:paraId="26E18A9A" w14:textId="5F54A302" w:rsidR="001E4779" w:rsidRPr="001E4779" w:rsidRDefault="001E4779" w:rsidP="00C525D6">
      <w:pPr>
        <w:pStyle w:val="ListParagraph"/>
        <w:numPr>
          <w:ilvl w:val="0"/>
          <w:numId w:val="63"/>
        </w:numPr>
        <w:ind w:left="709"/>
        <w:jc w:val="both"/>
        <w:rPr>
          <w:rFonts w:ascii="Verdana" w:hAnsi="Verdana"/>
        </w:rPr>
      </w:pPr>
      <w:r>
        <w:rPr>
          <w:rFonts w:ascii="Verdana" w:hAnsi="Verdana"/>
        </w:rPr>
        <w:t>La presentación de documentos contemplada en el presente Decreto-Ley que esté en posesión de los servicios u organismos de la administración pública, podrá ser exenta y obtenida a través de la Plataforma de Interoperabilidad de la Administración Pública, de conformidad con el artículo 28-A del Decreto-Ley n.º 135/99, de 22 de abril de 1999, en su forma actual, si los ciudadanos u operadores económicos dan su consentimiento al respecto.</w:t>
      </w:r>
    </w:p>
    <w:p w14:paraId="1E683183" w14:textId="77777777" w:rsidR="008B4B7F" w:rsidRPr="003F6B93" w:rsidRDefault="008B4B7F" w:rsidP="003035F6">
      <w:pPr>
        <w:jc w:val="center"/>
        <w:rPr>
          <w:rFonts w:ascii="Verdana" w:hAnsi="Verdana"/>
        </w:rPr>
      </w:pPr>
    </w:p>
    <w:p w14:paraId="1E403387" w14:textId="517F0FA0" w:rsidR="008B4B7F" w:rsidRDefault="00AC3F76" w:rsidP="00AC3F76">
      <w:pPr>
        <w:pStyle w:val="Heading2"/>
        <w:numPr>
          <w:ilvl w:val="0"/>
          <w:numId w:val="0"/>
        </w:numPr>
        <w:tabs>
          <w:tab w:val="clear" w:pos="1701"/>
          <w:tab w:val="left" w:pos="1418"/>
        </w:tabs>
        <w:ind w:left="426"/>
      </w:pPr>
      <w:r>
        <w:t>Artículo 31</w:t>
      </w:r>
      <w:r>
        <w:br/>
        <w:t>Regiones Autónomas</w:t>
      </w:r>
    </w:p>
    <w:p w14:paraId="58156734" w14:textId="77777777" w:rsidR="0037079D" w:rsidRPr="0037079D" w:rsidRDefault="0037079D" w:rsidP="0037079D"/>
    <w:p w14:paraId="45480258" w14:textId="4D486621" w:rsidR="008B4B7F" w:rsidRPr="00875033" w:rsidRDefault="008B4B7F" w:rsidP="00C525D6">
      <w:pPr>
        <w:pStyle w:val="ListParagraph"/>
        <w:numPr>
          <w:ilvl w:val="0"/>
          <w:numId w:val="64"/>
        </w:numPr>
        <w:ind w:left="709"/>
        <w:jc w:val="both"/>
        <w:rPr>
          <w:rFonts w:ascii="Verdana" w:hAnsi="Verdana"/>
        </w:rPr>
      </w:pPr>
      <w:r>
        <w:rPr>
          <w:rFonts w:ascii="Verdana" w:hAnsi="Verdana"/>
        </w:rPr>
        <w:t xml:space="preserve">El presente Decreto-Ley se aplicará a las regiones autónomas de las Azores y Madeira, sin perjuicio de su idoneidad a las especificidades regionales, de conformidad con su respectiva autonomía política y administrativa, siendo su ejecución la obligación de los servicios y organismos de los respectivos gobiernos autónomos regionales de las </w:t>
      </w:r>
      <w:r>
        <w:rPr>
          <w:rFonts w:ascii="Verdana" w:hAnsi="Verdana"/>
        </w:rPr>
        <w:lastRenderedPageBreak/>
        <w:t>tareas y competencias en el ámbito de la gestión de residuos, sin perjuicio de las competencias de los organismos a nivel nacional.</w:t>
      </w:r>
    </w:p>
    <w:p w14:paraId="3387C8A0" w14:textId="6D82DF72" w:rsidR="008B4B7F" w:rsidRPr="00875033" w:rsidRDefault="008B4B7F" w:rsidP="00C525D6">
      <w:pPr>
        <w:pStyle w:val="ListParagraph"/>
        <w:numPr>
          <w:ilvl w:val="0"/>
          <w:numId w:val="64"/>
        </w:numPr>
        <w:ind w:left="709"/>
        <w:jc w:val="both"/>
        <w:rPr>
          <w:rFonts w:ascii="Verdana" w:hAnsi="Verdana"/>
        </w:rPr>
      </w:pPr>
      <w:r>
        <w:rPr>
          <w:rFonts w:ascii="Verdana" w:hAnsi="Verdana"/>
        </w:rPr>
        <w:t>El producto de las multas aplicadas en las regiones autónomas se asignará exclusivamente como ingreso de dichas regiones.</w:t>
      </w:r>
    </w:p>
    <w:p w14:paraId="481EC9CD" w14:textId="77777777" w:rsidR="00667FE9" w:rsidRPr="003F6B93" w:rsidRDefault="00667FE9" w:rsidP="008B4B7F">
      <w:pPr>
        <w:jc w:val="both"/>
        <w:rPr>
          <w:rFonts w:ascii="Verdana" w:hAnsi="Verdana"/>
        </w:rPr>
      </w:pPr>
    </w:p>
    <w:p w14:paraId="284B6D7F" w14:textId="6ADFA1B8" w:rsidR="00667FE9" w:rsidRDefault="00AC3F76" w:rsidP="00AC3F76">
      <w:pPr>
        <w:pStyle w:val="Heading2"/>
        <w:numPr>
          <w:ilvl w:val="0"/>
          <w:numId w:val="0"/>
        </w:numPr>
        <w:tabs>
          <w:tab w:val="clear" w:pos="1701"/>
          <w:tab w:val="left" w:pos="1418"/>
        </w:tabs>
        <w:ind w:left="426"/>
      </w:pPr>
      <w:r>
        <w:t>Artículo 32</w:t>
      </w:r>
      <w:r>
        <w:br/>
        <w:t>Entrada en vigor y producción</w:t>
      </w:r>
    </w:p>
    <w:p w14:paraId="52CD741A" w14:textId="77777777" w:rsidR="0037079D" w:rsidRPr="0037079D" w:rsidRDefault="0037079D" w:rsidP="0037079D"/>
    <w:p w14:paraId="34CDD4A8" w14:textId="200B8CE5" w:rsidR="00DD3E8A" w:rsidRDefault="002A32BE" w:rsidP="00C525D6">
      <w:pPr>
        <w:pStyle w:val="ListParagraph"/>
        <w:numPr>
          <w:ilvl w:val="0"/>
          <w:numId w:val="65"/>
        </w:numPr>
        <w:ind w:left="709"/>
        <w:jc w:val="both"/>
        <w:rPr>
          <w:rFonts w:ascii="Verdana" w:hAnsi="Verdana"/>
        </w:rPr>
      </w:pPr>
      <w:r>
        <w:rPr>
          <w:rFonts w:ascii="Verdana" w:hAnsi="Verdana"/>
        </w:rPr>
        <w:t>El presente Decreto-Ley entrará en vigor el 1 de julio de 2021.</w:t>
      </w:r>
    </w:p>
    <w:p w14:paraId="3CC62673" w14:textId="7628EE87" w:rsidR="00DD3E8A" w:rsidRPr="00DD3E8A" w:rsidRDefault="00DD3E8A" w:rsidP="00C525D6">
      <w:pPr>
        <w:pStyle w:val="ListParagraph"/>
        <w:numPr>
          <w:ilvl w:val="0"/>
          <w:numId w:val="65"/>
        </w:numPr>
        <w:ind w:left="709"/>
        <w:jc w:val="both"/>
        <w:rPr>
          <w:rFonts w:ascii="Verdana" w:hAnsi="Verdana"/>
        </w:rPr>
      </w:pPr>
      <w:r>
        <w:rPr>
          <w:rFonts w:ascii="Verdana" w:hAnsi="Verdana"/>
        </w:rPr>
        <w:t>Sin perjuicio de lo dispuesto en el artículo 183 del Decreto-Ley n.º 9/2021, de 29 de enero de 2021, por el que se aprueban las condiciones jurídicas de las infracciones administrativas económicas, las presentes disposiciones se aplicarán inmediatamente en el caso de las infracciones administrativas previstas en el artículo 21, apartado 1, del presente Decreto-Ley.</w:t>
      </w:r>
    </w:p>
    <w:p w14:paraId="50C301FD" w14:textId="18BDE172" w:rsidR="00DD3E8A" w:rsidRDefault="00DD3E8A" w:rsidP="00575347">
      <w:pPr>
        <w:jc w:val="both"/>
        <w:rPr>
          <w:rFonts w:ascii="Verdana" w:hAnsi="Verdana"/>
        </w:rPr>
      </w:pPr>
    </w:p>
    <w:p w14:paraId="1ACB74EF" w14:textId="77777777" w:rsidR="00575347" w:rsidRPr="00575347" w:rsidRDefault="00575347" w:rsidP="00575347">
      <w:pPr>
        <w:jc w:val="both"/>
        <w:rPr>
          <w:rFonts w:ascii="Verdana" w:hAnsi="Verdana"/>
        </w:rPr>
        <w:sectPr w:rsidR="00575347" w:rsidRPr="0057534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1AA09983" w14:textId="240281D8" w:rsidR="00A172F1" w:rsidRPr="003F6B93" w:rsidRDefault="00A172F1" w:rsidP="00A172F1">
      <w:pPr>
        <w:jc w:val="both"/>
        <w:rPr>
          <w:rFonts w:ascii="Verdana" w:hAnsi="Verdana"/>
        </w:rPr>
      </w:pPr>
    </w:p>
    <w:p w14:paraId="0B29489E" w14:textId="27854E39" w:rsidR="00875033" w:rsidRPr="00575347" w:rsidRDefault="000933C0" w:rsidP="00121E75">
      <w:pPr>
        <w:pStyle w:val="Heading3"/>
      </w:pPr>
      <w:r>
        <w:br/>
      </w:r>
      <w:bookmarkStart w:id="62" w:name="_Ref63440905"/>
      <w:r>
        <w:t>Productos plásticos de un solo uso a que se refiere el artículo 2, apartado 1</w:t>
      </w:r>
      <w:bookmarkEnd w:id="62"/>
    </w:p>
    <w:p w14:paraId="43DD799A"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Vasos para bebidas, incluidos sus tapas y tapones; </w:t>
      </w:r>
    </w:p>
    <w:p w14:paraId="228ED85F"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Recipientes para alimentos, tales como cajas, con o sin tapa, utilizados para contener alimentos que: </w:t>
      </w:r>
    </w:p>
    <w:p w14:paraId="5D0F7CAB" w14:textId="58578C70"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están destinados al consumo inmediato, in situ o para llevar, </w:t>
      </w:r>
    </w:p>
    <w:p w14:paraId="362E82E4" w14:textId="58405378"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normalmente se consumen en el propio recipiente, y </w:t>
      </w:r>
    </w:p>
    <w:p w14:paraId="31602558" w14:textId="0788487C" w:rsidR="006418B1" w:rsidRPr="00875033" w:rsidRDefault="006418B1" w:rsidP="00575347">
      <w:pPr>
        <w:pStyle w:val="ListParagraph"/>
        <w:numPr>
          <w:ilvl w:val="0"/>
          <w:numId w:val="67"/>
        </w:numPr>
        <w:spacing w:line="240" w:lineRule="auto"/>
        <w:rPr>
          <w:rFonts w:ascii="Verdana" w:hAnsi="Verdana"/>
        </w:rPr>
      </w:pPr>
      <w:r>
        <w:rPr>
          <w:rFonts w:ascii="Verdana" w:hAnsi="Verdana"/>
        </w:rPr>
        <w:t>están listos para el consumo sin ninguna otra preparación posterior, como cocinar, hervir o calentar.</w:t>
      </w:r>
    </w:p>
    <w:p w14:paraId="50856381" w14:textId="77777777" w:rsidR="006418B1" w:rsidRPr="003F6B93" w:rsidRDefault="006418B1" w:rsidP="00575347">
      <w:pPr>
        <w:pStyle w:val="ListParagraph"/>
        <w:ind w:left="709"/>
        <w:jc w:val="both"/>
        <w:rPr>
          <w:rFonts w:ascii="Verdana" w:hAnsi="Verdana"/>
        </w:rPr>
      </w:pPr>
      <w:r>
        <w:rPr>
          <w:rFonts w:ascii="Verdana" w:hAnsi="Verdana"/>
        </w:rPr>
        <w:t>Estos incluyen recipientes para alimentos utilizados para comida rápida u otros alimentos listos para su consumo inmediato, excepto los recipientes para bebidas, platos, y envases y envoltorios que contengan alimentos;</w:t>
      </w:r>
    </w:p>
    <w:p w14:paraId="28473118" w14:textId="4C13086B"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Bastoncillos de algodón, excepto si entran en el ámbito de aplicación del Decreto-Ley n.º 145/2009, de 17 de junio en su forma actual; </w:t>
      </w:r>
    </w:p>
    <w:p w14:paraId="4E332868"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Cubiertos (tenedores, cuchillos, cucharas, palillos); </w:t>
      </w:r>
    </w:p>
    <w:p w14:paraId="1BA1EA96"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Platos; </w:t>
      </w:r>
    </w:p>
    <w:p w14:paraId="2DB136F0" w14:textId="7FEE640F"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Pajitas, excepto si entran en el ámbito de aplicación del Decreto-Ley n.º 145/2009, de 17 de junio en su forma actual; </w:t>
      </w:r>
    </w:p>
    <w:p w14:paraId="029562BE"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agitadores de bebidas; </w:t>
      </w:r>
    </w:p>
    <w:p w14:paraId="37F9C66D" w14:textId="77777777" w:rsidR="007879A9"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palitos destinados a sujetar e ir unidos a globos, con excepción de los globos para usos y aplicaciones industriales y profesionales que no se distribuyen a los consumidores, incluidos los mecanismos de esos palitos;</w:t>
      </w:r>
    </w:p>
    <w:p w14:paraId="3BD5CD2C"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Recipientes para alimentos, hechos de poliestireno expandido, tales como cajas, con o sin tapa, utilizados con el fin de contener alimentos que: </w:t>
      </w:r>
    </w:p>
    <w:p w14:paraId="134BCB71" w14:textId="66E95134"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están destinados al consumo inmediato, in situ o para llevar, </w:t>
      </w:r>
    </w:p>
    <w:p w14:paraId="6CE4B79B" w14:textId="1FDD2417"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normalmente se consumen en el propio recipiente, y </w:t>
      </w:r>
    </w:p>
    <w:p w14:paraId="3B4977B3" w14:textId="01BE44ED"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están listos para el consumo sin ninguna otra preparación posterior, como cocinar, hervir o calentar. </w:t>
      </w:r>
    </w:p>
    <w:p w14:paraId="574EB5F8" w14:textId="0C81E672" w:rsidR="00502353" w:rsidRPr="003F6B93" w:rsidRDefault="00F957CC" w:rsidP="00575347">
      <w:pPr>
        <w:pStyle w:val="ListParagraph"/>
        <w:tabs>
          <w:tab w:val="left" w:pos="993"/>
        </w:tabs>
        <w:ind w:left="709"/>
        <w:jc w:val="both"/>
        <w:rPr>
          <w:rFonts w:ascii="Verdana" w:hAnsi="Verdana"/>
        </w:rPr>
      </w:pPr>
      <w:r>
        <w:rPr>
          <w:rFonts w:ascii="Verdana" w:hAnsi="Verdana"/>
        </w:rPr>
        <w:t xml:space="preserve">Estos incluyen recipientes para alimentos utilizados para comida rápida u otros alimentos listos para su consumo inmediato, excepto los recipientes para bebidas, platos, y envases y envoltorios que contengan alimentos; </w:t>
      </w:r>
    </w:p>
    <w:p w14:paraId="391C3ED9"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Recipientes para bebidas hechos de poliestireno expandido, incluidos sus tapas y tapones; </w:t>
      </w:r>
    </w:p>
    <w:p w14:paraId="11679328" w14:textId="356AA442" w:rsidR="00F957CC"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lastRenderedPageBreak/>
        <w:t>Vasos para bebidas hechos de poliestireno expandido, incluidos sus tapas y tapones;</w:t>
      </w:r>
    </w:p>
    <w:p w14:paraId="58289D5C"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Recipientes para bebidas de hasta tres litros de capacidad, es decir, recipientes utilizados para contener líquidos, como las botellas para bebidas, incluidos sus tapas y tapones y los envases compuestos para bebidas, incluidos sus tapas y tapones. Sin embargo son una excepción: </w:t>
      </w:r>
    </w:p>
    <w:p w14:paraId="42BC013C" w14:textId="11D5E5C8" w:rsidR="00FD6DE7" w:rsidRPr="003F6B93" w:rsidRDefault="00FD6DE7" w:rsidP="00575347">
      <w:pPr>
        <w:pStyle w:val="ListParagraph"/>
        <w:numPr>
          <w:ilvl w:val="0"/>
          <w:numId w:val="69"/>
        </w:numPr>
        <w:spacing w:line="240" w:lineRule="auto"/>
        <w:rPr>
          <w:rFonts w:ascii="Verdana" w:hAnsi="Verdana"/>
        </w:rPr>
      </w:pPr>
      <w:r>
        <w:rPr>
          <w:rFonts w:ascii="Verdana" w:hAnsi="Verdana"/>
        </w:rPr>
        <w:t xml:space="preserve">los recipientes para bebidas de vidrio o de metal con tapas y tapones hechos de plástico; </w:t>
      </w:r>
    </w:p>
    <w:p w14:paraId="6E7263C6" w14:textId="6B820680" w:rsidR="00FD6DE7" w:rsidRPr="003F6B93" w:rsidRDefault="00FD6DE7" w:rsidP="00575347">
      <w:pPr>
        <w:pStyle w:val="ListParagraph"/>
        <w:numPr>
          <w:ilvl w:val="0"/>
          <w:numId w:val="69"/>
        </w:numPr>
        <w:spacing w:line="240" w:lineRule="auto"/>
        <w:rPr>
          <w:rFonts w:ascii="Verdana" w:hAnsi="Verdana"/>
        </w:rPr>
      </w:pPr>
      <w:r>
        <w:rPr>
          <w:rFonts w:ascii="Verdana" w:hAnsi="Verdana"/>
        </w:rPr>
        <w:t>los recipientes para bebidas destinados y utilizados para alimentos para usos médicos especiales, tal como se definen en el artículo 2, letra g), del Reglamento (UE) n.º 609/2013 del Parlamento Europeo y del Consejo (3), que estén en estado líquido;</w:t>
      </w:r>
    </w:p>
    <w:p w14:paraId="70363A60"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compresas, tampones higiénicos y aplicadores de tampones; </w:t>
      </w:r>
    </w:p>
    <w:p w14:paraId="4FE8461D"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toallitas húmedas, es decir, toallitas </w:t>
      </w:r>
      <w:proofErr w:type="spellStart"/>
      <w:r>
        <w:rPr>
          <w:rFonts w:ascii="Verdana" w:hAnsi="Verdana"/>
        </w:rPr>
        <w:t>prehumedecidas</w:t>
      </w:r>
      <w:proofErr w:type="spellEnd"/>
      <w:r>
        <w:rPr>
          <w:rFonts w:ascii="Verdana" w:hAnsi="Verdana"/>
        </w:rPr>
        <w:t xml:space="preserve"> para higiene personal y para uso doméstico; </w:t>
      </w:r>
    </w:p>
    <w:p w14:paraId="027317AB"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productos derivados del tabaco con filtros y filtros comercializados para utilizarse en combinación con productos derivados del tabaco; </w:t>
      </w:r>
    </w:p>
    <w:p w14:paraId="45459176" w14:textId="2227CC2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envases y envoltorios fabricados con un material flexible que contienen alimentos destinados a un consumo inmediato en el propio envoltorio o envase sin ninguna otra preparación posterior;</w:t>
      </w:r>
    </w:p>
    <w:p w14:paraId="6BCFB3EE" w14:textId="7C3E78E1"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bolsas de plástico ligeras.</w:t>
      </w:r>
    </w:p>
    <w:p w14:paraId="289B47C5" w14:textId="50B62608"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globos, excepto los globos para usos y aplicaciones industriales y profesionales, que no se distribuyan a los consumidores;</w:t>
      </w:r>
    </w:p>
    <w:bookmarkEnd w:id="0"/>
    <w:p w14:paraId="199D7A21" w14:textId="77777777" w:rsidR="00092BC2" w:rsidRPr="00B73AFF" w:rsidRDefault="00092BC2" w:rsidP="00092BC2">
      <w:pPr>
        <w:rPr>
          <w:rFonts w:ascii="Verdana" w:hAnsi="Verdana"/>
        </w:rPr>
      </w:pPr>
    </w:p>
    <w:sectPr w:rsidR="00092BC2" w:rsidRPr="00B73A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3969C" w14:textId="77777777" w:rsidR="002A2740" w:rsidRDefault="002A2740" w:rsidP="007879A9">
      <w:pPr>
        <w:spacing w:after="0" w:line="240" w:lineRule="auto"/>
      </w:pPr>
      <w:r>
        <w:separator/>
      </w:r>
    </w:p>
  </w:endnote>
  <w:endnote w:type="continuationSeparator" w:id="0">
    <w:p w14:paraId="12B7CCE0" w14:textId="77777777" w:rsidR="002A2740" w:rsidRDefault="002A2740" w:rsidP="0078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216" w14:textId="77777777" w:rsidR="00D4270E" w:rsidRDefault="00D4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05A1" w14:textId="66925990" w:rsidR="00D4270E" w:rsidRDefault="00D4270E">
    <w:pPr>
      <w:pStyle w:val="Footer"/>
    </w:pPr>
    <w:r>
      <w:t>Versión 15.03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A1F" w14:textId="77777777" w:rsidR="00D4270E" w:rsidRDefault="00D4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34443" w14:textId="77777777" w:rsidR="002A2740" w:rsidRDefault="002A2740" w:rsidP="007879A9">
      <w:pPr>
        <w:spacing w:after="0" w:line="240" w:lineRule="auto"/>
      </w:pPr>
      <w:r>
        <w:separator/>
      </w:r>
    </w:p>
  </w:footnote>
  <w:footnote w:type="continuationSeparator" w:id="0">
    <w:p w14:paraId="69966BFB" w14:textId="77777777" w:rsidR="002A2740" w:rsidRDefault="002A2740" w:rsidP="0078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344D" w14:textId="77777777" w:rsidR="00D4270E" w:rsidRDefault="00D4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0618" w14:textId="203BD1E5" w:rsidR="00D4270E" w:rsidRPr="00C82E2D" w:rsidRDefault="00D4270E" w:rsidP="00C82E2D">
    <w:pPr>
      <w:tabs>
        <w:tab w:val="right" w:pos="7655"/>
      </w:tabs>
      <w:spacing w:after="360"/>
      <w:ind w:firstLine="993"/>
      <w:jc w:val="center"/>
      <w:rPr>
        <w:rFonts w:ascii="Palatino" w:eastAsia="Times New Roman" w:hAnsi="Palatino" w:cs="Times New Roman"/>
        <w:sz w:val="32"/>
        <w:szCs w:val="32"/>
      </w:rPr>
    </w:pPr>
    <w:r>
      <w:rPr>
        <w:rFonts w:ascii="Times New Roman" w:hAnsi="Times New Roman"/>
        <w:noProof/>
        <w:sz w:val="24"/>
      </w:rPr>
      <w:drawing>
        <wp:inline distT="0" distB="0" distL="0" distR="0" wp14:anchorId="1210180C" wp14:editId="0E774AB8">
          <wp:extent cx="409575" cy="409575"/>
          <wp:effectExtent l="0" t="0" r="9525" b="9525"/>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4BB9339" w14:textId="77777777" w:rsidR="00D4270E" w:rsidRPr="00C82E2D" w:rsidRDefault="00D4270E" w:rsidP="00C82E2D">
    <w:pPr>
      <w:tabs>
        <w:tab w:val="right" w:pos="7655"/>
      </w:tabs>
      <w:spacing w:after="360" w:line="240" w:lineRule="auto"/>
      <w:ind w:firstLine="993"/>
      <w:jc w:val="both"/>
      <w:rPr>
        <w:rFonts w:ascii="Palatino" w:eastAsia="Times New Roman" w:hAnsi="Palatino" w:cs="Times New Roman"/>
        <w:sz w:val="32"/>
        <w:szCs w:val="32"/>
      </w:rPr>
    </w:pPr>
    <w:r>
      <w:rPr>
        <w:rFonts w:ascii="Palatino" w:hAnsi="Palatino"/>
        <w:sz w:val="32"/>
      </w:rPr>
      <w:t xml:space="preserve"> Ministro de</w:t>
    </w:r>
    <w:r>
      <w:rPr>
        <w:rFonts w:ascii="Times New Roman" w:hAnsi="Times New Roman"/>
        <w:sz w:val="32"/>
        <w:u w:val="dotted"/>
      </w:rPr>
      <w:tab/>
    </w:r>
  </w:p>
  <w:p w14:paraId="1B0BB6A5" w14:textId="77777777" w:rsidR="00D4270E" w:rsidRPr="00C82E2D" w:rsidRDefault="00D4270E" w:rsidP="00C82E2D">
    <w:pPr>
      <w:tabs>
        <w:tab w:val="center" w:pos="4252"/>
        <w:tab w:val="left" w:pos="6210"/>
      </w:tabs>
      <w:spacing w:before="120" w:after="120" w:line="240" w:lineRule="auto"/>
      <w:rPr>
        <w:rFonts w:ascii="Cambria" w:eastAsia="Times New Roman" w:hAnsi="Cambria" w:cs="Times New Roman"/>
        <w:sz w:val="32"/>
        <w:szCs w:val="32"/>
      </w:rPr>
    </w:pPr>
    <w:r>
      <w:rPr>
        <w:rFonts w:ascii="Times New Roman" w:hAnsi="Times New Roman"/>
        <w:sz w:val="32"/>
      </w:rPr>
      <w:tab/>
    </w:r>
    <w:r w:rsidR="002A2740">
      <w:rPr>
        <w:rFonts w:ascii="Cambria" w:hAnsi="Cambria"/>
      </w:rPr>
      <w:pict w14:anchorId="6C2C0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6.1pt">
          <v:imagedata r:id="rId2" o:title=""/>
        </v:shape>
      </w:pict>
    </w:r>
    <w:r>
      <w:rPr>
        <w:rFonts w:ascii="Times New Roman" w:hAnsi="Times New Roman"/>
        <w:sz w:val="32"/>
      </w:rPr>
      <w:tab/>
    </w:r>
  </w:p>
  <w:p w14:paraId="2B6A8F9D" w14:textId="77777777" w:rsidR="00D4270E" w:rsidRPr="00C82E2D" w:rsidRDefault="00D4270E" w:rsidP="00C82E2D">
    <w:pPr>
      <w:tabs>
        <w:tab w:val="left" w:pos="4678"/>
        <w:tab w:val="left" w:pos="6237"/>
      </w:tabs>
      <w:spacing w:after="0" w:line="240" w:lineRule="auto"/>
      <w:ind w:firstLine="2410"/>
      <w:jc w:val="both"/>
      <w:rPr>
        <w:rFonts w:ascii="Palatino" w:eastAsia="Times New Roman" w:hAnsi="Palatino" w:cs="Times New Roman"/>
        <w:sz w:val="24"/>
        <w:szCs w:val="24"/>
        <w:lang w:eastAsia="pt-PT"/>
      </w:rPr>
    </w:pPr>
  </w:p>
  <w:p w14:paraId="3214524D" w14:textId="77777777" w:rsidR="00D4270E" w:rsidRPr="00C82E2D" w:rsidRDefault="00D4270E" w:rsidP="00C82E2D">
    <w:pPr>
      <w:tabs>
        <w:tab w:val="left" w:pos="4678"/>
        <w:tab w:val="left" w:pos="6237"/>
      </w:tabs>
      <w:spacing w:after="0" w:line="240" w:lineRule="auto"/>
      <w:ind w:firstLine="2410"/>
      <w:jc w:val="both"/>
      <w:rPr>
        <w:rFonts w:ascii="Cambria" w:eastAsia="Times New Roman" w:hAnsi="Cambria" w:cs="Times New Roman"/>
        <w:sz w:val="32"/>
        <w:szCs w:val="32"/>
      </w:rPr>
    </w:pPr>
    <w:r>
      <w:rPr>
        <w:rFonts w:ascii="Palatino" w:hAnsi="Palatino"/>
        <w:sz w:val="24"/>
      </w:rPr>
      <w:t xml:space="preserve">Decreto </w:t>
    </w:r>
    <w:r>
      <w:rPr>
        <w:rFonts w:ascii="Times New Roman" w:hAnsi="Times New Roman"/>
        <w:sz w:val="32"/>
        <w:u w:val="dotted"/>
        <w:vertAlign w:val="subscript"/>
      </w:rPr>
      <w:tab/>
    </w:r>
    <w:r>
      <w:rPr>
        <w:rFonts w:ascii="Palatino" w:hAnsi="Palatino"/>
        <w:sz w:val="24"/>
      </w:rPr>
      <w:t xml:space="preserve"> n.º</w:t>
    </w:r>
    <w:r>
      <w:rPr>
        <w:rFonts w:ascii="Arial" w:hAnsi="Arial"/>
        <w:sz w:val="32"/>
      </w:rPr>
      <w:t xml:space="preserve"> </w:t>
    </w:r>
    <w:r>
      <w:rPr>
        <w:rFonts w:ascii="Times New Roman" w:hAnsi="Times New Roman"/>
        <w:sz w:val="32"/>
        <w:u w:val="dotted"/>
        <w:vertAlign w:val="subscript"/>
      </w:rPr>
      <w:tab/>
    </w:r>
  </w:p>
  <w:p w14:paraId="66BF1573" w14:textId="50A62CC3" w:rsidR="00D4270E" w:rsidRDefault="00D4270E" w:rsidP="00787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8E7A" w14:textId="77777777" w:rsidR="00D4270E" w:rsidRDefault="00D4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4A7"/>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232881"/>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83190"/>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8F84C7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0AC00B7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BD274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514703"/>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E15EFC"/>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31CC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5E812E6"/>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6C66415"/>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7F54B4B"/>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3" w15:restartNumberingAfterBreak="0">
    <w:nsid w:val="1AF8617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30894"/>
    <w:multiLevelType w:val="hybridMultilevel"/>
    <w:tmpl w:val="E7D096DE"/>
    <w:lvl w:ilvl="0" w:tplc="2B4682E0">
      <w:start w:val="1"/>
      <w:numFmt w:val="decimal"/>
      <w:lvlText w:val="%1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F0125F7"/>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1171F0D"/>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3B33B48"/>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8" w15:restartNumberingAfterBreak="0">
    <w:nsid w:val="28E20FF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0B2580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C0537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CA0EB8"/>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55650C8"/>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2A1B50"/>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97716C"/>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9E73B2"/>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3C7C6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3DBA4468"/>
    <w:multiLevelType w:val="hybridMultilevel"/>
    <w:tmpl w:val="16761180"/>
    <w:lvl w:ilvl="0" w:tplc="4774ADE4">
      <w:start w:val="1"/>
      <w:numFmt w:val="lowerLetter"/>
      <w:lvlText w:val="%1)"/>
      <w:lvlJc w:val="left"/>
      <w:pPr>
        <w:ind w:left="1428" w:hanging="360"/>
      </w:pPr>
      <w:rPr>
        <w:rFonts w:hint="default"/>
      </w:rPr>
    </w:lvl>
    <w:lvl w:ilvl="1" w:tplc="08160017">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8" w15:restartNumberingAfterBreak="0">
    <w:nsid w:val="3E4D3EF5"/>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2E04A9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3166C4F"/>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1" w15:restartNumberingAfterBreak="0">
    <w:nsid w:val="43541F79"/>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856D98"/>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44E71D84"/>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7596925"/>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D418A9"/>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1C19B7"/>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0E4615"/>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8" w15:restartNumberingAfterBreak="0">
    <w:nsid w:val="4F9418F5"/>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39" w15:restartNumberingAfterBreak="0">
    <w:nsid w:val="50F6432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3FF195F"/>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4F45FE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0A5F79"/>
    <w:multiLevelType w:val="hybridMultilevel"/>
    <w:tmpl w:val="60367A12"/>
    <w:lvl w:ilvl="0" w:tplc="3B720724">
      <w:start w:val="1"/>
      <w:numFmt w:val="upperRoman"/>
      <w:pStyle w:val="Heading1"/>
      <w:lvlText w:val="CAPÍTULO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72F726B"/>
    <w:multiLevelType w:val="hybridMultilevel"/>
    <w:tmpl w:val="2236D358"/>
    <w:lvl w:ilvl="0" w:tplc="54D85534">
      <w:start w:val="1"/>
      <w:numFmt w:val="decimal"/>
      <w:pStyle w:val="Heading2"/>
      <w:lvlText w:val="Artigo %1.º"/>
      <w:lvlJc w:val="left"/>
      <w:pPr>
        <w:ind w:left="5400" w:hanging="360"/>
      </w:pPr>
      <w:rPr>
        <w:rFonts w:hint="default"/>
        <w:b w:val="0"/>
      </w:rPr>
    </w:lvl>
    <w:lvl w:ilvl="1" w:tplc="08160019" w:tentative="1">
      <w:start w:val="1"/>
      <w:numFmt w:val="lowerLetter"/>
      <w:lvlText w:val="%2."/>
      <w:lvlJc w:val="left"/>
      <w:pPr>
        <w:ind w:left="-2026" w:hanging="360"/>
      </w:pPr>
    </w:lvl>
    <w:lvl w:ilvl="2" w:tplc="0816001B" w:tentative="1">
      <w:start w:val="1"/>
      <w:numFmt w:val="lowerRoman"/>
      <w:lvlText w:val="%3."/>
      <w:lvlJc w:val="right"/>
      <w:pPr>
        <w:ind w:left="-1306" w:hanging="180"/>
      </w:pPr>
    </w:lvl>
    <w:lvl w:ilvl="3" w:tplc="0816000F" w:tentative="1">
      <w:start w:val="1"/>
      <w:numFmt w:val="decimal"/>
      <w:lvlText w:val="%4."/>
      <w:lvlJc w:val="left"/>
      <w:pPr>
        <w:ind w:left="-586" w:hanging="360"/>
      </w:pPr>
    </w:lvl>
    <w:lvl w:ilvl="4" w:tplc="08160019" w:tentative="1">
      <w:start w:val="1"/>
      <w:numFmt w:val="lowerLetter"/>
      <w:lvlText w:val="%5."/>
      <w:lvlJc w:val="left"/>
      <w:pPr>
        <w:ind w:left="134" w:hanging="360"/>
      </w:pPr>
    </w:lvl>
    <w:lvl w:ilvl="5" w:tplc="0816001B" w:tentative="1">
      <w:start w:val="1"/>
      <w:numFmt w:val="lowerRoman"/>
      <w:lvlText w:val="%6."/>
      <w:lvlJc w:val="right"/>
      <w:pPr>
        <w:ind w:left="854" w:hanging="180"/>
      </w:pPr>
    </w:lvl>
    <w:lvl w:ilvl="6" w:tplc="0816000F" w:tentative="1">
      <w:start w:val="1"/>
      <w:numFmt w:val="decimal"/>
      <w:lvlText w:val="%7."/>
      <w:lvlJc w:val="left"/>
      <w:pPr>
        <w:ind w:left="1574" w:hanging="360"/>
      </w:pPr>
    </w:lvl>
    <w:lvl w:ilvl="7" w:tplc="08160019" w:tentative="1">
      <w:start w:val="1"/>
      <w:numFmt w:val="lowerLetter"/>
      <w:lvlText w:val="%8."/>
      <w:lvlJc w:val="left"/>
      <w:pPr>
        <w:ind w:left="2294" w:hanging="360"/>
      </w:pPr>
    </w:lvl>
    <w:lvl w:ilvl="8" w:tplc="0816001B" w:tentative="1">
      <w:start w:val="1"/>
      <w:numFmt w:val="lowerRoman"/>
      <w:lvlText w:val="%9."/>
      <w:lvlJc w:val="right"/>
      <w:pPr>
        <w:ind w:left="3014" w:hanging="180"/>
      </w:pPr>
    </w:lvl>
  </w:abstractNum>
  <w:abstractNum w:abstractNumId="44" w15:restartNumberingAfterBreak="0">
    <w:nsid w:val="573C4F20"/>
    <w:multiLevelType w:val="hybridMultilevel"/>
    <w:tmpl w:val="23EC7F56"/>
    <w:lvl w:ilvl="0" w:tplc="9BB280BA">
      <w:start w:val="1"/>
      <w:numFmt w:val="lowerLetter"/>
      <w:lvlText w:val="%1)"/>
      <w:lvlJc w:val="left"/>
      <w:pPr>
        <w:ind w:left="1080" w:hanging="360"/>
      </w:pPr>
      <w:rPr>
        <w:i/>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593C1F19"/>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0141F53"/>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7" w15:restartNumberingAfterBreak="0">
    <w:nsid w:val="603345C6"/>
    <w:multiLevelType w:val="hybridMultilevel"/>
    <w:tmpl w:val="FB5A2F40"/>
    <w:lvl w:ilvl="0" w:tplc="2B4682E0">
      <w:start w:val="1"/>
      <w:numFmt w:val="decimal"/>
      <w:lvlText w:val="%1 -"/>
      <w:lvlJc w:val="left"/>
      <w:pPr>
        <w:ind w:left="1920" w:hanging="360"/>
      </w:pPr>
      <w:rPr>
        <w:rFonts w:hint="default"/>
      </w:rPr>
    </w:lvl>
    <w:lvl w:ilvl="1" w:tplc="08160019">
      <w:start w:val="1"/>
      <w:numFmt w:val="lowerLetter"/>
      <w:lvlText w:val="%2."/>
      <w:lvlJc w:val="left"/>
      <w:pPr>
        <w:ind w:left="2411" w:hanging="360"/>
      </w:pPr>
    </w:lvl>
    <w:lvl w:ilvl="2" w:tplc="EC3A1064">
      <w:start w:val="1"/>
      <w:numFmt w:val="lowerRoman"/>
      <w:lvlText w:val="%3)"/>
      <w:lvlJc w:val="left"/>
      <w:pPr>
        <w:ind w:left="3360" w:hanging="180"/>
      </w:pPr>
      <w:rPr>
        <w:i/>
      </w:rPr>
    </w:lvl>
    <w:lvl w:ilvl="3" w:tplc="0816000F" w:tentative="1">
      <w:start w:val="1"/>
      <w:numFmt w:val="decimal"/>
      <w:lvlText w:val="%4."/>
      <w:lvlJc w:val="left"/>
      <w:pPr>
        <w:ind w:left="4080" w:hanging="360"/>
      </w:pPr>
    </w:lvl>
    <w:lvl w:ilvl="4" w:tplc="08160019" w:tentative="1">
      <w:start w:val="1"/>
      <w:numFmt w:val="lowerLetter"/>
      <w:lvlText w:val="%5."/>
      <w:lvlJc w:val="left"/>
      <w:pPr>
        <w:ind w:left="4800" w:hanging="360"/>
      </w:pPr>
    </w:lvl>
    <w:lvl w:ilvl="5" w:tplc="0816001B" w:tentative="1">
      <w:start w:val="1"/>
      <w:numFmt w:val="lowerRoman"/>
      <w:lvlText w:val="%6."/>
      <w:lvlJc w:val="right"/>
      <w:pPr>
        <w:ind w:left="5520" w:hanging="180"/>
      </w:pPr>
    </w:lvl>
    <w:lvl w:ilvl="6" w:tplc="0816000F" w:tentative="1">
      <w:start w:val="1"/>
      <w:numFmt w:val="decimal"/>
      <w:lvlText w:val="%7."/>
      <w:lvlJc w:val="left"/>
      <w:pPr>
        <w:ind w:left="6240" w:hanging="360"/>
      </w:pPr>
    </w:lvl>
    <w:lvl w:ilvl="7" w:tplc="08160019" w:tentative="1">
      <w:start w:val="1"/>
      <w:numFmt w:val="lowerLetter"/>
      <w:lvlText w:val="%8."/>
      <w:lvlJc w:val="left"/>
      <w:pPr>
        <w:ind w:left="6960" w:hanging="360"/>
      </w:pPr>
    </w:lvl>
    <w:lvl w:ilvl="8" w:tplc="0816001B" w:tentative="1">
      <w:start w:val="1"/>
      <w:numFmt w:val="lowerRoman"/>
      <w:lvlText w:val="%9."/>
      <w:lvlJc w:val="right"/>
      <w:pPr>
        <w:ind w:left="7680" w:hanging="180"/>
      </w:pPr>
    </w:lvl>
  </w:abstractNum>
  <w:abstractNum w:abstractNumId="48" w15:restartNumberingAfterBreak="0">
    <w:nsid w:val="615C4592"/>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820723"/>
    <w:multiLevelType w:val="hybridMultilevel"/>
    <w:tmpl w:val="E5069E18"/>
    <w:lvl w:ilvl="0" w:tplc="703E7332">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0" w15:restartNumberingAfterBreak="0">
    <w:nsid w:val="61C75E5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2C6039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6007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4736F18"/>
    <w:multiLevelType w:val="hybridMultilevel"/>
    <w:tmpl w:val="5C606C2C"/>
    <w:lvl w:ilvl="0" w:tplc="BDDC2812">
      <w:start w:val="1"/>
      <w:numFmt w:val="lowerRoman"/>
      <w:lvlText w:val="%1)"/>
      <w:lvlJc w:val="right"/>
      <w:pPr>
        <w:ind w:left="1428" w:hanging="360"/>
      </w:pPr>
      <w:rPr>
        <w:rFonts w:hint="default"/>
        <w:b w:val="0"/>
        <w:i/>
      </w:rPr>
    </w:lvl>
    <w:lvl w:ilvl="1" w:tplc="08160019" w:tentative="1">
      <w:start w:val="1"/>
      <w:numFmt w:val="lowerLetter"/>
      <w:lvlText w:val="%2."/>
      <w:lvlJc w:val="left"/>
      <w:pPr>
        <w:ind w:left="2148" w:hanging="360"/>
      </w:pPr>
    </w:lvl>
    <w:lvl w:ilvl="2" w:tplc="EC3A1064">
      <w:start w:val="1"/>
      <w:numFmt w:val="lowerRoman"/>
      <w:lvlText w:val="%3)"/>
      <w:lvlJc w:val="left"/>
      <w:pPr>
        <w:ind w:left="2868" w:hanging="180"/>
      </w:pPr>
      <w:rPr>
        <w:i/>
      </w:rPr>
    </w:lvl>
    <w:lvl w:ilvl="3" w:tplc="0816000F">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4" w15:restartNumberingAfterBreak="0">
    <w:nsid w:val="65D7410C"/>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55" w15:restartNumberingAfterBreak="0">
    <w:nsid w:val="66C864AC"/>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7126E0D"/>
    <w:multiLevelType w:val="hybridMultilevel"/>
    <w:tmpl w:val="EE74656A"/>
    <w:lvl w:ilvl="0" w:tplc="9514B6A8">
      <w:start w:val="1"/>
      <w:numFmt w:val="upperRoman"/>
      <w:pStyle w:val="Heading3"/>
      <w:lvlText w:val="Anexo %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FA67F0D"/>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0F4586"/>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2A32F8E"/>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2EA528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3974408"/>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41F1A1B"/>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4715A9E"/>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8F77A6A"/>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031AE6"/>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F2C15CA"/>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67" w15:restartNumberingAfterBreak="0">
    <w:nsid w:val="7F3C0250"/>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FC626B1"/>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4"/>
  </w:num>
  <w:num w:numId="2">
    <w:abstractNumId w:val="2"/>
  </w:num>
  <w:num w:numId="3">
    <w:abstractNumId w:val="3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53"/>
  </w:num>
  <w:num w:numId="8">
    <w:abstractNumId w:val="56"/>
  </w:num>
  <w:num w:numId="9">
    <w:abstractNumId w:val="14"/>
  </w:num>
  <w:num w:numId="10">
    <w:abstractNumId w:val="27"/>
  </w:num>
  <w:num w:numId="11">
    <w:abstractNumId w:val="0"/>
  </w:num>
  <w:num w:numId="12">
    <w:abstractNumId w:val="49"/>
  </w:num>
  <w:num w:numId="13">
    <w:abstractNumId w:val="62"/>
  </w:num>
  <w:num w:numId="14">
    <w:abstractNumId w:val="47"/>
  </w:num>
  <w:num w:numId="15">
    <w:abstractNumId w:val="64"/>
  </w:num>
  <w:num w:numId="16">
    <w:abstractNumId w:val="52"/>
  </w:num>
  <w:num w:numId="17">
    <w:abstractNumId w:val="22"/>
  </w:num>
  <w:num w:numId="18">
    <w:abstractNumId w:val="63"/>
  </w:num>
  <w:num w:numId="19">
    <w:abstractNumId w:val="50"/>
  </w:num>
  <w:num w:numId="20">
    <w:abstractNumId w:val="20"/>
  </w:num>
  <w:num w:numId="21">
    <w:abstractNumId w:val="15"/>
  </w:num>
  <w:num w:numId="22">
    <w:abstractNumId w:val="39"/>
  </w:num>
  <w:num w:numId="23">
    <w:abstractNumId w:val="68"/>
  </w:num>
  <w:num w:numId="24">
    <w:abstractNumId w:val="40"/>
  </w:num>
  <w:num w:numId="25">
    <w:abstractNumId w:val="11"/>
  </w:num>
  <w:num w:numId="26">
    <w:abstractNumId w:val="7"/>
  </w:num>
  <w:num w:numId="27">
    <w:abstractNumId w:val="51"/>
  </w:num>
  <w:num w:numId="28">
    <w:abstractNumId w:val="8"/>
  </w:num>
  <w:num w:numId="29">
    <w:abstractNumId w:val="21"/>
  </w:num>
  <w:num w:numId="30">
    <w:abstractNumId w:val="1"/>
  </w:num>
  <w:num w:numId="31">
    <w:abstractNumId w:val="18"/>
  </w:num>
  <w:num w:numId="32">
    <w:abstractNumId w:val="61"/>
  </w:num>
  <w:num w:numId="33">
    <w:abstractNumId w:val="55"/>
  </w:num>
  <w:num w:numId="34">
    <w:abstractNumId w:val="16"/>
  </w:num>
  <w:num w:numId="35">
    <w:abstractNumId w:val="57"/>
  </w:num>
  <w:num w:numId="36">
    <w:abstractNumId w:val="65"/>
  </w:num>
  <w:num w:numId="37">
    <w:abstractNumId w:val="25"/>
  </w:num>
  <w:num w:numId="38">
    <w:abstractNumId w:val="19"/>
  </w:num>
  <w:num w:numId="39">
    <w:abstractNumId w:val="28"/>
  </w:num>
  <w:num w:numId="40">
    <w:abstractNumId w:val="48"/>
  </w:num>
  <w:num w:numId="41">
    <w:abstractNumId w:val="3"/>
  </w:num>
  <w:num w:numId="42">
    <w:abstractNumId w:val="26"/>
  </w:num>
  <w:num w:numId="43">
    <w:abstractNumId w:val="23"/>
  </w:num>
  <w:num w:numId="44">
    <w:abstractNumId w:val="6"/>
  </w:num>
  <w:num w:numId="45">
    <w:abstractNumId w:val="66"/>
  </w:num>
  <w:num w:numId="46">
    <w:abstractNumId w:val="58"/>
  </w:num>
  <w:num w:numId="47">
    <w:abstractNumId w:val="37"/>
  </w:num>
  <w:num w:numId="48">
    <w:abstractNumId w:val="32"/>
  </w:num>
  <w:num w:numId="49">
    <w:abstractNumId w:val="46"/>
  </w:num>
  <w:num w:numId="50">
    <w:abstractNumId w:val="54"/>
  </w:num>
  <w:num w:numId="51">
    <w:abstractNumId w:val="30"/>
  </w:num>
  <w:num w:numId="52">
    <w:abstractNumId w:val="34"/>
  </w:num>
  <w:num w:numId="53">
    <w:abstractNumId w:val="17"/>
  </w:num>
  <w:num w:numId="54">
    <w:abstractNumId w:val="24"/>
  </w:num>
  <w:num w:numId="55">
    <w:abstractNumId w:val="13"/>
  </w:num>
  <w:num w:numId="56">
    <w:abstractNumId w:val="12"/>
  </w:num>
  <w:num w:numId="57">
    <w:abstractNumId w:val="41"/>
  </w:num>
  <w:num w:numId="58">
    <w:abstractNumId w:val="35"/>
  </w:num>
  <w:num w:numId="59">
    <w:abstractNumId w:val="31"/>
  </w:num>
  <w:num w:numId="60">
    <w:abstractNumId w:val="29"/>
  </w:num>
  <w:num w:numId="61">
    <w:abstractNumId w:val="36"/>
  </w:num>
  <w:num w:numId="62">
    <w:abstractNumId w:val="33"/>
  </w:num>
  <w:num w:numId="63">
    <w:abstractNumId w:val="59"/>
  </w:num>
  <w:num w:numId="64">
    <w:abstractNumId w:val="67"/>
  </w:num>
  <w:num w:numId="65">
    <w:abstractNumId w:val="10"/>
  </w:num>
  <w:num w:numId="66">
    <w:abstractNumId w:val="60"/>
  </w:num>
  <w:num w:numId="67">
    <w:abstractNumId w:val="45"/>
  </w:num>
  <w:num w:numId="68">
    <w:abstractNumId w:val="9"/>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57"/>
    <w:rsid w:val="00004334"/>
    <w:rsid w:val="000062E0"/>
    <w:rsid w:val="00006B68"/>
    <w:rsid w:val="00007109"/>
    <w:rsid w:val="00010D04"/>
    <w:rsid w:val="0001108C"/>
    <w:rsid w:val="00014396"/>
    <w:rsid w:val="00014E5F"/>
    <w:rsid w:val="000216F2"/>
    <w:rsid w:val="0002587F"/>
    <w:rsid w:val="00033B03"/>
    <w:rsid w:val="00036184"/>
    <w:rsid w:val="00040333"/>
    <w:rsid w:val="00040D73"/>
    <w:rsid w:val="00041479"/>
    <w:rsid w:val="00045ECB"/>
    <w:rsid w:val="00052FC6"/>
    <w:rsid w:val="00054A1A"/>
    <w:rsid w:val="00054EAE"/>
    <w:rsid w:val="0005584B"/>
    <w:rsid w:val="00055892"/>
    <w:rsid w:val="00057951"/>
    <w:rsid w:val="000600E7"/>
    <w:rsid w:val="00061AA4"/>
    <w:rsid w:val="000624C7"/>
    <w:rsid w:val="0006435A"/>
    <w:rsid w:val="00067FE6"/>
    <w:rsid w:val="00070A0C"/>
    <w:rsid w:val="00073215"/>
    <w:rsid w:val="00077048"/>
    <w:rsid w:val="00081139"/>
    <w:rsid w:val="00081672"/>
    <w:rsid w:val="000843A0"/>
    <w:rsid w:val="00091DD7"/>
    <w:rsid w:val="00091E78"/>
    <w:rsid w:val="00092AED"/>
    <w:rsid w:val="00092BC2"/>
    <w:rsid w:val="000933C0"/>
    <w:rsid w:val="000A440A"/>
    <w:rsid w:val="000A5AF9"/>
    <w:rsid w:val="000A6D64"/>
    <w:rsid w:val="000B1395"/>
    <w:rsid w:val="000B232D"/>
    <w:rsid w:val="000B5D90"/>
    <w:rsid w:val="000C1496"/>
    <w:rsid w:val="000C351A"/>
    <w:rsid w:val="000C5357"/>
    <w:rsid w:val="000C6EEA"/>
    <w:rsid w:val="000C7AD4"/>
    <w:rsid w:val="000D3116"/>
    <w:rsid w:val="000D53C5"/>
    <w:rsid w:val="000E29F8"/>
    <w:rsid w:val="000E33FB"/>
    <w:rsid w:val="000E38BD"/>
    <w:rsid w:val="000F077F"/>
    <w:rsid w:val="000F1553"/>
    <w:rsid w:val="000F5032"/>
    <w:rsid w:val="000F6DCC"/>
    <w:rsid w:val="001012F9"/>
    <w:rsid w:val="0010209F"/>
    <w:rsid w:val="00105C80"/>
    <w:rsid w:val="00116D8C"/>
    <w:rsid w:val="001171C4"/>
    <w:rsid w:val="00121E75"/>
    <w:rsid w:val="001222AD"/>
    <w:rsid w:val="00124A0A"/>
    <w:rsid w:val="001257FD"/>
    <w:rsid w:val="0012646D"/>
    <w:rsid w:val="00127D8B"/>
    <w:rsid w:val="0013619A"/>
    <w:rsid w:val="0014162A"/>
    <w:rsid w:val="00144B84"/>
    <w:rsid w:val="001508BE"/>
    <w:rsid w:val="00152321"/>
    <w:rsid w:val="001617A7"/>
    <w:rsid w:val="00162EF3"/>
    <w:rsid w:val="00163405"/>
    <w:rsid w:val="00164BE8"/>
    <w:rsid w:val="00165ADE"/>
    <w:rsid w:val="00166A58"/>
    <w:rsid w:val="00170628"/>
    <w:rsid w:val="00171A5A"/>
    <w:rsid w:val="00172DCA"/>
    <w:rsid w:val="00172E85"/>
    <w:rsid w:val="0018147D"/>
    <w:rsid w:val="00182AD4"/>
    <w:rsid w:val="00186111"/>
    <w:rsid w:val="00190667"/>
    <w:rsid w:val="001912BE"/>
    <w:rsid w:val="001976FC"/>
    <w:rsid w:val="00197BF8"/>
    <w:rsid w:val="001A0286"/>
    <w:rsid w:val="001A4AAD"/>
    <w:rsid w:val="001A4D54"/>
    <w:rsid w:val="001B0B31"/>
    <w:rsid w:val="001C5248"/>
    <w:rsid w:val="001C5980"/>
    <w:rsid w:val="001C632F"/>
    <w:rsid w:val="001D278E"/>
    <w:rsid w:val="001D3C9D"/>
    <w:rsid w:val="001D4FEE"/>
    <w:rsid w:val="001D7D5A"/>
    <w:rsid w:val="001E0B00"/>
    <w:rsid w:val="001E12B7"/>
    <w:rsid w:val="001E337A"/>
    <w:rsid w:val="001E4779"/>
    <w:rsid w:val="001F4E2F"/>
    <w:rsid w:val="001F7456"/>
    <w:rsid w:val="00200376"/>
    <w:rsid w:val="00201636"/>
    <w:rsid w:val="00205C37"/>
    <w:rsid w:val="00216CAB"/>
    <w:rsid w:val="002310F9"/>
    <w:rsid w:val="00231C0A"/>
    <w:rsid w:val="0023255A"/>
    <w:rsid w:val="0023346E"/>
    <w:rsid w:val="00241552"/>
    <w:rsid w:val="002421EA"/>
    <w:rsid w:val="002521A7"/>
    <w:rsid w:val="0025489D"/>
    <w:rsid w:val="00262186"/>
    <w:rsid w:val="00263C94"/>
    <w:rsid w:val="00271F5B"/>
    <w:rsid w:val="0027294A"/>
    <w:rsid w:val="00272EF8"/>
    <w:rsid w:val="0027492F"/>
    <w:rsid w:val="00275E26"/>
    <w:rsid w:val="00276240"/>
    <w:rsid w:val="0027658F"/>
    <w:rsid w:val="00280359"/>
    <w:rsid w:val="0028259B"/>
    <w:rsid w:val="002845B5"/>
    <w:rsid w:val="00284CB1"/>
    <w:rsid w:val="002856D7"/>
    <w:rsid w:val="00285B71"/>
    <w:rsid w:val="002943D5"/>
    <w:rsid w:val="002A1520"/>
    <w:rsid w:val="002A2740"/>
    <w:rsid w:val="002A32BE"/>
    <w:rsid w:val="002B07FB"/>
    <w:rsid w:val="002B3376"/>
    <w:rsid w:val="002B37F4"/>
    <w:rsid w:val="002B499A"/>
    <w:rsid w:val="002B4BF3"/>
    <w:rsid w:val="002B55CA"/>
    <w:rsid w:val="002D5416"/>
    <w:rsid w:val="002E1128"/>
    <w:rsid w:val="002E1C35"/>
    <w:rsid w:val="002E39C6"/>
    <w:rsid w:val="002F0C08"/>
    <w:rsid w:val="002F5600"/>
    <w:rsid w:val="002F5931"/>
    <w:rsid w:val="002F5B07"/>
    <w:rsid w:val="002F684F"/>
    <w:rsid w:val="0030214C"/>
    <w:rsid w:val="00302848"/>
    <w:rsid w:val="003035F6"/>
    <w:rsid w:val="003067B2"/>
    <w:rsid w:val="00307CFE"/>
    <w:rsid w:val="003120A6"/>
    <w:rsid w:val="003146BB"/>
    <w:rsid w:val="003163DE"/>
    <w:rsid w:val="003176D3"/>
    <w:rsid w:val="00317D24"/>
    <w:rsid w:val="003207BA"/>
    <w:rsid w:val="003241D2"/>
    <w:rsid w:val="00324CCE"/>
    <w:rsid w:val="003279D7"/>
    <w:rsid w:val="00327A73"/>
    <w:rsid w:val="003307FF"/>
    <w:rsid w:val="00330E63"/>
    <w:rsid w:val="0033525C"/>
    <w:rsid w:val="0034515E"/>
    <w:rsid w:val="003517C6"/>
    <w:rsid w:val="00351C72"/>
    <w:rsid w:val="0035214A"/>
    <w:rsid w:val="00355C0C"/>
    <w:rsid w:val="003679EF"/>
    <w:rsid w:val="0037079D"/>
    <w:rsid w:val="00371285"/>
    <w:rsid w:val="00373A84"/>
    <w:rsid w:val="00380A5C"/>
    <w:rsid w:val="0038660E"/>
    <w:rsid w:val="00390143"/>
    <w:rsid w:val="003929D2"/>
    <w:rsid w:val="003955BA"/>
    <w:rsid w:val="00397243"/>
    <w:rsid w:val="00397D00"/>
    <w:rsid w:val="003A31EA"/>
    <w:rsid w:val="003A4480"/>
    <w:rsid w:val="003A48D5"/>
    <w:rsid w:val="003A568F"/>
    <w:rsid w:val="003A6EB6"/>
    <w:rsid w:val="003B1E95"/>
    <w:rsid w:val="003B2C53"/>
    <w:rsid w:val="003B40FD"/>
    <w:rsid w:val="003B6098"/>
    <w:rsid w:val="003B738C"/>
    <w:rsid w:val="003B7AD3"/>
    <w:rsid w:val="003B7CDD"/>
    <w:rsid w:val="003B7D3E"/>
    <w:rsid w:val="003B7EF0"/>
    <w:rsid w:val="003C2FA4"/>
    <w:rsid w:val="003C5F97"/>
    <w:rsid w:val="003D077F"/>
    <w:rsid w:val="003D0F20"/>
    <w:rsid w:val="003E2913"/>
    <w:rsid w:val="003E48A6"/>
    <w:rsid w:val="003E7269"/>
    <w:rsid w:val="003F14EA"/>
    <w:rsid w:val="003F3CD8"/>
    <w:rsid w:val="003F40CB"/>
    <w:rsid w:val="003F42AF"/>
    <w:rsid w:val="003F5B7B"/>
    <w:rsid w:val="003F5BA9"/>
    <w:rsid w:val="003F6B93"/>
    <w:rsid w:val="004010E0"/>
    <w:rsid w:val="00401F93"/>
    <w:rsid w:val="0040499B"/>
    <w:rsid w:val="004060D1"/>
    <w:rsid w:val="004072AD"/>
    <w:rsid w:val="00407DEE"/>
    <w:rsid w:val="00410873"/>
    <w:rsid w:val="00412F32"/>
    <w:rsid w:val="00412FEF"/>
    <w:rsid w:val="00417E45"/>
    <w:rsid w:val="00423282"/>
    <w:rsid w:val="004243A1"/>
    <w:rsid w:val="00433A38"/>
    <w:rsid w:val="0043511D"/>
    <w:rsid w:val="004352AA"/>
    <w:rsid w:val="004366EF"/>
    <w:rsid w:val="004400C2"/>
    <w:rsid w:val="004412FD"/>
    <w:rsid w:val="0044301E"/>
    <w:rsid w:val="00444B37"/>
    <w:rsid w:val="0045113B"/>
    <w:rsid w:val="00451876"/>
    <w:rsid w:val="004526A9"/>
    <w:rsid w:val="00452EC4"/>
    <w:rsid w:val="004551A4"/>
    <w:rsid w:val="00455329"/>
    <w:rsid w:val="00460F43"/>
    <w:rsid w:val="0046301F"/>
    <w:rsid w:val="004728F7"/>
    <w:rsid w:val="00480D92"/>
    <w:rsid w:val="004829AB"/>
    <w:rsid w:val="004854CF"/>
    <w:rsid w:val="00485945"/>
    <w:rsid w:val="00486308"/>
    <w:rsid w:val="004864E7"/>
    <w:rsid w:val="004A192F"/>
    <w:rsid w:val="004A2BF1"/>
    <w:rsid w:val="004A318C"/>
    <w:rsid w:val="004A480B"/>
    <w:rsid w:val="004A6360"/>
    <w:rsid w:val="004B3546"/>
    <w:rsid w:val="004B632A"/>
    <w:rsid w:val="004C6401"/>
    <w:rsid w:val="004C777A"/>
    <w:rsid w:val="004D1142"/>
    <w:rsid w:val="004E09D6"/>
    <w:rsid w:val="004E1231"/>
    <w:rsid w:val="004E62F8"/>
    <w:rsid w:val="004F01C9"/>
    <w:rsid w:val="004F67BE"/>
    <w:rsid w:val="004F6945"/>
    <w:rsid w:val="004F7464"/>
    <w:rsid w:val="00500119"/>
    <w:rsid w:val="005016C9"/>
    <w:rsid w:val="00502353"/>
    <w:rsid w:val="005109DB"/>
    <w:rsid w:val="005130A5"/>
    <w:rsid w:val="005143F2"/>
    <w:rsid w:val="00522335"/>
    <w:rsid w:val="0052378C"/>
    <w:rsid w:val="005248A7"/>
    <w:rsid w:val="00536AC7"/>
    <w:rsid w:val="00537243"/>
    <w:rsid w:val="00540495"/>
    <w:rsid w:val="005414C1"/>
    <w:rsid w:val="00541F00"/>
    <w:rsid w:val="00542A5A"/>
    <w:rsid w:val="00544073"/>
    <w:rsid w:val="0055353E"/>
    <w:rsid w:val="00562DB6"/>
    <w:rsid w:val="005630B1"/>
    <w:rsid w:val="005644EA"/>
    <w:rsid w:val="005665D8"/>
    <w:rsid w:val="00567B64"/>
    <w:rsid w:val="00573522"/>
    <w:rsid w:val="00575347"/>
    <w:rsid w:val="005760FA"/>
    <w:rsid w:val="00580E90"/>
    <w:rsid w:val="00583B4E"/>
    <w:rsid w:val="00583C6E"/>
    <w:rsid w:val="00586839"/>
    <w:rsid w:val="00586A43"/>
    <w:rsid w:val="00590C52"/>
    <w:rsid w:val="00590D62"/>
    <w:rsid w:val="005A5E59"/>
    <w:rsid w:val="005B7604"/>
    <w:rsid w:val="005B7E3F"/>
    <w:rsid w:val="005C2187"/>
    <w:rsid w:val="005C584A"/>
    <w:rsid w:val="005C70F1"/>
    <w:rsid w:val="005C719D"/>
    <w:rsid w:val="005D2783"/>
    <w:rsid w:val="005D3824"/>
    <w:rsid w:val="005D508B"/>
    <w:rsid w:val="005D68EA"/>
    <w:rsid w:val="005E08E7"/>
    <w:rsid w:val="005E5AC3"/>
    <w:rsid w:val="005E70D6"/>
    <w:rsid w:val="005F1FD7"/>
    <w:rsid w:val="005F417E"/>
    <w:rsid w:val="005F42E9"/>
    <w:rsid w:val="005F5411"/>
    <w:rsid w:val="00600886"/>
    <w:rsid w:val="00602922"/>
    <w:rsid w:val="006079A7"/>
    <w:rsid w:val="006139D1"/>
    <w:rsid w:val="00615E24"/>
    <w:rsid w:val="006236DA"/>
    <w:rsid w:val="00627930"/>
    <w:rsid w:val="00630471"/>
    <w:rsid w:val="00632F42"/>
    <w:rsid w:val="00633146"/>
    <w:rsid w:val="006336DE"/>
    <w:rsid w:val="0063372A"/>
    <w:rsid w:val="0063711A"/>
    <w:rsid w:val="00637341"/>
    <w:rsid w:val="00640B81"/>
    <w:rsid w:val="006418B1"/>
    <w:rsid w:val="00644A07"/>
    <w:rsid w:val="00647079"/>
    <w:rsid w:val="0065229B"/>
    <w:rsid w:val="006539B8"/>
    <w:rsid w:val="00655287"/>
    <w:rsid w:val="00660F8D"/>
    <w:rsid w:val="006610EC"/>
    <w:rsid w:val="00661287"/>
    <w:rsid w:val="00664F99"/>
    <w:rsid w:val="0066664C"/>
    <w:rsid w:val="006670DD"/>
    <w:rsid w:val="0066757C"/>
    <w:rsid w:val="00667FE9"/>
    <w:rsid w:val="00671CF1"/>
    <w:rsid w:val="006802F6"/>
    <w:rsid w:val="006804AE"/>
    <w:rsid w:val="00687AAA"/>
    <w:rsid w:val="00687CC3"/>
    <w:rsid w:val="00690F31"/>
    <w:rsid w:val="0069117E"/>
    <w:rsid w:val="006923D5"/>
    <w:rsid w:val="00694109"/>
    <w:rsid w:val="0069538A"/>
    <w:rsid w:val="00697A64"/>
    <w:rsid w:val="006A0EC2"/>
    <w:rsid w:val="006A3393"/>
    <w:rsid w:val="006A48D0"/>
    <w:rsid w:val="006A5C0B"/>
    <w:rsid w:val="006A5FE8"/>
    <w:rsid w:val="006A6A15"/>
    <w:rsid w:val="006B0045"/>
    <w:rsid w:val="006B0668"/>
    <w:rsid w:val="006B1ABC"/>
    <w:rsid w:val="006B2A11"/>
    <w:rsid w:val="006C58E5"/>
    <w:rsid w:val="006C7BE2"/>
    <w:rsid w:val="006D472D"/>
    <w:rsid w:val="006D7B8B"/>
    <w:rsid w:val="006E492C"/>
    <w:rsid w:val="006E5E19"/>
    <w:rsid w:val="006E6B90"/>
    <w:rsid w:val="006F23E4"/>
    <w:rsid w:val="00700314"/>
    <w:rsid w:val="00701DFF"/>
    <w:rsid w:val="00702B09"/>
    <w:rsid w:val="00710998"/>
    <w:rsid w:val="0071171C"/>
    <w:rsid w:val="00714103"/>
    <w:rsid w:val="00720039"/>
    <w:rsid w:val="00720090"/>
    <w:rsid w:val="00726285"/>
    <w:rsid w:val="00727AB1"/>
    <w:rsid w:val="007311B2"/>
    <w:rsid w:val="0073210C"/>
    <w:rsid w:val="0073669A"/>
    <w:rsid w:val="0073716A"/>
    <w:rsid w:val="00737467"/>
    <w:rsid w:val="0074102C"/>
    <w:rsid w:val="00742CC9"/>
    <w:rsid w:val="00742FDD"/>
    <w:rsid w:val="00743415"/>
    <w:rsid w:val="007443AC"/>
    <w:rsid w:val="00745A82"/>
    <w:rsid w:val="00745F8D"/>
    <w:rsid w:val="00747BE6"/>
    <w:rsid w:val="007501D7"/>
    <w:rsid w:val="0075174E"/>
    <w:rsid w:val="00757BC4"/>
    <w:rsid w:val="00757D3C"/>
    <w:rsid w:val="0076137D"/>
    <w:rsid w:val="007627B3"/>
    <w:rsid w:val="00767829"/>
    <w:rsid w:val="00771237"/>
    <w:rsid w:val="00780E56"/>
    <w:rsid w:val="00786257"/>
    <w:rsid w:val="00786C9D"/>
    <w:rsid w:val="007879A9"/>
    <w:rsid w:val="007922B0"/>
    <w:rsid w:val="00794BCB"/>
    <w:rsid w:val="00796318"/>
    <w:rsid w:val="007A078C"/>
    <w:rsid w:val="007A09FC"/>
    <w:rsid w:val="007A4B3C"/>
    <w:rsid w:val="007A4E87"/>
    <w:rsid w:val="007A7C70"/>
    <w:rsid w:val="007B286C"/>
    <w:rsid w:val="007B2E82"/>
    <w:rsid w:val="007B6FE0"/>
    <w:rsid w:val="007B7409"/>
    <w:rsid w:val="007C0F01"/>
    <w:rsid w:val="007C610D"/>
    <w:rsid w:val="007C6D38"/>
    <w:rsid w:val="007D2095"/>
    <w:rsid w:val="007D5D97"/>
    <w:rsid w:val="007E04D1"/>
    <w:rsid w:val="007E0AD6"/>
    <w:rsid w:val="007E1EED"/>
    <w:rsid w:val="007E35A4"/>
    <w:rsid w:val="007E41E8"/>
    <w:rsid w:val="007E651E"/>
    <w:rsid w:val="007F022A"/>
    <w:rsid w:val="007F0AD8"/>
    <w:rsid w:val="008018E8"/>
    <w:rsid w:val="00801916"/>
    <w:rsid w:val="00805BAF"/>
    <w:rsid w:val="00815B0E"/>
    <w:rsid w:val="0082184E"/>
    <w:rsid w:val="00824535"/>
    <w:rsid w:val="00825CC5"/>
    <w:rsid w:val="008271EC"/>
    <w:rsid w:val="00827E7D"/>
    <w:rsid w:val="008320B9"/>
    <w:rsid w:val="00833B19"/>
    <w:rsid w:val="00835407"/>
    <w:rsid w:val="00836720"/>
    <w:rsid w:val="008429BA"/>
    <w:rsid w:val="008464FF"/>
    <w:rsid w:val="00860049"/>
    <w:rsid w:val="00863DCE"/>
    <w:rsid w:val="0086714F"/>
    <w:rsid w:val="008716CA"/>
    <w:rsid w:val="00871AB7"/>
    <w:rsid w:val="00872666"/>
    <w:rsid w:val="00873D89"/>
    <w:rsid w:val="0087474A"/>
    <w:rsid w:val="00874A86"/>
    <w:rsid w:val="00875033"/>
    <w:rsid w:val="00877F02"/>
    <w:rsid w:val="00880837"/>
    <w:rsid w:val="00881A44"/>
    <w:rsid w:val="00882892"/>
    <w:rsid w:val="008855C2"/>
    <w:rsid w:val="00890411"/>
    <w:rsid w:val="00891961"/>
    <w:rsid w:val="00893B34"/>
    <w:rsid w:val="008A3EE5"/>
    <w:rsid w:val="008A461E"/>
    <w:rsid w:val="008A5EE0"/>
    <w:rsid w:val="008A723D"/>
    <w:rsid w:val="008B1B8C"/>
    <w:rsid w:val="008B374C"/>
    <w:rsid w:val="008B4B7F"/>
    <w:rsid w:val="008B4F8D"/>
    <w:rsid w:val="008B6561"/>
    <w:rsid w:val="008C24CC"/>
    <w:rsid w:val="008C286A"/>
    <w:rsid w:val="008C701F"/>
    <w:rsid w:val="008C7FA9"/>
    <w:rsid w:val="008D2DA3"/>
    <w:rsid w:val="008E2CAE"/>
    <w:rsid w:val="008F329A"/>
    <w:rsid w:val="008F5012"/>
    <w:rsid w:val="008F60B1"/>
    <w:rsid w:val="00902E8C"/>
    <w:rsid w:val="009056DE"/>
    <w:rsid w:val="00905D0B"/>
    <w:rsid w:val="009060EC"/>
    <w:rsid w:val="00906955"/>
    <w:rsid w:val="00910B5B"/>
    <w:rsid w:val="00910FE3"/>
    <w:rsid w:val="00911BA9"/>
    <w:rsid w:val="0091273F"/>
    <w:rsid w:val="00915230"/>
    <w:rsid w:val="00916749"/>
    <w:rsid w:val="00925731"/>
    <w:rsid w:val="00932172"/>
    <w:rsid w:val="00936247"/>
    <w:rsid w:val="00941D35"/>
    <w:rsid w:val="0094255D"/>
    <w:rsid w:val="0094645D"/>
    <w:rsid w:val="00947951"/>
    <w:rsid w:val="0094799C"/>
    <w:rsid w:val="00947FD9"/>
    <w:rsid w:val="00950E5B"/>
    <w:rsid w:val="00951CCF"/>
    <w:rsid w:val="00953C37"/>
    <w:rsid w:val="00954B1A"/>
    <w:rsid w:val="00954BAB"/>
    <w:rsid w:val="0095583C"/>
    <w:rsid w:val="009571C1"/>
    <w:rsid w:val="00962A63"/>
    <w:rsid w:val="009637A8"/>
    <w:rsid w:val="0096640F"/>
    <w:rsid w:val="009724CB"/>
    <w:rsid w:val="0097371A"/>
    <w:rsid w:val="00974F5D"/>
    <w:rsid w:val="00975B2D"/>
    <w:rsid w:val="00977D4D"/>
    <w:rsid w:val="009820C4"/>
    <w:rsid w:val="00982814"/>
    <w:rsid w:val="00982B0F"/>
    <w:rsid w:val="00982E49"/>
    <w:rsid w:val="009870C4"/>
    <w:rsid w:val="00991E89"/>
    <w:rsid w:val="00997587"/>
    <w:rsid w:val="00997AC5"/>
    <w:rsid w:val="009A04E8"/>
    <w:rsid w:val="009A1A39"/>
    <w:rsid w:val="009B01EE"/>
    <w:rsid w:val="009B7BF2"/>
    <w:rsid w:val="009C3670"/>
    <w:rsid w:val="009D112F"/>
    <w:rsid w:val="009D2C5C"/>
    <w:rsid w:val="009D6685"/>
    <w:rsid w:val="009D685C"/>
    <w:rsid w:val="009D7707"/>
    <w:rsid w:val="009E11DC"/>
    <w:rsid w:val="009E5334"/>
    <w:rsid w:val="009E63FF"/>
    <w:rsid w:val="009F0BDA"/>
    <w:rsid w:val="009F229E"/>
    <w:rsid w:val="009F4869"/>
    <w:rsid w:val="009F5F74"/>
    <w:rsid w:val="009F77FA"/>
    <w:rsid w:val="00A0135C"/>
    <w:rsid w:val="00A04379"/>
    <w:rsid w:val="00A12632"/>
    <w:rsid w:val="00A13400"/>
    <w:rsid w:val="00A172F1"/>
    <w:rsid w:val="00A21790"/>
    <w:rsid w:val="00A26F33"/>
    <w:rsid w:val="00A27EAE"/>
    <w:rsid w:val="00A30DF7"/>
    <w:rsid w:val="00A315EC"/>
    <w:rsid w:val="00A36DA8"/>
    <w:rsid w:val="00A412C4"/>
    <w:rsid w:val="00A421A0"/>
    <w:rsid w:val="00A44BAD"/>
    <w:rsid w:val="00A51A0D"/>
    <w:rsid w:val="00A53FF8"/>
    <w:rsid w:val="00A569F6"/>
    <w:rsid w:val="00A6409C"/>
    <w:rsid w:val="00A6504A"/>
    <w:rsid w:val="00A66A89"/>
    <w:rsid w:val="00A7205B"/>
    <w:rsid w:val="00A74B5E"/>
    <w:rsid w:val="00A75014"/>
    <w:rsid w:val="00A7556F"/>
    <w:rsid w:val="00A756A5"/>
    <w:rsid w:val="00A75EDB"/>
    <w:rsid w:val="00A76322"/>
    <w:rsid w:val="00A842D7"/>
    <w:rsid w:val="00A85085"/>
    <w:rsid w:val="00A95F20"/>
    <w:rsid w:val="00A96BD3"/>
    <w:rsid w:val="00AA057C"/>
    <w:rsid w:val="00AA1E2E"/>
    <w:rsid w:val="00AA3A44"/>
    <w:rsid w:val="00AA54E8"/>
    <w:rsid w:val="00AA57E3"/>
    <w:rsid w:val="00AA76FE"/>
    <w:rsid w:val="00AB3078"/>
    <w:rsid w:val="00AB54DE"/>
    <w:rsid w:val="00AB5B9A"/>
    <w:rsid w:val="00AC1392"/>
    <w:rsid w:val="00AC3F76"/>
    <w:rsid w:val="00AC6AEB"/>
    <w:rsid w:val="00AD0378"/>
    <w:rsid w:val="00AD140F"/>
    <w:rsid w:val="00AD1546"/>
    <w:rsid w:val="00AD17C9"/>
    <w:rsid w:val="00AE0971"/>
    <w:rsid w:val="00AE50FA"/>
    <w:rsid w:val="00AE7131"/>
    <w:rsid w:val="00AE74DB"/>
    <w:rsid w:val="00AE76FD"/>
    <w:rsid w:val="00AF0F49"/>
    <w:rsid w:val="00AF4392"/>
    <w:rsid w:val="00AF5C5D"/>
    <w:rsid w:val="00AF6757"/>
    <w:rsid w:val="00AF69E9"/>
    <w:rsid w:val="00B109CB"/>
    <w:rsid w:val="00B11AF4"/>
    <w:rsid w:val="00B1457B"/>
    <w:rsid w:val="00B17AB0"/>
    <w:rsid w:val="00B20085"/>
    <w:rsid w:val="00B25C34"/>
    <w:rsid w:val="00B31050"/>
    <w:rsid w:val="00B33CF2"/>
    <w:rsid w:val="00B342D0"/>
    <w:rsid w:val="00B349CA"/>
    <w:rsid w:val="00B3789F"/>
    <w:rsid w:val="00B425B3"/>
    <w:rsid w:val="00B46206"/>
    <w:rsid w:val="00B50531"/>
    <w:rsid w:val="00B52B4F"/>
    <w:rsid w:val="00B63641"/>
    <w:rsid w:val="00B65C65"/>
    <w:rsid w:val="00B6773F"/>
    <w:rsid w:val="00B73AFF"/>
    <w:rsid w:val="00B779E1"/>
    <w:rsid w:val="00B828B5"/>
    <w:rsid w:val="00B82A72"/>
    <w:rsid w:val="00B915B2"/>
    <w:rsid w:val="00B92520"/>
    <w:rsid w:val="00B92ACB"/>
    <w:rsid w:val="00B933C4"/>
    <w:rsid w:val="00B94B1F"/>
    <w:rsid w:val="00BA0152"/>
    <w:rsid w:val="00BA18DD"/>
    <w:rsid w:val="00BA1982"/>
    <w:rsid w:val="00BA2797"/>
    <w:rsid w:val="00BA6C11"/>
    <w:rsid w:val="00BA75AD"/>
    <w:rsid w:val="00BB0671"/>
    <w:rsid w:val="00BB3230"/>
    <w:rsid w:val="00BC18BB"/>
    <w:rsid w:val="00BC2957"/>
    <w:rsid w:val="00BD58EB"/>
    <w:rsid w:val="00BD72E0"/>
    <w:rsid w:val="00BD7BB0"/>
    <w:rsid w:val="00BE10CB"/>
    <w:rsid w:val="00BF2101"/>
    <w:rsid w:val="00BF314B"/>
    <w:rsid w:val="00BF55A0"/>
    <w:rsid w:val="00BF5EF9"/>
    <w:rsid w:val="00BF777F"/>
    <w:rsid w:val="00C011F4"/>
    <w:rsid w:val="00C02B32"/>
    <w:rsid w:val="00C04707"/>
    <w:rsid w:val="00C04AC8"/>
    <w:rsid w:val="00C053D3"/>
    <w:rsid w:val="00C1016D"/>
    <w:rsid w:val="00C35B58"/>
    <w:rsid w:val="00C432BB"/>
    <w:rsid w:val="00C4660B"/>
    <w:rsid w:val="00C50FA7"/>
    <w:rsid w:val="00C525D6"/>
    <w:rsid w:val="00C5297A"/>
    <w:rsid w:val="00C533DE"/>
    <w:rsid w:val="00C60CF8"/>
    <w:rsid w:val="00C63B34"/>
    <w:rsid w:val="00C64656"/>
    <w:rsid w:val="00C67A42"/>
    <w:rsid w:val="00C73230"/>
    <w:rsid w:val="00C73235"/>
    <w:rsid w:val="00C756A3"/>
    <w:rsid w:val="00C8168B"/>
    <w:rsid w:val="00C816AD"/>
    <w:rsid w:val="00C82D3F"/>
    <w:rsid w:val="00C82E2D"/>
    <w:rsid w:val="00C83A0F"/>
    <w:rsid w:val="00C859B4"/>
    <w:rsid w:val="00C86F32"/>
    <w:rsid w:val="00C8780B"/>
    <w:rsid w:val="00C9165B"/>
    <w:rsid w:val="00CA2D86"/>
    <w:rsid w:val="00CA6349"/>
    <w:rsid w:val="00CB2CFD"/>
    <w:rsid w:val="00CB46D1"/>
    <w:rsid w:val="00CB4A94"/>
    <w:rsid w:val="00CB61AB"/>
    <w:rsid w:val="00CC50F8"/>
    <w:rsid w:val="00CC5401"/>
    <w:rsid w:val="00CD02F1"/>
    <w:rsid w:val="00CD1E3A"/>
    <w:rsid w:val="00CD4ECA"/>
    <w:rsid w:val="00CE4719"/>
    <w:rsid w:val="00CF0B7D"/>
    <w:rsid w:val="00CF3B6A"/>
    <w:rsid w:val="00CF55DA"/>
    <w:rsid w:val="00CF61CD"/>
    <w:rsid w:val="00CF6469"/>
    <w:rsid w:val="00D03557"/>
    <w:rsid w:val="00D063E0"/>
    <w:rsid w:val="00D1020F"/>
    <w:rsid w:val="00D10707"/>
    <w:rsid w:val="00D10EED"/>
    <w:rsid w:val="00D17E59"/>
    <w:rsid w:val="00D207CE"/>
    <w:rsid w:val="00D22B19"/>
    <w:rsid w:val="00D27005"/>
    <w:rsid w:val="00D27FFC"/>
    <w:rsid w:val="00D30E28"/>
    <w:rsid w:val="00D31F7B"/>
    <w:rsid w:val="00D36D0D"/>
    <w:rsid w:val="00D37F66"/>
    <w:rsid w:val="00D4270E"/>
    <w:rsid w:val="00D50C7B"/>
    <w:rsid w:val="00D573FE"/>
    <w:rsid w:val="00D61808"/>
    <w:rsid w:val="00D61A2F"/>
    <w:rsid w:val="00D64089"/>
    <w:rsid w:val="00D64DFD"/>
    <w:rsid w:val="00D679F7"/>
    <w:rsid w:val="00D73085"/>
    <w:rsid w:val="00D7669C"/>
    <w:rsid w:val="00D77E05"/>
    <w:rsid w:val="00D808DC"/>
    <w:rsid w:val="00D80A33"/>
    <w:rsid w:val="00D81874"/>
    <w:rsid w:val="00D82408"/>
    <w:rsid w:val="00D92534"/>
    <w:rsid w:val="00D92F2E"/>
    <w:rsid w:val="00D96512"/>
    <w:rsid w:val="00DA0902"/>
    <w:rsid w:val="00DA3B75"/>
    <w:rsid w:val="00DA7B55"/>
    <w:rsid w:val="00DB0171"/>
    <w:rsid w:val="00DB1F86"/>
    <w:rsid w:val="00DB4ADB"/>
    <w:rsid w:val="00DB617D"/>
    <w:rsid w:val="00DC1982"/>
    <w:rsid w:val="00DC7404"/>
    <w:rsid w:val="00DD1E2B"/>
    <w:rsid w:val="00DD3E8A"/>
    <w:rsid w:val="00DF10CE"/>
    <w:rsid w:val="00DF36B8"/>
    <w:rsid w:val="00E00282"/>
    <w:rsid w:val="00E00F48"/>
    <w:rsid w:val="00E03495"/>
    <w:rsid w:val="00E04FE3"/>
    <w:rsid w:val="00E0517F"/>
    <w:rsid w:val="00E05C06"/>
    <w:rsid w:val="00E06216"/>
    <w:rsid w:val="00E073E9"/>
    <w:rsid w:val="00E11241"/>
    <w:rsid w:val="00E12B4F"/>
    <w:rsid w:val="00E1488F"/>
    <w:rsid w:val="00E20617"/>
    <w:rsid w:val="00E25180"/>
    <w:rsid w:val="00E30083"/>
    <w:rsid w:val="00E35955"/>
    <w:rsid w:val="00E36BA6"/>
    <w:rsid w:val="00E4144C"/>
    <w:rsid w:val="00E4184A"/>
    <w:rsid w:val="00E422F7"/>
    <w:rsid w:val="00E45968"/>
    <w:rsid w:val="00E5017E"/>
    <w:rsid w:val="00E50C64"/>
    <w:rsid w:val="00E549CE"/>
    <w:rsid w:val="00E57E6D"/>
    <w:rsid w:val="00E603BE"/>
    <w:rsid w:val="00E66EC8"/>
    <w:rsid w:val="00E709F7"/>
    <w:rsid w:val="00E763C0"/>
    <w:rsid w:val="00E76B63"/>
    <w:rsid w:val="00E811FC"/>
    <w:rsid w:val="00E83CDF"/>
    <w:rsid w:val="00E84B94"/>
    <w:rsid w:val="00E92A33"/>
    <w:rsid w:val="00E9719B"/>
    <w:rsid w:val="00EA0FA0"/>
    <w:rsid w:val="00EA263A"/>
    <w:rsid w:val="00EA27D9"/>
    <w:rsid w:val="00EA4824"/>
    <w:rsid w:val="00EA5DD2"/>
    <w:rsid w:val="00EA5EB4"/>
    <w:rsid w:val="00EA646D"/>
    <w:rsid w:val="00EA7565"/>
    <w:rsid w:val="00EB2667"/>
    <w:rsid w:val="00EB3966"/>
    <w:rsid w:val="00EB48AC"/>
    <w:rsid w:val="00EB6964"/>
    <w:rsid w:val="00EB6F1B"/>
    <w:rsid w:val="00EC283C"/>
    <w:rsid w:val="00EC6623"/>
    <w:rsid w:val="00EC6E3A"/>
    <w:rsid w:val="00EC7C0C"/>
    <w:rsid w:val="00EC7F38"/>
    <w:rsid w:val="00ED05A7"/>
    <w:rsid w:val="00ED1689"/>
    <w:rsid w:val="00ED1B31"/>
    <w:rsid w:val="00ED42A5"/>
    <w:rsid w:val="00ED439E"/>
    <w:rsid w:val="00ED79DD"/>
    <w:rsid w:val="00ED7ADD"/>
    <w:rsid w:val="00ED7BEC"/>
    <w:rsid w:val="00ED7D6D"/>
    <w:rsid w:val="00EE3204"/>
    <w:rsid w:val="00EE4CF1"/>
    <w:rsid w:val="00EE73F2"/>
    <w:rsid w:val="00EF159B"/>
    <w:rsid w:val="00EF5D3B"/>
    <w:rsid w:val="00F00C88"/>
    <w:rsid w:val="00F026F2"/>
    <w:rsid w:val="00F04860"/>
    <w:rsid w:val="00F154EB"/>
    <w:rsid w:val="00F23634"/>
    <w:rsid w:val="00F23643"/>
    <w:rsid w:val="00F256AF"/>
    <w:rsid w:val="00F263C7"/>
    <w:rsid w:val="00F37157"/>
    <w:rsid w:val="00F37A77"/>
    <w:rsid w:val="00F40635"/>
    <w:rsid w:val="00F47504"/>
    <w:rsid w:val="00F504FA"/>
    <w:rsid w:val="00F50BD0"/>
    <w:rsid w:val="00F56733"/>
    <w:rsid w:val="00F6121B"/>
    <w:rsid w:val="00F61E21"/>
    <w:rsid w:val="00F63E67"/>
    <w:rsid w:val="00F67F34"/>
    <w:rsid w:val="00F71DDF"/>
    <w:rsid w:val="00F756BD"/>
    <w:rsid w:val="00F75E18"/>
    <w:rsid w:val="00F76468"/>
    <w:rsid w:val="00F7675E"/>
    <w:rsid w:val="00F808D0"/>
    <w:rsid w:val="00F817B7"/>
    <w:rsid w:val="00F8276E"/>
    <w:rsid w:val="00F82D02"/>
    <w:rsid w:val="00F86C90"/>
    <w:rsid w:val="00F9082F"/>
    <w:rsid w:val="00F90F16"/>
    <w:rsid w:val="00F92863"/>
    <w:rsid w:val="00F93C73"/>
    <w:rsid w:val="00F957CC"/>
    <w:rsid w:val="00F966AD"/>
    <w:rsid w:val="00FA0BAE"/>
    <w:rsid w:val="00FA2B2F"/>
    <w:rsid w:val="00FA4CC4"/>
    <w:rsid w:val="00FA4D43"/>
    <w:rsid w:val="00FA5420"/>
    <w:rsid w:val="00FA7C8B"/>
    <w:rsid w:val="00FB0A52"/>
    <w:rsid w:val="00FB2438"/>
    <w:rsid w:val="00FB7559"/>
    <w:rsid w:val="00FC1973"/>
    <w:rsid w:val="00FC2AB5"/>
    <w:rsid w:val="00FC2EDA"/>
    <w:rsid w:val="00FD46D9"/>
    <w:rsid w:val="00FD4765"/>
    <w:rsid w:val="00FD6DE7"/>
    <w:rsid w:val="00FE4C9B"/>
    <w:rsid w:val="00FE5D75"/>
    <w:rsid w:val="00FE671F"/>
    <w:rsid w:val="00FF0EDD"/>
    <w:rsid w:val="00FF16C4"/>
    <w:rsid w:val="00FF44BC"/>
    <w:rsid w:val="00FF618F"/>
    <w:rsid w:val="00FF7F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DB76"/>
  <w15:chartTrackingRefBased/>
  <w15:docId w15:val="{9C497655-5132-4BE5-BFA3-6656A12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5C65"/>
    <w:pPr>
      <w:numPr>
        <w:numId w:val="5"/>
      </w:numPr>
      <w:tabs>
        <w:tab w:val="left" w:pos="3969"/>
      </w:tabs>
      <w:spacing w:before="120" w:line="360" w:lineRule="auto"/>
      <w:jc w:val="center"/>
      <w:outlineLvl w:val="0"/>
    </w:pPr>
    <w:rPr>
      <w:rFonts w:ascii="Verdana" w:hAnsi="Verdana"/>
      <w:b/>
      <w:sz w:val="24"/>
    </w:rPr>
  </w:style>
  <w:style w:type="paragraph" w:styleId="Heading2">
    <w:name w:val="heading 2"/>
    <w:basedOn w:val="ListParagraph"/>
    <w:next w:val="Normal"/>
    <w:link w:val="Heading2Char"/>
    <w:uiPriority w:val="9"/>
    <w:unhideWhenUsed/>
    <w:qFormat/>
    <w:rsid w:val="006A3393"/>
    <w:pPr>
      <w:numPr>
        <w:numId w:val="6"/>
      </w:numPr>
      <w:tabs>
        <w:tab w:val="left" w:pos="1701"/>
      </w:tabs>
      <w:spacing w:before="120" w:after="0" w:line="360" w:lineRule="auto"/>
      <w:ind w:left="426"/>
      <w:jc w:val="center"/>
      <w:outlineLvl w:val="1"/>
    </w:pPr>
    <w:rPr>
      <w:rFonts w:ascii="Verdana" w:hAnsi="Verdana"/>
      <w:b/>
      <w:color w:val="000000" w:themeColor="text1"/>
    </w:rPr>
  </w:style>
  <w:style w:type="paragraph" w:styleId="Heading3">
    <w:name w:val="heading 3"/>
    <w:basedOn w:val="ListParagraph"/>
    <w:next w:val="Normal"/>
    <w:link w:val="Heading3Char"/>
    <w:uiPriority w:val="9"/>
    <w:unhideWhenUsed/>
    <w:qFormat/>
    <w:rsid w:val="00875033"/>
    <w:pPr>
      <w:numPr>
        <w:numId w:val="8"/>
      </w:numPr>
      <w:jc w:val="cente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A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79A9"/>
  </w:style>
  <w:style w:type="paragraph" w:styleId="Footer">
    <w:name w:val="footer"/>
    <w:basedOn w:val="Normal"/>
    <w:link w:val="FooterChar"/>
    <w:uiPriority w:val="99"/>
    <w:unhideWhenUsed/>
    <w:rsid w:val="007879A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79A9"/>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A172F1"/>
    <w:pPr>
      <w:ind w:left="720"/>
      <w:contextualSpacing/>
    </w:pPr>
  </w:style>
  <w:style w:type="character" w:styleId="CommentReference">
    <w:name w:val="annotation reference"/>
    <w:basedOn w:val="DefaultParagraphFont"/>
    <w:uiPriority w:val="99"/>
    <w:semiHidden/>
    <w:unhideWhenUsed/>
    <w:rsid w:val="006418B1"/>
    <w:rPr>
      <w:sz w:val="16"/>
      <w:szCs w:val="16"/>
    </w:rPr>
  </w:style>
  <w:style w:type="paragraph" w:styleId="CommentText">
    <w:name w:val="annotation text"/>
    <w:basedOn w:val="Normal"/>
    <w:link w:val="CommentTextChar"/>
    <w:uiPriority w:val="99"/>
    <w:unhideWhenUsed/>
    <w:rsid w:val="006418B1"/>
    <w:pPr>
      <w:spacing w:line="240" w:lineRule="auto"/>
    </w:pPr>
    <w:rPr>
      <w:sz w:val="20"/>
      <w:szCs w:val="20"/>
    </w:rPr>
  </w:style>
  <w:style w:type="character" w:customStyle="1" w:styleId="CommentTextChar">
    <w:name w:val="Comment Text Char"/>
    <w:basedOn w:val="DefaultParagraphFont"/>
    <w:link w:val="CommentText"/>
    <w:uiPriority w:val="99"/>
    <w:rsid w:val="006418B1"/>
    <w:rPr>
      <w:sz w:val="20"/>
      <w:szCs w:val="20"/>
    </w:rPr>
  </w:style>
  <w:style w:type="paragraph" w:styleId="CommentSubject">
    <w:name w:val="annotation subject"/>
    <w:basedOn w:val="CommentText"/>
    <w:next w:val="CommentText"/>
    <w:link w:val="CommentSubjectChar"/>
    <w:uiPriority w:val="99"/>
    <w:semiHidden/>
    <w:unhideWhenUsed/>
    <w:rsid w:val="006418B1"/>
    <w:rPr>
      <w:b/>
      <w:bCs/>
    </w:rPr>
  </w:style>
  <w:style w:type="character" w:customStyle="1" w:styleId="CommentSubjectChar">
    <w:name w:val="Comment Subject Char"/>
    <w:basedOn w:val="CommentTextChar"/>
    <w:link w:val="CommentSubject"/>
    <w:uiPriority w:val="99"/>
    <w:semiHidden/>
    <w:rsid w:val="006418B1"/>
    <w:rPr>
      <w:b/>
      <w:bCs/>
      <w:sz w:val="20"/>
      <w:szCs w:val="20"/>
    </w:rPr>
  </w:style>
  <w:style w:type="paragraph" w:styleId="BalloonText">
    <w:name w:val="Balloon Text"/>
    <w:basedOn w:val="Normal"/>
    <w:link w:val="BalloonTextChar"/>
    <w:uiPriority w:val="99"/>
    <w:semiHidden/>
    <w:unhideWhenUsed/>
    <w:rsid w:val="0064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B1"/>
    <w:rPr>
      <w:rFonts w:ascii="Segoe UI" w:hAnsi="Segoe UI" w:cs="Segoe UI"/>
      <w:sz w:val="18"/>
      <w:szCs w:val="18"/>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link w:val="ListParagraph"/>
    <w:uiPriority w:val="34"/>
    <w:qFormat/>
    <w:rsid w:val="00092BC2"/>
  </w:style>
  <w:style w:type="character" w:customStyle="1" w:styleId="Heading1Char">
    <w:name w:val="Heading 1 Char"/>
    <w:basedOn w:val="DefaultParagraphFont"/>
    <w:link w:val="Heading1"/>
    <w:uiPriority w:val="9"/>
    <w:rsid w:val="00B65C65"/>
    <w:rPr>
      <w:rFonts w:ascii="Verdana" w:hAnsi="Verdana"/>
      <w:b/>
      <w:sz w:val="24"/>
    </w:rPr>
  </w:style>
  <w:style w:type="paragraph" w:customStyle="1" w:styleId="tex">
    <w:name w:val="tex"/>
    <w:basedOn w:val="Normal"/>
    <w:rsid w:val="00105C80"/>
    <w:pPr>
      <w:spacing w:before="60" w:after="60" w:line="240" w:lineRule="auto"/>
      <w:jc w:val="both"/>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4551A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4551A4"/>
    <w:rPr>
      <w:color w:val="0000FF"/>
      <w:u w:val="single"/>
    </w:rPr>
  </w:style>
  <w:style w:type="paragraph" w:styleId="Revision">
    <w:name w:val="Revision"/>
    <w:hidden/>
    <w:uiPriority w:val="99"/>
    <w:semiHidden/>
    <w:rsid w:val="00D96512"/>
    <w:pPr>
      <w:spacing w:after="0" w:line="240" w:lineRule="auto"/>
    </w:pPr>
  </w:style>
  <w:style w:type="paragraph" w:styleId="FootnoteText">
    <w:name w:val="footnote text"/>
    <w:basedOn w:val="Normal"/>
    <w:link w:val="FootnoteTextChar"/>
    <w:uiPriority w:val="99"/>
    <w:semiHidden/>
    <w:unhideWhenUsed/>
    <w:rsid w:val="0086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DCE"/>
    <w:rPr>
      <w:sz w:val="20"/>
      <w:szCs w:val="20"/>
    </w:rPr>
  </w:style>
  <w:style w:type="character" w:styleId="FootnoteReference">
    <w:name w:val="footnote reference"/>
    <w:basedOn w:val="DefaultParagraphFont"/>
    <w:uiPriority w:val="99"/>
    <w:semiHidden/>
    <w:unhideWhenUsed/>
    <w:rsid w:val="00863DCE"/>
    <w:rPr>
      <w:vertAlign w:val="superscript"/>
    </w:rPr>
  </w:style>
  <w:style w:type="paragraph" w:customStyle="1" w:styleId="CM1">
    <w:name w:val="CM1"/>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character" w:customStyle="1" w:styleId="MenoNoResolvida1">
    <w:name w:val="Menção Não Resolvida1"/>
    <w:basedOn w:val="DefaultParagraphFont"/>
    <w:uiPriority w:val="99"/>
    <w:semiHidden/>
    <w:unhideWhenUsed/>
    <w:rsid w:val="005414C1"/>
    <w:rPr>
      <w:color w:val="605E5C"/>
      <w:shd w:val="clear" w:color="auto" w:fill="E1DFDD"/>
    </w:rPr>
  </w:style>
  <w:style w:type="paragraph" w:customStyle="1" w:styleId="Chapitre">
    <w:name w:val="Chapitre"/>
    <w:basedOn w:val="Normal"/>
    <w:qFormat/>
    <w:rsid w:val="005414C1"/>
    <w:pPr>
      <w:numPr>
        <w:numId w:val="4"/>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5414C1"/>
    <w:pPr>
      <w:numPr>
        <w:ilvl w:val="1"/>
        <w:numId w:val="4"/>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5414C1"/>
    <w:pPr>
      <w:numPr>
        <w:ilvl w:val="2"/>
        <w:numId w:val="4"/>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5414C1"/>
    <w:pPr>
      <w:numPr>
        <w:ilvl w:val="3"/>
        <w:numId w:val="4"/>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5414C1"/>
    <w:pPr>
      <w:numPr>
        <w:ilvl w:val="4"/>
        <w:numId w:val="4"/>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5414C1"/>
    <w:pPr>
      <w:numPr>
        <w:ilvl w:val="5"/>
        <w:numId w:val="4"/>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5414C1"/>
    <w:pPr>
      <w:numPr>
        <w:ilvl w:val="6"/>
      </w:numPr>
    </w:pPr>
    <w:rPr>
      <w:lang w:eastAsia="fr-BE"/>
    </w:rPr>
  </w:style>
  <w:style w:type="paragraph" w:customStyle="1" w:styleId="Numerotation1">
    <w:name w:val="Numerotation 1."/>
    <w:basedOn w:val="Liste1"/>
    <w:qFormat/>
    <w:rsid w:val="005414C1"/>
    <w:pPr>
      <w:numPr>
        <w:ilvl w:val="7"/>
      </w:numPr>
      <w:spacing w:beforeLines="0" w:before="120" w:after="120"/>
    </w:pPr>
  </w:style>
  <w:style w:type="paragraph" w:customStyle="1" w:styleId="Numerotationa">
    <w:name w:val="Numerotation a)"/>
    <w:basedOn w:val="Liste10"/>
    <w:qFormat/>
    <w:rsid w:val="005414C1"/>
    <w:pPr>
      <w:numPr>
        <w:ilvl w:val="8"/>
      </w:numPr>
      <w:spacing w:before="240" w:after="240"/>
    </w:pPr>
  </w:style>
  <w:style w:type="paragraph" w:customStyle="1" w:styleId="sti-art">
    <w:name w:val="s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per">
    <w:name w:val="super"/>
    <w:basedOn w:val="DefaultParagraphFont"/>
    <w:rsid w:val="00F256AF"/>
  </w:style>
  <w:style w:type="paragraph" w:customStyle="1" w:styleId="ti-art">
    <w:name w:val="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8A3EE5"/>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6A3393"/>
    <w:rPr>
      <w:rFonts w:ascii="Verdana" w:hAnsi="Verdana"/>
      <w:b/>
      <w:color w:val="000000" w:themeColor="text1"/>
    </w:rPr>
  </w:style>
  <w:style w:type="character" w:customStyle="1" w:styleId="Heading3Char">
    <w:name w:val="Heading 3 Char"/>
    <w:basedOn w:val="DefaultParagraphFont"/>
    <w:link w:val="Heading3"/>
    <w:uiPriority w:val="9"/>
    <w:rsid w:val="00875033"/>
    <w:rPr>
      <w:rFonts w:ascii="Verdana" w:hAnsi="Verdana"/>
    </w:rPr>
  </w:style>
  <w:style w:type="paragraph" w:customStyle="1" w:styleId="CM4">
    <w:name w:val="CM4"/>
    <w:basedOn w:val="Default"/>
    <w:next w:val="Default"/>
    <w:uiPriority w:val="99"/>
    <w:rsid w:val="00004334"/>
    <w:rPr>
      <w:rFonts w:ascii="EU Albertina" w:hAnsi="EU Albertina" w:cstheme="minorBidi"/>
      <w:color w:val="auto"/>
    </w:rPr>
  </w:style>
  <w:style w:type="character" w:customStyle="1" w:styleId="MenoNoResolvida2">
    <w:name w:val="Menção Não Resolvida2"/>
    <w:basedOn w:val="DefaultParagraphFont"/>
    <w:uiPriority w:val="99"/>
    <w:semiHidden/>
    <w:unhideWhenUsed/>
    <w:rsid w:val="00FF16C4"/>
    <w:rPr>
      <w:color w:val="605E5C"/>
      <w:shd w:val="clear" w:color="auto" w:fill="E1DFDD"/>
    </w:rPr>
  </w:style>
  <w:style w:type="character" w:styleId="FollowedHyperlink">
    <w:name w:val="FollowedHyperlink"/>
    <w:basedOn w:val="DefaultParagraphFont"/>
    <w:uiPriority w:val="99"/>
    <w:semiHidden/>
    <w:unhideWhenUsed/>
    <w:rsid w:val="003B2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149">
      <w:bodyDiv w:val="1"/>
      <w:marLeft w:val="0"/>
      <w:marRight w:val="0"/>
      <w:marTop w:val="0"/>
      <w:marBottom w:val="0"/>
      <w:divBdr>
        <w:top w:val="none" w:sz="0" w:space="0" w:color="auto"/>
        <w:left w:val="none" w:sz="0" w:space="0" w:color="auto"/>
        <w:bottom w:val="none" w:sz="0" w:space="0" w:color="auto"/>
        <w:right w:val="none" w:sz="0" w:space="0" w:color="auto"/>
      </w:divBdr>
    </w:div>
    <w:div w:id="43602140">
      <w:bodyDiv w:val="1"/>
      <w:marLeft w:val="0"/>
      <w:marRight w:val="0"/>
      <w:marTop w:val="0"/>
      <w:marBottom w:val="0"/>
      <w:divBdr>
        <w:top w:val="none" w:sz="0" w:space="0" w:color="auto"/>
        <w:left w:val="none" w:sz="0" w:space="0" w:color="auto"/>
        <w:bottom w:val="none" w:sz="0" w:space="0" w:color="auto"/>
        <w:right w:val="none" w:sz="0" w:space="0" w:color="auto"/>
      </w:divBdr>
    </w:div>
    <w:div w:id="106044057">
      <w:bodyDiv w:val="1"/>
      <w:marLeft w:val="0"/>
      <w:marRight w:val="0"/>
      <w:marTop w:val="0"/>
      <w:marBottom w:val="0"/>
      <w:divBdr>
        <w:top w:val="none" w:sz="0" w:space="0" w:color="auto"/>
        <w:left w:val="none" w:sz="0" w:space="0" w:color="auto"/>
        <w:bottom w:val="none" w:sz="0" w:space="0" w:color="auto"/>
        <w:right w:val="none" w:sz="0" w:space="0" w:color="auto"/>
      </w:divBdr>
    </w:div>
    <w:div w:id="272711859">
      <w:bodyDiv w:val="1"/>
      <w:marLeft w:val="0"/>
      <w:marRight w:val="0"/>
      <w:marTop w:val="0"/>
      <w:marBottom w:val="0"/>
      <w:divBdr>
        <w:top w:val="none" w:sz="0" w:space="0" w:color="auto"/>
        <w:left w:val="none" w:sz="0" w:space="0" w:color="auto"/>
        <w:bottom w:val="none" w:sz="0" w:space="0" w:color="auto"/>
        <w:right w:val="none" w:sz="0" w:space="0" w:color="auto"/>
      </w:divBdr>
    </w:div>
    <w:div w:id="535002326">
      <w:bodyDiv w:val="1"/>
      <w:marLeft w:val="0"/>
      <w:marRight w:val="0"/>
      <w:marTop w:val="0"/>
      <w:marBottom w:val="0"/>
      <w:divBdr>
        <w:top w:val="none" w:sz="0" w:space="0" w:color="auto"/>
        <w:left w:val="none" w:sz="0" w:space="0" w:color="auto"/>
        <w:bottom w:val="none" w:sz="0" w:space="0" w:color="auto"/>
        <w:right w:val="none" w:sz="0" w:space="0" w:color="auto"/>
      </w:divBdr>
    </w:div>
    <w:div w:id="558907982">
      <w:bodyDiv w:val="1"/>
      <w:marLeft w:val="0"/>
      <w:marRight w:val="0"/>
      <w:marTop w:val="0"/>
      <w:marBottom w:val="0"/>
      <w:divBdr>
        <w:top w:val="none" w:sz="0" w:space="0" w:color="auto"/>
        <w:left w:val="none" w:sz="0" w:space="0" w:color="auto"/>
        <w:bottom w:val="none" w:sz="0" w:space="0" w:color="auto"/>
        <w:right w:val="none" w:sz="0" w:space="0" w:color="auto"/>
      </w:divBdr>
    </w:div>
    <w:div w:id="569727360">
      <w:bodyDiv w:val="1"/>
      <w:marLeft w:val="0"/>
      <w:marRight w:val="0"/>
      <w:marTop w:val="0"/>
      <w:marBottom w:val="0"/>
      <w:divBdr>
        <w:top w:val="none" w:sz="0" w:space="0" w:color="auto"/>
        <w:left w:val="none" w:sz="0" w:space="0" w:color="auto"/>
        <w:bottom w:val="none" w:sz="0" w:space="0" w:color="auto"/>
        <w:right w:val="none" w:sz="0" w:space="0" w:color="auto"/>
      </w:divBdr>
    </w:div>
    <w:div w:id="644966926">
      <w:bodyDiv w:val="1"/>
      <w:marLeft w:val="0"/>
      <w:marRight w:val="0"/>
      <w:marTop w:val="0"/>
      <w:marBottom w:val="0"/>
      <w:divBdr>
        <w:top w:val="none" w:sz="0" w:space="0" w:color="auto"/>
        <w:left w:val="none" w:sz="0" w:space="0" w:color="auto"/>
        <w:bottom w:val="none" w:sz="0" w:space="0" w:color="auto"/>
        <w:right w:val="none" w:sz="0" w:space="0" w:color="auto"/>
      </w:divBdr>
    </w:div>
    <w:div w:id="671301495">
      <w:bodyDiv w:val="1"/>
      <w:marLeft w:val="0"/>
      <w:marRight w:val="0"/>
      <w:marTop w:val="0"/>
      <w:marBottom w:val="0"/>
      <w:divBdr>
        <w:top w:val="none" w:sz="0" w:space="0" w:color="auto"/>
        <w:left w:val="none" w:sz="0" w:space="0" w:color="auto"/>
        <w:bottom w:val="none" w:sz="0" w:space="0" w:color="auto"/>
        <w:right w:val="none" w:sz="0" w:space="0" w:color="auto"/>
      </w:divBdr>
    </w:div>
    <w:div w:id="872226490">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1004893017">
      <w:bodyDiv w:val="1"/>
      <w:marLeft w:val="0"/>
      <w:marRight w:val="0"/>
      <w:marTop w:val="0"/>
      <w:marBottom w:val="0"/>
      <w:divBdr>
        <w:top w:val="none" w:sz="0" w:space="0" w:color="auto"/>
        <w:left w:val="none" w:sz="0" w:space="0" w:color="auto"/>
        <w:bottom w:val="none" w:sz="0" w:space="0" w:color="auto"/>
        <w:right w:val="none" w:sz="0" w:space="0" w:color="auto"/>
      </w:divBdr>
    </w:div>
    <w:div w:id="1073505622">
      <w:bodyDiv w:val="1"/>
      <w:marLeft w:val="0"/>
      <w:marRight w:val="0"/>
      <w:marTop w:val="0"/>
      <w:marBottom w:val="0"/>
      <w:divBdr>
        <w:top w:val="none" w:sz="0" w:space="0" w:color="auto"/>
        <w:left w:val="none" w:sz="0" w:space="0" w:color="auto"/>
        <w:bottom w:val="none" w:sz="0" w:space="0" w:color="auto"/>
        <w:right w:val="none" w:sz="0" w:space="0" w:color="auto"/>
      </w:divBdr>
    </w:div>
    <w:div w:id="1350328602">
      <w:bodyDiv w:val="1"/>
      <w:marLeft w:val="0"/>
      <w:marRight w:val="0"/>
      <w:marTop w:val="0"/>
      <w:marBottom w:val="0"/>
      <w:divBdr>
        <w:top w:val="none" w:sz="0" w:space="0" w:color="auto"/>
        <w:left w:val="none" w:sz="0" w:space="0" w:color="auto"/>
        <w:bottom w:val="none" w:sz="0" w:space="0" w:color="auto"/>
        <w:right w:val="none" w:sz="0" w:space="0" w:color="auto"/>
      </w:divBdr>
    </w:div>
    <w:div w:id="1790584226">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20800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540820/details/normal?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e.pt/web/guest/pesquisa/-/search/540820/details/normal?l=1" TargetMode="External"/><Relationship Id="rId4" Type="http://schemas.openxmlformats.org/officeDocument/2006/relationships/settings" Target="settings.xml"/><Relationship Id="rId9" Type="http://schemas.openxmlformats.org/officeDocument/2006/relationships/hyperlink" Target="https://dre.pt/web/guest/pesquisa/-/search/540820/details/normal?l=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59D7-D834-47D8-AA0D-FA3895E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33</Pages>
  <Words>8932</Words>
  <Characters>50917</Characters>
  <Application>Microsoft Office Word</Application>
  <DocSecurity>0</DocSecurity>
  <Lines>424</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Dimitris Dimitriadis</cp:lastModifiedBy>
  <cp:revision>32</cp:revision>
  <dcterms:created xsi:type="dcterms:W3CDTF">2021-03-12T18:57:00Z</dcterms:created>
  <dcterms:modified xsi:type="dcterms:W3CDTF">2021-03-30T14:42:00Z</dcterms:modified>
</cp:coreProperties>
</file>