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top w:w="142" w:type="dxa"/>
          <w:left w:w="142" w:type="dxa"/>
          <w:bottom w:w="142" w:type="dxa"/>
          <w:right w:w="142" w:type="dxa"/>
        </w:tblCellMar>
        <w:tblLook w:val="0000" w:firstRow="0" w:lastRow="0" w:firstColumn="0" w:lastColumn="0" w:noHBand="0" w:noVBand="0"/>
      </w:tblPr>
      <w:tblGrid>
        <w:gridCol w:w="9639"/>
      </w:tblGrid>
      <w:tr w:rsidR="00E84013" w:rsidRPr="00AC4DF6" w14:paraId="5D27D3DC" w14:textId="77777777">
        <w:trPr>
          <w:cantSplit/>
          <w:trHeight w:hRule="exact" w:val="567"/>
          <w:jc w:val="center"/>
        </w:trPr>
        <w:tc>
          <w:tcPr>
            <w:tcW w:w="9639" w:type="dxa"/>
          </w:tcPr>
          <w:p w14:paraId="5D27D3DB" w14:textId="77777777" w:rsidR="00E84013" w:rsidRPr="00AC4DF6" w:rsidRDefault="00BC6BFF">
            <w:pPr>
              <w:jc w:val="center"/>
              <w:rPr>
                <w:rFonts w:ascii="Verdana" w:hAnsi="Verdana" w:cs="Arial"/>
                <w:color w:val="000000" w:themeColor="text1"/>
                <w:sz w:val="26"/>
                <w:szCs w:val="26"/>
              </w:rPr>
            </w:pPr>
            <w:r w:rsidRPr="00AC4DF6">
              <w:rPr>
                <w:rFonts w:ascii="Verdana" w:hAnsi="Verdana"/>
                <w:color w:val="000000" w:themeColor="text1"/>
                <w:sz w:val="26"/>
              </w:rPr>
              <w:t>Nacrt</w:t>
            </w:r>
          </w:p>
        </w:tc>
      </w:tr>
      <w:tr w:rsidR="00E84013" w:rsidRPr="00AC4DF6" w14:paraId="5D27D3DE" w14:textId="77777777">
        <w:trPr>
          <w:cantSplit/>
          <w:trHeight w:hRule="exact" w:val="567"/>
          <w:jc w:val="center"/>
        </w:trPr>
        <w:tc>
          <w:tcPr>
            <w:tcW w:w="9639" w:type="dxa"/>
          </w:tcPr>
          <w:p w14:paraId="5D27D3DD" w14:textId="77777777" w:rsidR="00E84013" w:rsidRPr="00AC4DF6" w:rsidRDefault="00E84013">
            <w:pPr>
              <w:jc w:val="center"/>
              <w:rPr>
                <w:rFonts w:cs="Arial"/>
                <w:color w:val="000000" w:themeColor="text1"/>
                <w:sz w:val="28"/>
              </w:rPr>
            </w:pPr>
          </w:p>
        </w:tc>
      </w:tr>
      <w:tr w:rsidR="00E84013" w:rsidRPr="00AC4DF6" w14:paraId="5D27D3E0" w14:textId="77777777">
        <w:trPr>
          <w:cantSplit/>
          <w:trHeight w:hRule="exact" w:val="1985"/>
          <w:jc w:val="center"/>
        </w:trPr>
        <w:tc>
          <w:tcPr>
            <w:tcW w:w="9639" w:type="dxa"/>
          </w:tcPr>
          <w:p w14:paraId="5D27D3DF" w14:textId="58E47DC6" w:rsidR="00E84013" w:rsidRPr="00AC4DF6" w:rsidRDefault="00E84013" w:rsidP="003F6241">
            <w:pPr>
              <w:jc w:val="center"/>
              <w:rPr>
                <w:rFonts w:ascii="Verdana" w:hAnsi="Verdana"/>
                <w:b/>
                <w:bCs/>
                <w:color w:val="000000" w:themeColor="text1"/>
                <w:sz w:val="72"/>
              </w:rPr>
            </w:pPr>
            <w:r w:rsidRPr="00AC4DF6">
              <w:rPr>
                <w:rFonts w:ascii="Verdana" w:hAnsi="Verdana"/>
                <w:b/>
                <w:color w:val="000000" w:themeColor="text1"/>
                <w:sz w:val="72"/>
              </w:rPr>
              <w:t>SSB FE-OE 058</w:t>
            </w:r>
          </w:p>
        </w:tc>
      </w:tr>
      <w:tr w:rsidR="00E84013" w:rsidRPr="00AC4DF6" w14:paraId="5D27D3E7" w14:textId="77777777">
        <w:trPr>
          <w:cantSplit/>
          <w:trHeight w:val="3969"/>
          <w:jc w:val="center"/>
        </w:trPr>
        <w:tc>
          <w:tcPr>
            <w:tcW w:w="9639" w:type="dxa"/>
          </w:tcPr>
          <w:p w14:paraId="5D27D3E2" w14:textId="2237C949" w:rsidR="00E84013" w:rsidRPr="00AC4DF6" w:rsidRDefault="00E84013" w:rsidP="005E06AD">
            <w:pPr>
              <w:jc w:val="center"/>
              <w:rPr>
                <w:rFonts w:ascii="Verdana" w:hAnsi="Verdana" w:cs="Arial"/>
                <w:b/>
                <w:bCs/>
                <w:color w:val="000000" w:themeColor="text1"/>
                <w:sz w:val="36"/>
              </w:rPr>
            </w:pPr>
            <w:r w:rsidRPr="00AC4DF6">
              <w:rPr>
                <w:rFonts w:ascii="Verdana" w:hAnsi="Verdana"/>
                <w:b/>
                <w:color w:val="000000" w:themeColor="text1"/>
                <w:sz w:val="36"/>
              </w:rPr>
              <w:t xml:space="preserve">Specifikacija sučelja za radiorelejsku opremu u rasponu od 6,2 GHz (L6) (od točke do točke) </w:t>
            </w:r>
          </w:p>
          <w:p w14:paraId="5D27D3E3" w14:textId="77777777" w:rsidR="00E84013" w:rsidRPr="00AC4DF6" w:rsidRDefault="00E84013">
            <w:pPr>
              <w:jc w:val="center"/>
              <w:rPr>
                <w:rFonts w:ascii="Verdana" w:hAnsi="Verdana" w:cs="Arial"/>
                <w:b/>
                <w:bCs/>
                <w:color w:val="000000" w:themeColor="text1"/>
                <w:sz w:val="36"/>
              </w:rPr>
            </w:pPr>
          </w:p>
          <w:p w14:paraId="5D27D3E5" w14:textId="77777777" w:rsidR="00E84013" w:rsidRPr="00AC4DF6" w:rsidRDefault="00E84013">
            <w:pPr>
              <w:jc w:val="center"/>
              <w:rPr>
                <w:rFonts w:ascii="Verdana" w:hAnsi="Verdana" w:cs="Arial"/>
                <w:b/>
                <w:bCs/>
                <w:color w:val="000000" w:themeColor="text1"/>
                <w:sz w:val="36"/>
              </w:rPr>
            </w:pPr>
          </w:p>
          <w:p w14:paraId="5D27D3E6" w14:textId="77777777" w:rsidR="00E84013" w:rsidRPr="00AC4DF6" w:rsidRDefault="00E84013">
            <w:pPr>
              <w:jc w:val="center"/>
              <w:rPr>
                <w:rFonts w:cs="Arial"/>
                <w:b/>
                <w:bCs/>
                <w:color w:val="000000" w:themeColor="text1"/>
                <w:sz w:val="36"/>
              </w:rPr>
            </w:pPr>
          </w:p>
        </w:tc>
      </w:tr>
      <w:tr w:rsidR="00E84013" w:rsidRPr="00AC4DF6" w14:paraId="5D27D3E9" w14:textId="77777777">
        <w:trPr>
          <w:cantSplit/>
          <w:trHeight w:hRule="exact" w:val="567"/>
          <w:jc w:val="center"/>
        </w:trPr>
        <w:tc>
          <w:tcPr>
            <w:tcW w:w="9639" w:type="dxa"/>
          </w:tcPr>
          <w:p w14:paraId="5D27D3E8" w14:textId="777FBD58" w:rsidR="00E84013" w:rsidRPr="00AC4DF6" w:rsidRDefault="00E84013" w:rsidP="00300659">
            <w:pPr>
              <w:jc w:val="center"/>
              <w:rPr>
                <w:rFonts w:ascii="Verdana" w:hAnsi="Verdana" w:cs="Tahoma"/>
                <w:color w:val="000000" w:themeColor="text1"/>
                <w:sz w:val="32"/>
              </w:rPr>
            </w:pPr>
            <w:r w:rsidRPr="00AC4DF6">
              <w:rPr>
                <w:rFonts w:ascii="Verdana" w:hAnsi="Verdana"/>
                <w:color w:val="000000" w:themeColor="text1"/>
                <w:sz w:val="32"/>
              </w:rPr>
              <w:t>Izdanje: Veljača 2022.</w:t>
            </w:r>
          </w:p>
        </w:tc>
      </w:tr>
    </w:tbl>
    <w:p w14:paraId="5D27D3EA" w14:textId="77777777" w:rsidR="00E84013" w:rsidRPr="00AC4DF6" w:rsidRDefault="00E84013">
      <w:pPr>
        <w:rPr>
          <w:rFonts w:cs="Arial"/>
        </w:rPr>
      </w:pPr>
    </w:p>
    <w:p w14:paraId="5D27D3EB" w14:textId="77777777" w:rsidR="00E84013" w:rsidRPr="00AC4DF6" w:rsidRDefault="00E84013">
      <w:pPr>
        <w:pStyle w:val="Header"/>
        <w:tabs>
          <w:tab w:val="clear" w:pos="4536"/>
          <w:tab w:val="clear" w:pos="9072"/>
        </w:tabs>
        <w:rPr>
          <w:rFonts w:cs="Arial"/>
        </w:rPr>
        <w:sectPr w:rsidR="00E84013" w:rsidRPr="00AC4DF6" w:rsidSect="00331634">
          <w:headerReference w:type="default" r:id="rId10"/>
          <w:footerReference w:type="default" r:id="rId11"/>
          <w:headerReference w:type="first" r:id="rId12"/>
          <w:footerReference w:type="first" r:id="rId13"/>
          <w:pgSz w:w="11906" w:h="16838" w:code="9"/>
          <w:pgMar w:top="1134" w:right="1134" w:bottom="1134" w:left="1134" w:header="851" w:footer="851" w:gutter="0"/>
          <w:cols w:space="720"/>
          <w:titlePg/>
        </w:sectPr>
      </w:pPr>
    </w:p>
    <w:p w14:paraId="5D27D3EC" w14:textId="77777777" w:rsidR="00E84013" w:rsidRPr="00AC4DF6" w:rsidRDefault="001A3007">
      <w:pPr>
        <w:pStyle w:val="Heading1"/>
        <w:rPr>
          <w:color w:val="000000" w:themeColor="text1"/>
        </w:rPr>
      </w:pPr>
      <w:bookmarkStart w:id="0" w:name="_Toc193600032"/>
      <w:r w:rsidRPr="00AC4DF6">
        <w:rPr>
          <w:color w:val="000000" w:themeColor="text1"/>
        </w:rPr>
        <w:lastRenderedPageBreak/>
        <w:t>1</w:t>
      </w:r>
      <w:r w:rsidRPr="00AC4DF6">
        <w:rPr>
          <w:color w:val="000000" w:themeColor="text1"/>
        </w:rPr>
        <w:tab/>
        <w:t>Općenito</w:t>
      </w:r>
      <w:bookmarkEnd w:id="0"/>
    </w:p>
    <w:p w14:paraId="26A46CD4" w14:textId="77777777" w:rsidR="00571FA8" w:rsidRPr="00AC4DF6" w:rsidRDefault="00571FA8" w:rsidP="00571FA8">
      <w:r w:rsidRPr="00AC4DF6">
        <w:t>Direktiva 2014/53/EU Europskog parlamenta i Vijeća od 16. travnja 2014. (SL L 153/62) o usklađivanju zakonodavstava država članica o stavljanju na raspolaganje radijskih sustava na tržištu i stavljanju izvan snage Direktive 1999/5/EZ prenesena je u Saveznoj Republici Njemačkoj Zakonom o pružanju radijskih sustava na tržištu (FuAG) od 27. lipnja 2017. (Savezni službeni list I br. 42, str. 1947.), kako je zadnje izmijenjen člankom 52. Zakona od 23. lipnja 2021. (Savezni službeni list I br. 35, str. 1858.).</w:t>
      </w:r>
    </w:p>
    <w:p w14:paraId="0CEFD949" w14:textId="77777777" w:rsidR="00571FA8" w:rsidRPr="00AC4DF6" w:rsidRDefault="00571FA8" w:rsidP="00571FA8">
      <w:pPr>
        <w:rPr>
          <w:color w:val="000000" w:themeColor="text1"/>
        </w:rPr>
      </w:pPr>
    </w:p>
    <w:p w14:paraId="686F77F2" w14:textId="77777777" w:rsidR="00571FA8" w:rsidRPr="00AC4DF6" w:rsidRDefault="00571FA8" w:rsidP="00571FA8">
      <w:pPr>
        <w:rPr>
          <w:rFonts w:cs="Arial"/>
          <w:color w:val="000000" w:themeColor="text1"/>
          <w:szCs w:val="22"/>
        </w:rPr>
      </w:pPr>
      <w:r w:rsidRPr="00AC4DF6">
        <w:rPr>
          <w:color w:val="000000" w:themeColor="text1"/>
        </w:rPr>
        <w:t xml:space="preserve">U skladu s člankom 33. stavkom 1. FuAG-a, Njemačka savezna agencija za mreže pruža specifične i odgovarajuće specifikacije radijskih sučelja u pogledu radijske opreme koja se upotrebljava u frekvencijskim pojasevima za koje uvjeti uporabe nisu usklađeni u čitavoj Zajednici. </w:t>
      </w:r>
    </w:p>
    <w:p w14:paraId="1759621F" w14:textId="77777777" w:rsidR="00571FA8" w:rsidRPr="00AC4DF6" w:rsidRDefault="00571FA8" w:rsidP="00571FA8">
      <w:pPr>
        <w:rPr>
          <w:rFonts w:cs="Arial"/>
          <w:color w:val="000000" w:themeColor="text1"/>
          <w:szCs w:val="22"/>
        </w:rPr>
      </w:pPr>
    </w:p>
    <w:p w14:paraId="5B16059E" w14:textId="77777777" w:rsidR="00571FA8" w:rsidRPr="00AC4DF6" w:rsidRDefault="00571FA8" w:rsidP="00571FA8">
      <w:pPr>
        <w:rPr>
          <w:color w:val="000000" w:themeColor="text1"/>
        </w:rPr>
      </w:pPr>
      <w:r w:rsidRPr="00AC4DF6">
        <w:rPr>
          <w:color w:val="000000" w:themeColor="text1"/>
        </w:rPr>
        <w:t xml:space="preserve">Taj opis sučelja (SSB) sadržava informacije potrebne kako bi proizvođač mogao provesti odgovarajuća ispitivanja u vezi s bitnim zahtjevima koji se primjenjuju na radijski sustav u skladu s člankom 4. stavkom 2. i, prema potrebi, stavkom 3. </w:t>
      </w:r>
    </w:p>
    <w:p w14:paraId="76E26DBD" w14:textId="77777777" w:rsidR="00571FA8" w:rsidRPr="00AC4DF6" w:rsidRDefault="00571FA8" w:rsidP="00571FA8">
      <w:pPr>
        <w:rPr>
          <w:color w:val="000000" w:themeColor="text1"/>
        </w:rPr>
      </w:pPr>
    </w:p>
    <w:p w14:paraId="6798E8B7" w14:textId="77777777" w:rsidR="00571FA8" w:rsidRPr="00AC4DF6" w:rsidRDefault="00571FA8" w:rsidP="00571FA8">
      <w:pPr>
        <w:rPr>
          <w:rFonts w:cs="Arial"/>
          <w:color w:val="000000" w:themeColor="text1"/>
          <w:szCs w:val="22"/>
        </w:rPr>
      </w:pPr>
      <w:r w:rsidRPr="00AC4DF6">
        <w:rPr>
          <w:color w:val="000000" w:themeColor="text1"/>
        </w:rPr>
        <w:t>Osim toga, radijska oprema mora biti osmišljena tako da se poštuju drugi osnovni zahtjevi iz članka 4. stavka 1. podstavka 1. i 2. FuAG-a.</w:t>
      </w:r>
    </w:p>
    <w:p w14:paraId="70249476" w14:textId="77777777" w:rsidR="00571FA8" w:rsidRPr="00AC4DF6" w:rsidRDefault="00571FA8" w:rsidP="00571FA8">
      <w:pPr>
        <w:rPr>
          <w:rFonts w:cs="Arial"/>
          <w:color w:val="000000" w:themeColor="text1"/>
        </w:rPr>
      </w:pPr>
    </w:p>
    <w:p w14:paraId="466066DB" w14:textId="77777777" w:rsidR="00571FA8" w:rsidRPr="00AC4DF6" w:rsidRDefault="00571FA8" w:rsidP="00571FA8">
      <w:pPr>
        <w:rPr>
          <w:rFonts w:cs="Arial"/>
          <w:color w:val="000000" w:themeColor="text1"/>
          <w:szCs w:val="22"/>
        </w:rPr>
      </w:pPr>
      <w:r w:rsidRPr="00AC4DF6">
        <w:rPr>
          <w:color w:val="000000" w:themeColor="text1"/>
        </w:rPr>
        <w:t xml:space="preserve">Za puštanje u pogon i rad radijske opreme, odredbe o dodjeli frekvencija, posebno one sadržane u dijelu 6. Zakona o telekomunikacijama od 23. lipnja 2021. </w:t>
      </w:r>
      <w:bookmarkStart w:id="1" w:name="OLE_LINK4"/>
      <w:r w:rsidRPr="00AC4DF6">
        <w:rPr>
          <w:color w:val="000000" w:themeColor="text1"/>
        </w:rPr>
        <w:t>(Savezni službeni list dio I. br. 35, str. 1858.)</w:t>
      </w:r>
      <w:bookmarkEnd w:id="1"/>
      <w:r w:rsidRPr="00AC4DF6">
        <w:rPr>
          <w:color w:val="000000" w:themeColor="text1"/>
        </w:rPr>
        <w:t>, zadnje izmijenjen 1. siječnja 2022. člankom 59. Zakona od 23. lipnja 2021. (Savezni službeni list dio I. br. 35., str. 1858.), ostaju nepromijenjene.</w:t>
      </w:r>
    </w:p>
    <w:p w14:paraId="7B56C04A" w14:textId="77777777" w:rsidR="00571FA8" w:rsidRPr="00AC4DF6" w:rsidRDefault="00571FA8" w:rsidP="00571FA8"/>
    <w:p w14:paraId="4A1BC3D4" w14:textId="77777777" w:rsidR="00571FA8" w:rsidRPr="00AC4DF6" w:rsidRDefault="00571FA8" w:rsidP="00571FA8">
      <w:r w:rsidRPr="00AC4DF6">
        <w:t>Treba poštovati Pravilnik o metodi otkrivanja za ograničenje elektromagnetskih polja (BEMFV) od 20. kolovoza 2002. (Savezni službeni list I br. 60, str. 3366.), kako je zadnje izmijenjen 4. srpnja 2017. člankom 3. stavkom 3. Zakona od 27. lipnja 2017. (Savezni službeni list I. br. 42., str. 1947.).</w:t>
      </w:r>
    </w:p>
    <w:p w14:paraId="26347A0D" w14:textId="77777777" w:rsidR="00571FA8" w:rsidRPr="00AC4DF6" w:rsidRDefault="00571FA8" w:rsidP="00571FA8">
      <w:pPr>
        <w:rPr>
          <w:color w:val="000000" w:themeColor="text1"/>
        </w:rPr>
      </w:pPr>
    </w:p>
    <w:p w14:paraId="463B1CFD" w14:textId="77777777" w:rsidR="00571FA8" w:rsidRPr="00AC4DF6" w:rsidRDefault="00571FA8" w:rsidP="00571FA8">
      <w:pPr>
        <w:rPr>
          <w:rFonts w:cs="Arial"/>
          <w:color w:val="000000" w:themeColor="text1"/>
          <w:szCs w:val="22"/>
        </w:rPr>
      </w:pPr>
      <w:r w:rsidRPr="00AC4DF6">
        <w:rPr>
          <w:color w:val="000000" w:themeColor="text1"/>
        </w:rPr>
        <w:t>Njemačka savezna agencija za mreže odobrava stavljanje na snagu specifikacije sučelja u svojem Službenom listu i u njemu objavljuje upućivanje; obvezujuća je samo inačica na njemačkom jeziku.</w:t>
      </w:r>
    </w:p>
    <w:p w14:paraId="7EC7E19C" w14:textId="77777777" w:rsidR="001671D3" w:rsidRPr="00AC4DF6" w:rsidRDefault="001671D3" w:rsidP="001671D3">
      <w:pPr>
        <w:rPr>
          <w:rFonts w:cs="Arial"/>
          <w:color w:val="000000" w:themeColor="text1"/>
          <w:szCs w:val="22"/>
        </w:rPr>
      </w:pPr>
    </w:p>
    <w:p w14:paraId="5D27D3F7" w14:textId="77777777" w:rsidR="00381B7A" w:rsidRPr="00AC4DF6" w:rsidRDefault="00381B7A">
      <w:pPr>
        <w:rPr>
          <w:color w:val="000000" w:themeColor="text1"/>
        </w:rPr>
      </w:pPr>
    </w:p>
    <w:p w14:paraId="5A7D98E0" w14:textId="77777777" w:rsidR="001E3760" w:rsidRPr="00AC4DF6" w:rsidRDefault="001E3760">
      <w:pPr>
        <w:rPr>
          <w:color w:val="000000" w:themeColor="text1"/>
        </w:rPr>
      </w:pPr>
    </w:p>
    <w:p w14:paraId="5D27D3F8" w14:textId="77777777" w:rsidR="00E84013" w:rsidRPr="00AC4DF6" w:rsidRDefault="001A3007" w:rsidP="001A3007">
      <w:pPr>
        <w:pStyle w:val="Heading1"/>
        <w:rPr>
          <w:color w:val="000000" w:themeColor="text1"/>
        </w:rPr>
      </w:pPr>
      <w:bookmarkStart w:id="2" w:name="_Toc193600035"/>
      <w:r w:rsidRPr="00AC4DF6">
        <w:rPr>
          <w:color w:val="000000" w:themeColor="text1"/>
        </w:rPr>
        <w:t>2</w:t>
      </w:r>
      <w:r w:rsidRPr="00AC4DF6">
        <w:rPr>
          <w:color w:val="000000" w:themeColor="text1"/>
        </w:rPr>
        <w:tab/>
        <w:t>Područje primjene</w:t>
      </w:r>
      <w:bookmarkEnd w:id="2"/>
    </w:p>
    <w:p w14:paraId="1EC636BE" w14:textId="0CDECEB4" w:rsidR="00663106" w:rsidRPr="00AC4DF6" w:rsidRDefault="00663106" w:rsidP="000F4A2F">
      <w:pPr>
        <w:rPr>
          <w:color w:val="000000" w:themeColor="text1"/>
          <w:sz w:val="20"/>
        </w:rPr>
      </w:pPr>
      <w:r w:rsidRPr="00AC4DF6">
        <w:rPr>
          <w:color w:val="000000" w:themeColor="text1"/>
        </w:rPr>
        <w:t>U ovoj specifikaciji sučelja opisani su osnovni zahtjevi koji se odnose na članak 4. stavak 2. FuAG-a za radijske sustave za radiorelejsku opremu točka-točka (T-T) u rasponu od 6,2 GHz.</w:t>
      </w:r>
    </w:p>
    <w:p w14:paraId="352EEB65" w14:textId="77777777" w:rsidR="00663106" w:rsidRPr="00AC4DF6" w:rsidRDefault="00663106" w:rsidP="00663106">
      <w:pPr>
        <w:pStyle w:val="Header"/>
        <w:tabs>
          <w:tab w:val="clear" w:pos="4536"/>
          <w:tab w:val="clear" w:pos="9072"/>
        </w:tabs>
        <w:rPr>
          <w:color w:val="000000" w:themeColor="text1"/>
        </w:rPr>
      </w:pPr>
    </w:p>
    <w:p w14:paraId="64094965" w14:textId="05400DFC" w:rsidR="00663106" w:rsidRPr="00AC4DF6" w:rsidRDefault="00663106" w:rsidP="00663106">
      <w:pPr>
        <w:rPr>
          <w:color w:val="000000" w:themeColor="text1"/>
          <w:szCs w:val="22"/>
        </w:rPr>
      </w:pPr>
      <w:r w:rsidRPr="00AC4DF6">
        <w:rPr>
          <w:color w:val="000000" w:themeColor="text1"/>
        </w:rPr>
        <w:t>Radijska oprema u smislu ove specifikacije sučelja upotrebljava se za predviđenu namjenu i radi u skladu s uputama proizvođača. Direktivom 2014/53/EU od proizvođača se zahtijeva da korisnicima radijske opreme pruže odgovarajuće informacije kako bi im omogućili rad radijske opreme kako je predviđeno i u skladu s odredbama navedene Direktive. Te informacije uključuju i odgovarajuće upute o kabelima i vrstama antena koje se upotrebljavaju zajedno s radijskom opremom.</w:t>
      </w:r>
    </w:p>
    <w:p w14:paraId="5D27D3FC" w14:textId="77777777" w:rsidR="004A212D" w:rsidRPr="00AC4DF6" w:rsidRDefault="004A212D">
      <w:pPr>
        <w:rPr>
          <w:rFonts w:cs="Arial"/>
          <w:color w:val="000000" w:themeColor="text1"/>
        </w:rPr>
      </w:pPr>
    </w:p>
    <w:p w14:paraId="5D27D3FD" w14:textId="1EC1E9E6" w:rsidR="004A212D" w:rsidRPr="00AC4DF6" w:rsidRDefault="00D36D4E" w:rsidP="00FE565F">
      <w:pPr>
        <w:rPr>
          <w:rFonts w:cs="Arial"/>
        </w:rPr>
      </w:pPr>
      <w:r w:rsidRPr="00AC4DF6">
        <w:t>Ova specifikacija sučelja zamjenjuje SSB OE 030, izdanje iz siječnja 2011., priopćeno pod brojem 2011/0093/D.</w:t>
      </w:r>
    </w:p>
    <w:p w14:paraId="5D27D3FE" w14:textId="77777777" w:rsidR="004A212D" w:rsidRPr="00AC4DF6" w:rsidRDefault="001A3007" w:rsidP="001A3007">
      <w:pPr>
        <w:pStyle w:val="Heading1"/>
        <w:rPr>
          <w:color w:val="000000" w:themeColor="text1"/>
        </w:rPr>
      </w:pPr>
      <w:r w:rsidRPr="00AC4DF6">
        <w:br w:type="page"/>
      </w:r>
      <w:r w:rsidRPr="00AC4DF6">
        <w:rPr>
          <w:color w:val="000000" w:themeColor="text1"/>
        </w:rPr>
        <w:lastRenderedPageBreak/>
        <w:t>3</w:t>
      </w:r>
      <w:r w:rsidRPr="00AC4DF6">
        <w:rPr>
          <w:color w:val="000000" w:themeColor="text1"/>
        </w:rPr>
        <w:tab/>
        <w:t>Dokumenti i podaci za kontakt:</w:t>
      </w:r>
    </w:p>
    <w:p w14:paraId="7397C444" w14:textId="2B5CA345" w:rsidR="009402BF" w:rsidRPr="00AC4DF6" w:rsidRDefault="009402BF" w:rsidP="002C732C">
      <w:pPr>
        <w:pStyle w:val="AufzDokumente"/>
        <w:numPr>
          <w:ilvl w:val="0"/>
          <w:numId w:val="0"/>
        </w:numPr>
        <w:jc w:val="both"/>
      </w:pPr>
      <w:r w:rsidRPr="00AC4DF6">
        <w:t>Za primjenu ovog dokumenta potrebni su sljedeći navedeni dokumenti. Za datirana upućivanja primjenjuje se samo izdanje dokumenta na koje se upućuje. Za upućivanja bez datuma primjenjuje se najnovije izdanje navedenog dokumenta (uključujući sve izmjene).</w:t>
      </w:r>
    </w:p>
    <w:p w14:paraId="7686CBE5" w14:textId="34EC8BA7" w:rsidR="00336A2D" w:rsidRPr="00AC4DF6" w:rsidRDefault="00336A2D" w:rsidP="002C732C">
      <w:pPr>
        <w:pStyle w:val="AufzDokumente"/>
        <w:numPr>
          <w:ilvl w:val="0"/>
          <w:numId w:val="0"/>
        </w:numPr>
        <w:jc w:val="both"/>
      </w:pPr>
      <w:r w:rsidRPr="00AC4DF6">
        <w:t>Pretpostavka sukladnosti može se temeljiti samo na inačicama usklađenih europskih normi koje su uključene u trenutačni popis usklađenih normi u okviru Direktive 2014/53/EU i koje je Europska komisija objavila u Službenom listu EU-a.</w:t>
      </w:r>
    </w:p>
    <w:p w14:paraId="3ABCE6F5" w14:textId="0F9AD3A4" w:rsidR="001E3760" w:rsidRPr="00AC4DF6" w:rsidRDefault="001E3760" w:rsidP="00DF32B7">
      <w:pPr>
        <w:pStyle w:val="AufzDokumente"/>
      </w:pPr>
      <w:r w:rsidRPr="00AC4DF6">
        <w:t>Frekvencijski plan u skladu s člankom 54. TKG-a u pogledu podjele frekvencijskog raspona od 0 kHz do 3 000 GHz o uporabi spektra i o definicijama za takvu upotrebu</w:t>
      </w:r>
      <w:r w:rsidRPr="00AC4DF6">
        <w:br/>
        <w:t>Objavila Savezna agencija za mreže</w:t>
      </w:r>
    </w:p>
    <w:p w14:paraId="12456D5A" w14:textId="596BFDB1" w:rsidR="00882122" w:rsidRPr="00AC4DF6" w:rsidRDefault="00882122" w:rsidP="00DF32B7">
      <w:pPr>
        <w:pStyle w:val="AufzDokumente"/>
      </w:pPr>
      <w:r w:rsidRPr="00AC4DF6">
        <w:t>Administrativna odredba o dodjeli frekvencija u nepokretnoj radijskoj službi za radiorelejske aplikacije (VV Rifu)</w:t>
      </w:r>
      <w:r w:rsidRPr="00AC4DF6">
        <w:br/>
        <w:t>Objavila Savezna agencija za mreže</w:t>
      </w:r>
    </w:p>
    <w:p w14:paraId="0F43C18D" w14:textId="585B60E5" w:rsidR="00A02A4D" w:rsidRPr="00AC4DF6" w:rsidRDefault="00A02A4D" w:rsidP="00DF32B7">
      <w:pPr>
        <w:pStyle w:val="AufzDokumente"/>
      </w:pPr>
      <w:r w:rsidRPr="00AC4DF6">
        <w:t>Izmjena uvjeta korištenja frekvencija u rasponu od 6,2 GHz za uvođenje radijskih prijenosnih kanala Službeni list Savezne agencije za mreže br. 7/2010, izdanje 10.</w:t>
      </w:r>
    </w:p>
    <w:p w14:paraId="5D27D400" w14:textId="0BEFECEF" w:rsidR="004A212D" w:rsidRPr="00AC4DF6" w:rsidRDefault="004A212D" w:rsidP="00DF32B7">
      <w:pPr>
        <w:pStyle w:val="AufzDokumente"/>
      </w:pPr>
      <w:r w:rsidRPr="00AC4DF6">
        <w:t>Pravilnik o radiokomunikacijskim uslugama</w:t>
      </w:r>
      <w:r w:rsidRPr="00AC4DF6">
        <w:rPr>
          <w:rStyle w:val="FootnoteReference"/>
        </w:rPr>
        <w:footnoteReference w:id="1"/>
      </w:r>
      <w:r w:rsidRPr="00AC4DF6">
        <w:t xml:space="preserve"> (VO Funk),</w:t>
      </w:r>
      <w:r w:rsidRPr="00AC4DF6">
        <w:br/>
        <w:t>Međunarodna telekomunikacijska unija (ITU), Ženeva</w:t>
      </w:r>
      <w:r w:rsidRPr="00AC4DF6">
        <w:br/>
        <w:t>(</w:t>
      </w:r>
      <w:r w:rsidRPr="00AC4DF6">
        <w:rPr>
          <w:i/>
          <w:iCs/>
        </w:rPr>
        <w:t>Règlement des radiocommunications, Union internationale des télécommunications</w:t>
      </w:r>
      <w:r w:rsidRPr="00AC4DF6">
        <w:t xml:space="preserve"> (UIT), Ženeva)</w:t>
      </w:r>
    </w:p>
    <w:p w14:paraId="179A5538" w14:textId="77777777" w:rsidR="00AC4DF6" w:rsidRPr="00AC4DF6" w:rsidRDefault="00AC4DF6" w:rsidP="00AC4DF6">
      <w:pPr>
        <w:pStyle w:val="AufzDokumente"/>
        <w:rPr>
          <w:lang w:val="en-GB"/>
        </w:rPr>
      </w:pPr>
      <w:r w:rsidRPr="00AC4DF6">
        <w:rPr>
          <w:lang w:val="en-GB"/>
        </w:rPr>
        <w:t>ITU-R F.383-10</w:t>
      </w:r>
      <w:r w:rsidRPr="00AC4DF6">
        <w:rPr>
          <w:lang w:val="en-GB"/>
        </w:rPr>
        <w:br/>
        <w:t>Radio-frequency channel arrangements for high-capacity fixed wireless systems operating in the lower 6 GHz (5925 to 6425 MHz) band, 20/2021</w:t>
      </w:r>
    </w:p>
    <w:p w14:paraId="16C408B5" w14:textId="77777777" w:rsidR="00AC4DF6" w:rsidRPr="00AC4DF6" w:rsidRDefault="00AC4DF6" w:rsidP="00AC4DF6">
      <w:pPr>
        <w:pStyle w:val="AufzDokumente"/>
        <w:rPr>
          <w:lang w:val="en-GB"/>
        </w:rPr>
      </w:pPr>
      <w:r w:rsidRPr="00AC4DF6">
        <w:rPr>
          <w:lang w:val="en-GB"/>
        </w:rPr>
        <w:t>CEPT ERC Recommendation 14-01</w:t>
      </w:r>
      <w:r w:rsidRPr="00AC4DF6">
        <w:rPr>
          <w:lang w:val="en-GB"/>
        </w:rPr>
        <w:br/>
        <w:t xml:space="preserve">Radio-frequency channel arrangements for high capacity analogue and digital radio-relay systems operating in the band 5925 to 6425 MHz, amended May 2015 </w:t>
      </w:r>
    </w:p>
    <w:p w14:paraId="798EC68A" w14:textId="77777777" w:rsidR="00AC4DF6" w:rsidRPr="00AC4DF6" w:rsidRDefault="00AC4DF6" w:rsidP="00AC4DF6">
      <w:pPr>
        <w:pStyle w:val="AufzDokumente"/>
        <w:rPr>
          <w:lang w:val="en-GB"/>
        </w:rPr>
      </w:pPr>
      <w:r w:rsidRPr="00AC4DF6">
        <w:rPr>
          <w:lang w:val="en-GB"/>
        </w:rPr>
        <w:t>CEPT ERC Recommendation 74-01</w:t>
      </w:r>
      <w:r w:rsidRPr="00AC4DF6">
        <w:rPr>
          <w:lang w:val="en-GB"/>
        </w:rPr>
        <w:br/>
        <w:t xml:space="preserve">Unwanted emissions in the spurious domain, 29 May 2019 </w:t>
      </w:r>
    </w:p>
    <w:p w14:paraId="7563A493" w14:textId="77777777" w:rsidR="00AC4DF6" w:rsidRPr="00AC4DF6" w:rsidRDefault="00AC4DF6" w:rsidP="00AC4DF6">
      <w:pPr>
        <w:pStyle w:val="AufzDokumente"/>
        <w:rPr>
          <w:lang w:val="en-GB"/>
        </w:rPr>
      </w:pPr>
      <w:r w:rsidRPr="00AC4DF6">
        <w:rPr>
          <w:lang w:val="en-GB"/>
        </w:rPr>
        <w:t>ETSI EN 302 217-1</w:t>
      </w:r>
      <w:r w:rsidRPr="00AC4DF6">
        <w:rPr>
          <w:lang w:val="en-GB"/>
        </w:rPr>
        <w:br/>
        <w:t>Fixed Radio Systems; Characteristics and requirements for point-to-point equipment and antennas; Part 1: Overview, common characteristics and system-independent requirements</w:t>
      </w:r>
    </w:p>
    <w:p w14:paraId="0AAD92C4" w14:textId="77777777" w:rsidR="00AC4DF6" w:rsidRPr="00AC4DF6" w:rsidRDefault="00AC4DF6" w:rsidP="00AC4DF6">
      <w:pPr>
        <w:pStyle w:val="AufzDokumente"/>
        <w:rPr>
          <w:lang w:val="en-GB"/>
        </w:rPr>
      </w:pPr>
      <w:r w:rsidRPr="00AC4DF6">
        <w:rPr>
          <w:lang w:val="en-GB"/>
        </w:rPr>
        <w:t>ETSI EN 302 217-2</w:t>
      </w:r>
      <w:r w:rsidRPr="00AC4DF6">
        <w:rPr>
          <w:lang w:val="en-GB"/>
        </w:rPr>
        <w:br/>
        <w:t>Fixed Radio Systems; Characteristics and requirements for point-to-point equipment and antennas; Part 2: Digital systems operating in frequency bands from 1 GHz to 86 GHz; Harmonised Standard for access to radio spectrum</w:t>
      </w:r>
    </w:p>
    <w:p w14:paraId="3FE42A51" w14:textId="77777777" w:rsidR="00AC4DF6" w:rsidRPr="00AC4DF6" w:rsidRDefault="00AC4DF6" w:rsidP="00AC4DF6">
      <w:pPr>
        <w:pStyle w:val="AufzDokumente"/>
        <w:rPr>
          <w:lang w:val="en-GB"/>
        </w:rPr>
      </w:pPr>
      <w:r w:rsidRPr="00AC4DF6">
        <w:rPr>
          <w:lang w:val="en-GB"/>
        </w:rPr>
        <w:t>ETSI EN 302 217-4</w:t>
      </w:r>
      <w:r w:rsidRPr="00AC4DF6">
        <w:rPr>
          <w:lang w:val="en-GB"/>
        </w:rPr>
        <w:br/>
        <w:t>Fixed Radio Systems; Characteristics and requirements for point-to-point equipment and antennas; Part 4: Antennas</w:t>
      </w:r>
    </w:p>
    <w:p w14:paraId="4E9F50CB" w14:textId="77777777" w:rsidR="008D5EA0" w:rsidRPr="00AC4DF6" w:rsidRDefault="008D5EA0">
      <w:pPr>
        <w:overflowPunct/>
        <w:autoSpaceDE/>
        <w:autoSpaceDN/>
        <w:adjustRightInd/>
        <w:jc w:val="left"/>
        <w:textAlignment w:val="auto"/>
        <w:rPr>
          <w:rFonts w:cs="Arial"/>
          <w:color w:val="000000" w:themeColor="text1"/>
        </w:rPr>
      </w:pPr>
      <w:r w:rsidRPr="00AC4DF6">
        <w:br w:type="page"/>
      </w:r>
    </w:p>
    <w:p w14:paraId="2C3CE280" w14:textId="77777777" w:rsidR="008D5EA0" w:rsidRPr="00AC4DF6" w:rsidRDefault="008D5EA0" w:rsidP="004A212D">
      <w:pPr>
        <w:rPr>
          <w:rFonts w:cs="Arial"/>
          <w:color w:val="000000" w:themeColor="text1"/>
          <w:lang w:val="en-US"/>
        </w:rPr>
      </w:pPr>
    </w:p>
    <w:p w14:paraId="5D27D410" w14:textId="033F3E12" w:rsidR="004A212D" w:rsidRPr="00AC4DF6" w:rsidRDefault="004A212D" w:rsidP="004A212D">
      <w:pPr>
        <w:rPr>
          <w:rFonts w:cs="Arial"/>
          <w:color w:val="000000" w:themeColor="text1"/>
        </w:rPr>
      </w:pPr>
      <w:r w:rsidRPr="00AC4DF6">
        <w:rPr>
          <w:color w:val="000000" w:themeColor="text1"/>
        </w:rPr>
        <w:t>Njemačka savezna agencija za električnu energiju, plin, telekomunikacije, poštu i željeznice</w:t>
      </w:r>
    </w:p>
    <w:p w14:paraId="5D27D411" w14:textId="77777777" w:rsidR="004A212D" w:rsidRPr="00AC4DF6" w:rsidRDefault="004A212D" w:rsidP="004A212D">
      <w:pPr>
        <w:rPr>
          <w:rFonts w:cs="Arial"/>
          <w:color w:val="000000" w:themeColor="text1"/>
        </w:rPr>
      </w:pPr>
      <w:r w:rsidRPr="00AC4DF6">
        <w:rPr>
          <w:color w:val="000000" w:themeColor="text1"/>
        </w:rPr>
        <w:t>Ref. 421</w:t>
      </w:r>
    </w:p>
    <w:p w14:paraId="5D27D412" w14:textId="77777777" w:rsidR="004A212D" w:rsidRPr="00AC4DF6" w:rsidRDefault="004A212D" w:rsidP="004A212D">
      <w:pPr>
        <w:rPr>
          <w:rFonts w:cs="Arial"/>
          <w:color w:val="000000" w:themeColor="text1"/>
        </w:rPr>
      </w:pPr>
      <w:r w:rsidRPr="00AC4DF6">
        <w:rPr>
          <w:color w:val="000000" w:themeColor="text1"/>
        </w:rPr>
        <w:t>Seidelstr. 49, 13405 Berlin</w:t>
      </w:r>
    </w:p>
    <w:p w14:paraId="5D27D413" w14:textId="77777777" w:rsidR="004A212D" w:rsidRPr="00AC4DF6" w:rsidRDefault="004A212D" w:rsidP="004A212D">
      <w:pPr>
        <w:rPr>
          <w:rFonts w:cs="Arial"/>
          <w:color w:val="000000" w:themeColor="text1"/>
          <w:lang w:val="de-DE"/>
        </w:rPr>
      </w:pPr>
    </w:p>
    <w:p w14:paraId="5D27D414" w14:textId="04393EC0" w:rsidR="004A212D" w:rsidRPr="00AC4DF6" w:rsidRDefault="004A212D" w:rsidP="004A212D">
      <w:pPr>
        <w:spacing w:after="60"/>
        <w:rPr>
          <w:rFonts w:cs="Arial"/>
          <w:color w:val="000000" w:themeColor="text1"/>
        </w:rPr>
      </w:pPr>
      <w:r w:rsidRPr="00AC4DF6">
        <w:rPr>
          <w:color w:val="000000" w:themeColor="text1"/>
        </w:rPr>
        <w:t>Telefon:</w:t>
      </w:r>
      <w:r w:rsidRPr="00AC4DF6">
        <w:rPr>
          <w:color w:val="000000" w:themeColor="text1"/>
        </w:rPr>
        <w:tab/>
      </w:r>
      <w:r w:rsidRPr="00AC4DF6">
        <w:rPr>
          <w:color w:val="000000" w:themeColor="text1"/>
        </w:rPr>
        <w:tab/>
        <w:t>+49 30 4374 0</w:t>
      </w:r>
    </w:p>
    <w:p w14:paraId="5D27D415" w14:textId="23290167" w:rsidR="004A212D" w:rsidRPr="00AC4DF6" w:rsidRDefault="004A212D" w:rsidP="004A212D">
      <w:pPr>
        <w:spacing w:after="60"/>
        <w:rPr>
          <w:rFonts w:cs="Arial"/>
          <w:color w:val="000000" w:themeColor="text1"/>
        </w:rPr>
      </w:pPr>
      <w:r w:rsidRPr="00AC4DF6">
        <w:rPr>
          <w:color w:val="000000" w:themeColor="text1"/>
        </w:rPr>
        <w:t>Telefaks:</w:t>
      </w:r>
      <w:r w:rsidRPr="00AC4DF6">
        <w:rPr>
          <w:color w:val="000000" w:themeColor="text1"/>
        </w:rPr>
        <w:tab/>
      </w:r>
      <w:r w:rsidRPr="00AC4DF6">
        <w:rPr>
          <w:color w:val="000000" w:themeColor="text1"/>
        </w:rPr>
        <w:tab/>
        <w:t>+49 30 4374 1180</w:t>
      </w:r>
    </w:p>
    <w:p w14:paraId="5D27D416" w14:textId="77777777" w:rsidR="004A212D" w:rsidRPr="00AC4DF6" w:rsidRDefault="004A212D" w:rsidP="004A212D">
      <w:pPr>
        <w:spacing w:after="60"/>
        <w:rPr>
          <w:rFonts w:cs="Arial"/>
        </w:rPr>
      </w:pPr>
      <w:r w:rsidRPr="00AC4DF6">
        <w:rPr>
          <w:color w:val="000000" w:themeColor="text1"/>
        </w:rPr>
        <w:t>E-pošta:</w:t>
      </w:r>
      <w:r w:rsidRPr="00AC4DF6">
        <w:tab/>
      </w:r>
      <w:r w:rsidRPr="00AC4DF6">
        <w:tab/>
      </w:r>
      <w:hyperlink r:id="rId14" w:history="1">
        <w:r w:rsidRPr="00AC4DF6">
          <w:rPr>
            <w:rStyle w:val="Hyperlink"/>
          </w:rPr>
          <w:t>ssb@bnetza.de</w:t>
        </w:r>
      </w:hyperlink>
    </w:p>
    <w:p w14:paraId="5D27D417" w14:textId="77777777" w:rsidR="004A212D" w:rsidRPr="00AC4DF6" w:rsidRDefault="004A212D" w:rsidP="004A212D">
      <w:pPr>
        <w:rPr>
          <w:rFonts w:cs="Arial"/>
        </w:rPr>
      </w:pPr>
      <w:r w:rsidRPr="00AC4DF6">
        <w:rPr>
          <w:color w:val="000000" w:themeColor="text1"/>
        </w:rPr>
        <w:t>Internetske stranice:</w:t>
      </w:r>
      <w:r w:rsidRPr="00AC4DF6">
        <w:tab/>
      </w:r>
      <w:hyperlink r:id="rId15" w:history="1">
        <w:r w:rsidRPr="00AC4DF6">
          <w:rPr>
            <w:rStyle w:val="Hyperlink"/>
          </w:rPr>
          <w:t>www.bundesnetzagentur.de</w:t>
        </w:r>
      </w:hyperlink>
    </w:p>
    <w:p w14:paraId="5D27D419" w14:textId="77777777" w:rsidR="00E84013" w:rsidRPr="00AC4DF6" w:rsidRDefault="00E84013">
      <w:pPr>
        <w:rPr>
          <w:rFonts w:cs="Arial"/>
          <w:lang w:val="de-DE"/>
        </w:rPr>
      </w:pPr>
    </w:p>
    <w:p w14:paraId="5D27D41A" w14:textId="77777777" w:rsidR="00E84013" w:rsidRPr="00AC4DF6" w:rsidRDefault="00E84013">
      <w:pPr>
        <w:rPr>
          <w:rFonts w:cs="Arial"/>
          <w:lang w:val="de-DE"/>
        </w:rPr>
        <w:sectPr w:rsidR="00E84013" w:rsidRPr="00AC4DF6" w:rsidSect="0053074E">
          <w:headerReference w:type="first" r:id="rId16"/>
          <w:footerReference w:type="first" r:id="rId17"/>
          <w:pgSz w:w="11906" w:h="16838" w:code="9"/>
          <w:pgMar w:top="1134" w:right="1134" w:bottom="1134" w:left="1134" w:header="567" w:footer="851" w:gutter="0"/>
          <w:cols w:space="720"/>
          <w:titlePg/>
        </w:sectPr>
      </w:pPr>
    </w:p>
    <w:p w14:paraId="5D27D41B" w14:textId="77777777" w:rsidR="00E84013" w:rsidRPr="00AC4DF6" w:rsidRDefault="00022406" w:rsidP="00022406">
      <w:pPr>
        <w:pStyle w:val="Heading1"/>
        <w:rPr>
          <w:color w:val="000000" w:themeColor="text1"/>
        </w:rPr>
      </w:pPr>
      <w:r w:rsidRPr="00AC4DF6">
        <w:rPr>
          <w:color w:val="000000" w:themeColor="text1"/>
        </w:rPr>
        <w:lastRenderedPageBreak/>
        <w:t>4</w:t>
      </w:r>
      <w:r w:rsidRPr="00AC4DF6">
        <w:rPr>
          <w:color w:val="000000" w:themeColor="text1"/>
        </w:rPr>
        <w:tab/>
        <w:t>Tehnički zahtjevi za sučelje</w:t>
      </w:r>
    </w:p>
    <w:p w14:paraId="5D27D41C" w14:textId="150DEFD2" w:rsidR="00FD2DA7" w:rsidRPr="00AC4DF6" w:rsidRDefault="00FD2DA7" w:rsidP="001D0DBD">
      <w:pPr>
        <w:jc w:val="left"/>
      </w:pPr>
      <w:r w:rsidRPr="00AC4DF6">
        <w:t>Ovaj SSB uključuje zahtjeve za tehničko sučelje za radijsku opremu za radio od točke do točke (T-T) u rasponu od 6,2 GHz.</w:t>
      </w:r>
    </w:p>
    <w:p w14:paraId="5D27D422" w14:textId="77777777" w:rsidR="00FD2DA7" w:rsidRPr="00AC4DF6" w:rsidRDefault="00FD2DA7" w:rsidP="00FD2DA7"/>
    <w:tbl>
      <w:tblPr>
        <w:tblW w:w="9639"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top w:w="28" w:type="dxa"/>
          <w:left w:w="28" w:type="dxa"/>
          <w:bottom w:w="28" w:type="dxa"/>
          <w:right w:w="28" w:type="dxa"/>
        </w:tblCellMar>
        <w:tblLook w:val="01E0" w:firstRow="1" w:lastRow="1" w:firstColumn="1" w:lastColumn="1" w:noHBand="0" w:noVBand="0"/>
      </w:tblPr>
      <w:tblGrid>
        <w:gridCol w:w="340"/>
        <w:gridCol w:w="397"/>
        <w:gridCol w:w="2835"/>
        <w:gridCol w:w="3799"/>
        <w:gridCol w:w="2268"/>
      </w:tblGrid>
      <w:tr w:rsidR="00FD2DA7" w:rsidRPr="00AC4DF6" w14:paraId="5D27D425" w14:textId="77777777" w:rsidTr="00733135">
        <w:trPr>
          <w:jc w:val="center"/>
        </w:trPr>
        <w:tc>
          <w:tcPr>
            <w:tcW w:w="340" w:type="dxa"/>
            <w:tcBorders>
              <w:top w:val="double" w:sz="4" w:space="0" w:color="auto"/>
              <w:bottom w:val="single" w:sz="8" w:space="0" w:color="auto"/>
              <w:right w:val="nil"/>
            </w:tcBorders>
            <w:shd w:val="clear" w:color="auto" w:fill="auto"/>
          </w:tcPr>
          <w:p w14:paraId="5D27D423" w14:textId="77777777" w:rsidR="00FD2DA7" w:rsidRPr="00AC4DF6" w:rsidRDefault="00FD2DA7" w:rsidP="00733135">
            <w:pPr>
              <w:jc w:val="center"/>
            </w:pPr>
          </w:p>
        </w:tc>
        <w:tc>
          <w:tcPr>
            <w:tcW w:w="9299" w:type="dxa"/>
            <w:gridSpan w:val="4"/>
            <w:tcBorders>
              <w:top w:val="double" w:sz="4" w:space="0" w:color="auto"/>
              <w:left w:val="nil"/>
              <w:bottom w:val="single" w:sz="8" w:space="0" w:color="auto"/>
            </w:tcBorders>
            <w:shd w:val="clear" w:color="auto" w:fill="auto"/>
          </w:tcPr>
          <w:p w14:paraId="5D27D424" w14:textId="71EB3503" w:rsidR="00FD2DA7" w:rsidRPr="00AC4DF6" w:rsidRDefault="00FD2DA7" w:rsidP="00A75F21">
            <w:pPr>
              <w:spacing w:after="120"/>
              <w:ind w:left="1191" w:hanging="1191"/>
              <w:rPr>
                <w:b/>
              </w:rPr>
            </w:pPr>
            <w:r w:rsidRPr="00AC4DF6">
              <w:rPr>
                <w:b/>
                <w:color w:val="000000" w:themeColor="text1"/>
              </w:rPr>
              <w:t>Tablica 1.:</w:t>
            </w:r>
            <w:r w:rsidRPr="00AC4DF6">
              <w:rPr>
                <w:b/>
              </w:rPr>
              <w:tab/>
              <w:t>Radijski relej od točke do točke u frekvencijskom rasponu 5 925 – 6 425 MHz</w:t>
            </w:r>
          </w:p>
        </w:tc>
      </w:tr>
      <w:tr w:rsidR="00FD2DA7" w:rsidRPr="00AC4DF6" w14:paraId="5D27D42D" w14:textId="77777777" w:rsidTr="00733135">
        <w:trPr>
          <w:jc w:val="center"/>
        </w:trPr>
        <w:tc>
          <w:tcPr>
            <w:tcW w:w="340" w:type="dxa"/>
            <w:tcBorders>
              <w:top w:val="single" w:sz="8" w:space="0" w:color="auto"/>
            </w:tcBorders>
            <w:shd w:val="clear" w:color="auto" w:fill="auto"/>
          </w:tcPr>
          <w:p w14:paraId="5D27D426" w14:textId="77777777" w:rsidR="00FD2DA7" w:rsidRPr="00AC4DF6" w:rsidRDefault="00FD2DA7" w:rsidP="00733135">
            <w:pPr>
              <w:jc w:val="center"/>
              <w:rPr>
                <w:color w:val="000000" w:themeColor="text1"/>
              </w:rPr>
            </w:pPr>
          </w:p>
        </w:tc>
        <w:tc>
          <w:tcPr>
            <w:tcW w:w="397" w:type="dxa"/>
            <w:tcBorders>
              <w:top w:val="single" w:sz="8" w:space="0" w:color="auto"/>
              <w:bottom w:val="single" w:sz="2" w:space="0" w:color="auto"/>
            </w:tcBorders>
            <w:shd w:val="clear" w:color="auto" w:fill="C0C0C0"/>
          </w:tcPr>
          <w:p w14:paraId="5D27D427" w14:textId="77777777" w:rsidR="00FD2DA7" w:rsidRPr="00AC4DF6" w:rsidRDefault="00FD2DA7" w:rsidP="00733135">
            <w:pPr>
              <w:jc w:val="center"/>
              <w:rPr>
                <w:color w:val="000000" w:themeColor="text1"/>
              </w:rPr>
            </w:pPr>
            <w:r w:rsidRPr="00AC4DF6">
              <w:rPr>
                <w:color w:val="000000" w:themeColor="text1"/>
              </w:rPr>
              <w:t>Br.</w:t>
            </w:r>
          </w:p>
        </w:tc>
        <w:tc>
          <w:tcPr>
            <w:tcW w:w="2835" w:type="dxa"/>
            <w:tcBorders>
              <w:top w:val="single" w:sz="8" w:space="0" w:color="auto"/>
              <w:bottom w:val="single" w:sz="2" w:space="0" w:color="auto"/>
            </w:tcBorders>
            <w:shd w:val="clear" w:color="auto" w:fill="C0C0C0"/>
          </w:tcPr>
          <w:p w14:paraId="5D27D428" w14:textId="77777777" w:rsidR="00FD2DA7" w:rsidRPr="00AC4DF6" w:rsidRDefault="00FD2DA7" w:rsidP="00FD2DA7">
            <w:pPr>
              <w:rPr>
                <w:color w:val="000000" w:themeColor="text1"/>
              </w:rPr>
            </w:pPr>
            <w:r w:rsidRPr="00AC4DF6">
              <w:rPr>
                <w:color w:val="000000" w:themeColor="text1"/>
              </w:rPr>
              <w:t>Parametri</w:t>
            </w:r>
          </w:p>
        </w:tc>
        <w:tc>
          <w:tcPr>
            <w:tcW w:w="3799" w:type="dxa"/>
            <w:tcBorders>
              <w:top w:val="single" w:sz="8" w:space="0" w:color="auto"/>
              <w:bottom w:val="single" w:sz="2" w:space="0" w:color="auto"/>
            </w:tcBorders>
            <w:shd w:val="clear" w:color="auto" w:fill="C0C0C0"/>
          </w:tcPr>
          <w:p w14:paraId="5D27D429" w14:textId="77777777" w:rsidR="00FD2DA7" w:rsidRPr="00AC4DF6" w:rsidRDefault="00FD2DA7" w:rsidP="00733135">
            <w:pPr>
              <w:jc w:val="left"/>
              <w:rPr>
                <w:color w:val="000000" w:themeColor="text1"/>
              </w:rPr>
            </w:pPr>
            <w:r w:rsidRPr="00AC4DF6">
              <w:rPr>
                <w:color w:val="000000" w:themeColor="text1"/>
              </w:rPr>
              <w:t>Opis</w:t>
            </w:r>
          </w:p>
          <w:p w14:paraId="5D27D42A" w14:textId="16D8DDAA" w:rsidR="00FD2DA7" w:rsidRPr="00AC4DF6" w:rsidRDefault="00FD2DA7" w:rsidP="00733135">
            <w:pPr>
              <w:jc w:val="left"/>
              <w:rPr>
                <w:color w:val="000000" w:themeColor="text1"/>
              </w:rPr>
            </w:pPr>
            <w:r w:rsidRPr="00AC4DF6">
              <w:rPr>
                <w:rFonts w:ascii="Tahoma" w:hAnsi="Tahoma"/>
                <w:i/>
                <w:color w:val="000000" w:themeColor="text1"/>
                <w:sz w:val="14"/>
              </w:rPr>
              <w:t>(</w:t>
            </w:r>
            <w:r w:rsidR="00AC4DF6" w:rsidRPr="00AC4DF6">
              <w:rPr>
                <w:rFonts w:ascii="Tahoma" w:hAnsi="Tahoma" w:cs="Tahoma"/>
                <w:i/>
                <w:color w:val="000000" w:themeColor="text1"/>
                <w:sz w:val="14"/>
                <w:szCs w:val="14"/>
              </w:rPr>
              <w:t>Description</w:t>
            </w:r>
            <w:r w:rsidRPr="00AC4DF6">
              <w:rPr>
                <w:rFonts w:ascii="Tahoma" w:hAnsi="Tahoma"/>
                <w:i/>
                <w:color w:val="000000" w:themeColor="text1"/>
                <w:sz w:val="14"/>
              </w:rPr>
              <w:t>)</w:t>
            </w:r>
          </w:p>
        </w:tc>
        <w:tc>
          <w:tcPr>
            <w:tcW w:w="2268" w:type="dxa"/>
            <w:tcBorders>
              <w:top w:val="single" w:sz="8" w:space="0" w:color="auto"/>
              <w:bottom w:val="single" w:sz="2" w:space="0" w:color="auto"/>
            </w:tcBorders>
            <w:shd w:val="clear" w:color="auto" w:fill="C0C0C0"/>
          </w:tcPr>
          <w:p w14:paraId="5D27D42B" w14:textId="77777777" w:rsidR="00FD2DA7" w:rsidRPr="00AC4DF6" w:rsidRDefault="00FD2DA7" w:rsidP="00733135">
            <w:pPr>
              <w:jc w:val="left"/>
              <w:rPr>
                <w:color w:val="000000" w:themeColor="text1"/>
              </w:rPr>
            </w:pPr>
            <w:r w:rsidRPr="00AC4DF6">
              <w:rPr>
                <w:color w:val="000000" w:themeColor="text1"/>
              </w:rPr>
              <w:t>Napomene</w:t>
            </w:r>
          </w:p>
          <w:p w14:paraId="5D27D42C" w14:textId="2E1D47EB" w:rsidR="00FD2DA7" w:rsidRPr="00AC4DF6" w:rsidRDefault="00FD2DA7" w:rsidP="00733135">
            <w:pPr>
              <w:jc w:val="left"/>
              <w:rPr>
                <w:color w:val="000000" w:themeColor="text1"/>
              </w:rPr>
            </w:pPr>
            <w:r w:rsidRPr="00AC4DF6">
              <w:rPr>
                <w:rFonts w:ascii="Tahoma" w:hAnsi="Tahoma"/>
                <w:i/>
                <w:color w:val="000000" w:themeColor="text1"/>
                <w:sz w:val="14"/>
              </w:rPr>
              <w:t>(</w:t>
            </w:r>
            <w:r w:rsidR="00AC4DF6" w:rsidRPr="00AC4DF6">
              <w:rPr>
                <w:rFonts w:ascii="Tahoma" w:hAnsi="Tahoma" w:cs="Tahoma"/>
                <w:i/>
                <w:color w:val="000000" w:themeColor="text1"/>
                <w:sz w:val="14"/>
                <w:szCs w:val="14"/>
              </w:rPr>
              <w:t>Comments</w:t>
            </w:r>
            <w:r w:rsidRPr="00AC4DF6">
              <w:rPr>
                <w:rFonts w:ascii="Tahoma" w:hAnsi="Tahoma"/>
                <w:i/>
                <w:color w:val="000000" w:themeColor="text1"/>
                <w:sz w:val="14"/>
              </w:rPr>
              <w:t>)</w:t>
            </w:r>
          </w:p>
        </w:tc>
      </w:tr>
      <w:tr w:rsidR="00FD2DA7" w:rsidRPr="00AC4DF6" w14:paraId="5D27D434" w14:textId="77777777" w:rsidTr="00733135">
        <w:trPr>
          <w:cantSplit/>
          <w:trHeight w:val="454"/>
          <w:jc w:val="center"/>
        </w:trPr>
        <w:tc>
          <w:tcPr>
            <w:tcW w:w="340" w:type="dxa"/>
            <w:vMerge w:val="restart"/>
            <w:shd w:val="clear" w:color="auto" w:fill="auto"/>
            <w:textDirection w:val="btLr"/>
            <w:vAlign w:val="center"/>
          </w:tcPr>
          <w:p w14:paraId="5D27D42E" w14:textId="77777777" w:rsidR="00FD2DA7" w:rsidRPr="00AC4DF6" w:rsidRDefault="00FD2DA7" w:rsidP="00733135">
            <w:pPr>
              <w:ind w:left="113" w:right="113"/>
              <w:jc w:val="center"/>
              <w:rPr>
                <w:color w:val="000000" w:themeColor="text1"/>
              </w:rPr>
            </w:pPr>
            <w:r w:rsidRPr="00AC4DF6">
              <w:rPr>
                <w:color w:val="000000" w:themeColor="text1"/>
              </w:rPr>
              <w:t>Normativni dio</w:t>
            </w:r>
          </w:p>
        </w:tc>
        <w:tc>
          <w:tcPr>
            <w:tcW w:w="397" w:type="dxa"/>
            <w:tcBorders>
              <w:top w:val="single" w:sz="2" w:space="0" w:color="auto"/>
            </w:tcBorders>
            <w:shd w:val="clear" w:color="auto" w:fill="auto"/>
          </w:tcPr>
          <w:p w14:paraId="5D27D42F" w14:textId="77777777" w:rsidR="00FD2DA7" w:rsidRPr="00AC4DF6" w:rsidRDefault="00FD2DA7" w:rsidP="00733135">
            <w:pPr>
              <w:jc w:val="center"/>
              <w:rPr>
                <w:rFonts w:cs="Arial"/>
                <w:color w:val="000000" w:themeColor="text1"/>
                <w:sz w:val="18"/>
                <w:szCs w:val="18"/>
              </w:rPr>
            </w:pPr>
            <w:r w:rsidRPr="00AC4DF6">
              <w:rPr>
                <w:color w:val="000000" w:themeColor="text1"/>
                <w:sz w:val="18"/>
              </w:rPr>
              <w:t>1</w:t>
            </w:r>
          </w:p>
        </w:tc>
        <w:tc>
          <w:tcPr>
            <w:tcW w:w="2835" w:type="dxa"/>
            <w:tcBorders>
              <w:top w:val="single" w:sz="2" w:space="0" w:color="auto"/>
            </w:tcBorders>
            <w:shd w:val="clear" w:color="auto" w:fill="auto"/>
          </w:tcPr>
          <w:p w14:paraId="5D27D430" w14:textId="77777777" w:rsidR="00FD2DA7" w:rsidRPr="00AC4DF6" w:rsidRDefault="00FD2DA7" w:rsidP="00733135">
            <w:pPr>
              <w:jc w:val="left"/>
              <w:rPr>
                <w:rFonts w:cs="Arial"/>
                <w:color w:val="000000" w:themeColor="text1"/>
                <w:sz w:val="18"/>
                <w:szCs w:val="18"/>
              </w:rPr>
            </w:pPr>
            <w:r w:rsidRPr="00AC4DF6">
              <w:rPr>
                <w:color w:val="000000" w:themeColor="text1"/>
                <w:sz w:val="18"/>
              </w:rPr>
              <w:t>Radijske službe</w:t>
            </w:r>
          </w:p>
          <w:p w14:paraId="5D27D431"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(Radiocommunication Service)</w:t>
            </w:r>
          </w:p>
        </w:tc>
        <w:tc>
          <w:tcPr>
            <w:tcW w:w="3799" w:type="dxa"/>
            <w:tcBorders>
              <w:top w:val="single" w:sz="2" w:space="0" w:color="auto"/>
            </w:tcBorders>
            <w:shd w:val="clear" w:color="auto" w:fill="auto"/>
          </w:tcPr>
          <w:p w14:paraId="5D27D432" w14:textId="42AE203A" w:rsidR="00FD2DA7" w:rsidRPr="00AC4DF6" w:rsidRDefault="005B098D" w:rsidP="005B098D">
            <w:pPr>
              <w:jc w:val="left"/>
              <w:rPr>
                <w:rFonts w:cs="Arial"/>
                <w:color w:val="000000" w:themeColor="text1"/>
                <w:sz w:val="20"/>
              </w:rPr>
            </w:pPr>
            <w:r w:rsidRPr="00AC4DF6">
              <w:rPr>
                <w:color w:val="000000" w:themeColor="text1"/>
                <w:sz w:val="20"/>
              </w:rPr>
              <w:t>NEPOKRETNA RADIJSKA SLUŽBA</w:t>
            </w:r>
          </w:p>
        </w:tc>
        <w:tc>
          <w:tcPr>
            <w:tcW w:w="2268" w:type="dxa"/>
            <w:tcBorders>
              <w:top w:val="single" w:sz="2" w:space="0" w:color="auto"/>
            </w:tcBorders>
            <w:shd w:val="clear" w:color="auto" w:fill="auto"/>
          </w:tcPr>
          <w:p w14:paraId="5D27D433" w14:textId="77777777" w:rsidR="00FD2DA7" w:rsidRPr="00AC4DF6" w:rsidRDefault="00FD2DA7" w:rsidP="009B6A9A">
            <w:pPr>
              <w:jc w:val="left"/>
              <w:rPr>
                <w:rFonts w:cs="Arial"/>
                <w:color w:val="000000" w:themeColor="text1"/>
                <w:sz w:val="20"/>
              </w:rPr>
            </w:pPr>
          </w:p>
        </w:tc>
      </w:tr>
      <w:tr w:rsidR="00FD2DA7" w:rsidRPr="00AC4DF6" w14:paraId="5D27D43B" w14:textId="77777777" w:rsidTr="00733135">
        <w:trPr>
          <w:cantSplit/>
          <w:trHeight w:val="454"/>
          <w:jc w:val="center"/>
        </w:trPr>
        <w:tc>
          <w:tcPr>
            <w:tcW w:w="340" w:type="dxa"/>
            <w:vMerge/>
            <w:shd w:val="clear" w:color="auto" w:fill="auto"/>
          </w:tcPr>
          <w:p w14:paraId="5D27D435" w14:textId="77777777" w:rsidR="00FD2DA7" w:rsidRPr="00AC4DF6" w:rsidRDefault="00FD2DA7" w:rsidP="00733135">
            <w:pPr>
              <w:jc w:val="center"/>
              <w:rPr>
                <w:color w:val="000000" w:themeColor="text1"/>
              </w:rPr>
            </w:pPr>
          </w:p>
        </w:tc>
        <w:tc>
          <w:tcPr>
            <w:tcW w:w="397" w:type="dxa"/>
            <w:shd w:val="clear" w:color="auto" w:fill="auto"/>
          </w:tcPr>
          <w:p w14:paraId="5D27D436" w14:textId="77777777" w:rsidR="00FD2DA7" w:rsidRPr="00AC4DF6" w:rsidRDefault="00FD2DA7" w:rsidP="00733135">
            <w:pPr>
              <w:jc w:val="center"/>
              <w:rPr>
                <w:rFonts w:cs="Arial"/>
                <w:color w:val="000000" w:themeColor="text1"/>
                <w:sz w:val="18"/>
                <w:szCs w:val="18"/>
              </w:rPr>
            </w:pPr>
            <w:r w:rsidRPr="00AC4DF6">
              <w:rPr>
                <w:color w:val="000000" w:themeColor="text1"/>
                <w:sz w:val="18"/>
              </w:rPr>
              <w:t>2</w:t>
            </w:r>
          </w:p>
        </w:tc>
        <w:tc>
          <w:tcPr>
            <w:tcW w:w="2835" w:type="dxa"/>
            <w:shd w:val="clear" w:color="auto" w:fill="auto"/>
          </w:tcPr>
          <w:p w14:paraId="5D27D437" w14:textId="77777777" w:rsidR="00FD2DA7" w:rsidRPr="00AC4DF6" w:rsidRDefault="00FD2DA7" w:rsidP="00733135">
            <w:pPr>
              <w:jc w:val="left"/>
              <w:rPr>
                <w:rFonts w:cs="Arial"/>
                <w:color w:val="000000" w:themeColor="text1"/>
                <w:sz w:val="18"/>
                <w:szCs w:val="18"/>
              </w:rPr>
            </w:pPr>
            <w:r w:rsidRPr="00AC4DF6">
              <w:rPr>
                <w:color w:val="000000" w:themeColor="text1"/>
                <w:sz w:val="18"/>
              </w:rPr>
              <w:t>Predviđena uporaba/primjena</w:t>
            </w:r>
          </w:p>
          <w:p w14:paraId="5D27D438"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(Application)</w:t>
            </w:r>
          </w:p>
        </w:tc>
        <w:tc>
          <w:tcPr>
            <w:tcW w:w="3799" w:type="dxa"/>
            <w:shd w:val="clear" w:color="auto" w:fill="auto"/>
          </w:tcPr>
          <w:p w14:paraId="5D27D439" w14:textId="489A1A47" w:rsidR="00FD2DA7" w:rsidRPr="00AC4DF6" w:rsidRDefault="00F11518" w:rsidP="00F11518">
            <w:pPr>
              <w:jc w:val="left"/>
              <w:rPr>
                <w:rFonts w:cs="Arial"/>
                <w:color w:val="000000" w:themeColor="text1"/>
                <w:sz w:val="20"/>
              </w:rPr>
            </w:pPr>
            <w:r w:rsidRPr="00AC4DF6">
              <w:rPr>
                <w:color w:val="000000" w:themeColor="text1"/>
                <w:sz w:val="20"/>
              </w:rPr>
              <w:t xml:space="preserve">Radijska veza od točke do točke </w:t>
            </w:r>
          </w:p>
        </w:tc>
        <w:tc>
          <w:tcPr>
            <w:tcW w:w="2268" w:type="dxa"/>
            <w:shd w:val="clear" w:color="auto" w:fill="auto"/>
          </w:tcPr>
          <w:p w14:paraId="5D27D43A" w14:textId="0406F747" w:rsidR="00FD2DA7" w:rsidRPr="00AC4DF6" w:rsidRDefault="00FD2DA7" w:rsidP="009B6A9A">
            <w:pPr>
              <w:jc w:val="left"/>
              <w:rPr>
                <w:rFonts w:cs="Arial"/>
                <w:color w:val="000000" w:themeColor="text1"/>
                <w:sz w:val="20"/>
              </w:rPr>
            </w:pPr>
          </w:p>
        </w:tc>
      </w:tr>
      <w:tr w:rsidR="00FD2DA7" w:rsidRPr="00AC4DF6" w14:paraId="5D27D442" w14:textId="77777777" w:rsidTr="00733135">
        <w:trPr>
          <w:cantSplit/>
          <w:trHeight w:val="454"/>
          <w:jc w:val="center"/>
        </w:trPr>
        <w:tc>
          <w:tcPr>
            <w:tcW w:w="340" w:type="dxa"/>
            <w:vMerge/>
            <w:shd w:val="clear" w:color="auto" w:fill="auto"/>
          </w:tcPr>
          <w:p w14:paraId="5D27D43C" w14:textId="77777777" w:rsidR="00FD2DA7" w:rsidRPr="00AC4DF6" w:rsidRDefault="00FD2DA7" w:rsidP="00733135">
            <w:pPr>
              <w:jc w:val="center"/>
              <w:rPr>
                <w:color w:val="000000" w:themeColor="text1"/>
              </w:rPr>
            </w:pPr>
          </w:p>
        </w:tc>
        <w:tc>
          <w:tcPr>
            <w:tcW w:w="397" w:type="dxa"/>
            <w:shd w:val="clear" w:color="auto" w:fill="auto"/>
          </w:tcPr>
          <w:p w14:paraId="5D27D43D" w14:textId="77777777" w:rsidR="00FD2DA7" w:rsidRPr="00AC4DF6" w:rsidRDefault="00FD2DA7" w:rsidP="00733135">
            <w:pPr>
              <w:jc w:val="center"/>
              <w:rPr>
                <w:rFonts w:cs="Arial"/>
                <w:color w:val="000000" w:themeColor="text1"/>
                <w:sz w:val="18"/>
                <w:szCs w:val="18"/>
              </w:rPr>
            </w:pPr>
            <w:r w:rsidRPr="00AC4DF6">
              <w:rPr>
                <w:color w:val="000000" w:themeColor="text1"/>
                <w:sz w:val="18"/>
              </w:rPr>
              <w:t>3</w:t>
            </w:r>
          </w:p>
        </w:tc>
        <w:tc>
          <w:tcPr>
            <w:tcW w:w="2835" w:type="dxa"/>
            <w:shd w:val="clear" w:color="auto" w:fill="auto"/>
          </w:tcPr>
          <w:p w14:paraId="5D27D43E" w14:textId="77777777" w:rsidR="00FD2DA7" w:rsidRPr="00AC4DF6" w:rsidRDefault="00FD2DA7" w:rsidP="00733135">
            <w:pPr>
              <w:jc w:val="left"/>
              <w:rPr>
                <w:rFonts w:cs="Arial"/>
                <w:color w:val="000000" w:themeColor="text1"/>
                <w:sz w:val="18"/>
                <w:szCs w:val="18"/>
              </w:rPr>
            </w:pPr>
            <w:r w:rsidRPr="00AC4DF6">
              <w:rPr>
                <w:color w:val="000000" w:themeColor="text1"/>
                <w:sz w:val="18"/>
              </w:rPr>
              <w:t>Frekvencijski pojas</w:t>
            </w:r>
          </w:p>
          <w:p w14:paraId="5D27D43F"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(Frequency band)</w:t>
            </w:r>
          </w:p>
        </w:tc>
        <w:tc>
          <w:tcPr>
            <w:tcW w:w="3799" w:type="dxa"/>
            <w:shd w:val="clear" w:color="auto" w:fill="auto"/>
          </w:tcPr>
          <w:p w14:paraId="5D27D440" w14:textId="5B9B5059" w:rsidR="00FD2DA7" w:rsidRPr="00AC4DF6" w:rsidRDefault="00272A68" w:rsidP="00272A68">
            <w:pPr>
              <w:jc w:val="left"/>
              <w:rPr>
                <w:rFonts w:cs="Arial"/>
                <w:color w:val="000000" w:themeColor="text1"/>
                <w:sz w:val="20"/>
              </w:rPr>
            </w:pPr>
            <w:r w:rsidRPr="00AC4DF6">
              <w:rPr>
                <w:color w:val="000000" w:themeColor="text1"/>
                <w:sz w:val="20"/>
              </w:rPr>
              <w:t>5 925 – 6 168 MHz</w:t>
            </w:r>
            <w:r w:rsidRPr="00AC4DF6">
              <w:rPr>
                <w:color w:val="000000" w:themeColor="text1"/>
                <w:sz w:val="20"/>
              </w:rPr>
              <w:br/>
              <w:t>6 182–6 425 MHz</w:t>
            </w:r>
          </w:p>
        </w:tc>
        <w:tc>
          <w:tcPr>
            <w:tcW w:w="2268" w:type="dxa"/>
            <w:shd w:val="clear" w:color="auto" w:fill="auto"/>
          </w:tcPr>
          <w:p w14:paraId="5D27D441" w14:textId="72C5261A" w:rsidR="00FD2DA7" w:rsidRPr="00AC4DF6" w:rsidRDefault="00272A68" w:rsidP="009B6A9A">
            <w:pPr>
              <w:jc w:val="left"/>
              <w:rPr>
                <w:rFonts w:cs="Arial"/>
                <w:color w:val="000000" w:themeColor="text1"/>
                <w:sz w:val="20"/>
              </w:rPr>
            </w:pPr>
            <w:r w:rsidRPr="00AC4DF6">
              <w:rPr>
                <w:color w:val="000000" w:themeColor="text1"/>
                <w:sz w:val="20"/>
              </w:rPr>
              <w:t>Donji pojas</w:t>
            </w:r>
            <w:r w:rsidRPr="00AC4DF6">
              <w:rPr>
                <w:color w:val="000000" w:themeColor="text1"/>
                <w:sz w:val="20"/>
              </w:rPr>
              <w:br/>
              <w:t>Gornji pojas</w:t>
            </w:r>
          </w:p>
        </w:tc>
      </w:tr>
      <w:tr w:rsidR="00FD2DA7" w:rsidRPr="00AC4DF6" w14:paraId="5D27D449" w14:textId="77777777" w:rsidTr="00733135">
        <w:trPr>
          <w:cantSplit/>
          <w:trHeight w:val="454"/>
          <w:jc w:val="center"/>
        </w:trPr>
        <w:tc>
          <w:tcPr>
            <w:tcW w:w="340" w:type="dxa"/>
            <w:vMerge/>
            <w:shd w:val="clear" w:color="auto" w:fill="auto"/>
          </w:tcPr>
          <w:p w14:paraId="5D27D443" w14:textId="77777777" w:rsidR="00FD2DA7" w:rsidRPr="00AC4DF6" w:rsidRDefault="00FD2DA7" w:rsidP="00733135">
            <w:pPr>
              <w:jc w:val="center"/>
              <w:rPr>
                <w:color w:val="000000" w:themeColor="text1"/>
              </w:rPr>
            </w:pPr>
          </w:p>
        </w:tc>
        <w:tc>
          <w:tcPr>
            <w:tcW w:w="397" w:type="dxa"/>
            <w:shd w:val="clear" w:color="auto" w:fill="auto"/>
          </w:tcPr>
          <w:p w14:paraId="5D27D444" w14:textId="77777777" w:rsidR="00FD2DA7" w:rsidRPr="00AC4DF6" w:rsidRDefault="00FD2DA7" w:rsidP="00733135">
            <w:pPr>
              <w:jc w:val="center"/>
              <w:rPr>
                <w:rFonts w:cs="Arial"/>
                <w:color w:val="000000" w:themeColor="text1"/>
                <w:sz w:val="18"/>
                <w:szCs w:val="18"/>
              </w:rPr>
            </w:pPr>
            <w:r w:rsidRPr="00AC4DF6">
              <w:rPr>
                <w:color w:val="000000" w:themeColor="text1"/>
                <w:sz w:val="18"/>
              </w:rPr>
              <w:t>4</w:t>
            </w:r>
          </w:p>
        </w:tc>
        <w:tc>
          <w:tcPr>
            <w:tcW w:w="2835" w:type="dxa"/>
            <w:shd w:val="clear" w:color="auto" w:fill="auto"/>
          </w:tcPr>
          <w:p w14:paraId="5D27D445" w14:textId="77777777" w:rsidR="00FD2DA7" w:rsidRPr="00AC4DF6" w:rsidRDefault="00FD2DA7" w:rsidP="00733135">
            <w:pPr>
              <w:jc w:val="left"/>
              <w:rPr>
                <w:rFonts w:cs="Arial"/>
                <w:color w:val="000000" w:themeColor="text1"/>
                <w:sz w:val="18"/>
                <w:szCs w:val="18"/>
              </w:rPr>
            </w:pPr>
            <w:r w:rsidRPr="00AC4DF6">
              <w:rPr>
                <w:color w:val="000000" w:themeColor="text1"/>
                <w:sz w:val="18"/>
              </w:rPr>
              <w:t>Raspodjela kanala</w:t>
            </w:r>
          </w:p>
          <w:p w14:paraId="5D27D446"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(Channelling)</w:t>
            </w:r>
          </w:p>
        </w:tc>
        <w:tc>
          <w:tcPr>
            <w:tcW w:w="3799" w:type="dxa"/>
            <w:shd w:val="clear" w:color="auto" w:fill="auto"/>
          </w:tcPr>
          <w:p w14:paraId="5D27D447" w14:textId="0ED58D98" w:rsidR="00FD2DA7" w:rsidRPr="00AC4DF6" w:rsidRDefault="00272A68" w:rsidP="00272A68">
            <w:pPr>
              <w:jc w:val="left"/>
              <w:rPr>
                <w:rFonts w:cs="Arial"/>
                <w:color w:val="000000" w:themeColor="text1"/>
                <w:sz w:val="20"/>
              </w:rPr>
            </w:pPr>
            <w:r w:rsidRPr="00AC4DF6">
              <w:rPr>
                <w:color w:val="000000" w:themeColor="text1"/>
                <w:sz w:val="20"/>
              </w:rPr>
              <w:t>29,65 MHz/59,30 MHz kanalska udaljenost</w:t>
            </w:r>
          </w:p>
        </w:tc>
        <w:tc>
          <w:tcPr>
            <w:tcW w:w="2268" w:type="dxa"/>
            <w:shd w:val="clear" w:color="auto" w:fill="auto"/>
          </w:tcPr>
          <w:p w14:paraId="5D27D448" w14:textId="4DBCE32A" w:rsidR="00FD2DA7" w:rsidRPr="00AC4DF6" w:rsidRDefault="00272A68" w:rsidP="00457ECD">
            <w:pPr>
              <w:jc w:val="left"/>
              <w:rPr>
                <w:rFonts w:cs="Arial"/>
                <w:color w:val="000000" w:themeColor="text1"/>
                <w:sz w:val="20"/>
              </w:rPr>
            </w:pPr>
            <w:r w:rsidRPr="00AC4DF6">
              <w:rPr>
                <w:color w:val="000000" w:themeColor="text1"/>
                <w:sz w:val="20"/>
              </w:rPr>
              <w:t>Za širine pojasa kanala od 59,30 MHz, CCDP rad mora biti realiziran.</w:t>
            </w:r>
            <w:r w:rsidRPr="00AC4DF6">
              <w:rPr>
                <w:color w:val="000000" w:themeColor="text1"/>
                <w:sz w:val="20"/>
              </w:rPr>
              <w:br/>
              <w:t>Prema CEPT-u ERC/REC 14-01 ili ITU-R F.383-10 i CEPT ERC/REC 74-01</w:t>
            </w:r>
          </w:p>
        </w:tc>
      </w:tr>
      <w:tr w:rsidR="00FD2DA7" w:rsidRPr="00AC4DF6" w14:paraId="5D27D450" w14:textId="77777777" w:rsidTr="00733135">
        <w:trPr>
          <w:cantSplit/>
          <w:trHeight w:val="454"/>
          <w:jc w:val="center"/>
        </w:trPr>
        <w:tc>
          <w:tcPr>
            <w:tcW w:w="340" w:type="dxa"/>
            <w:vMerge/>
            <w:shd w:val="clear" w:color="auto" w:fill="auto"/>
          </w:tcPr>
          <w:p w14:paraId="5D27D44A" w14:textId="77777777" w:rsidR="00FD2DA7" w:rsidRPr="00AC4DF6" w:rsidRDefault="00FD2DA7" w:rsidP="00733135">
            <w:pPr>
              <w:jc w:val="center"/>
              <w:rPr>
                <w:color w:val="000000" w:themeColor="text1"/>
              </w:rPr>
            </w:pPr>
          </w:p>
        </w:tc>
        <w:tc>
          <w:tcPr>
            <w:tcW w:w="397" w:type="dxa"/>
            <w:shd w:val="clear" w:color="auto" w:fill="auto"/>
          </w:tcPr>
          <w:p w14:paraId="5D27D44B" w14:textId="77777777" w:rsidR="00FD2DA7" w:rsidRPr="00AC4DF6" w:rsidRDefault="00FD2DA7" w:rsidP="00733135">
            <w:pPr>
              <w:jc w:val="center"/>
              <w:rPr>
                <w:rFonts w:cs="Arial"/>
                <w:color w:val="000000" w:themeColor="text1"/>
                <w:sz w:val="18"/>
                <w:szCs w:val="18"/>
              </w:rPr>
            </w:pPr>
            <w:r w:rsidRPr="00AC4DF6">
              <w:rPr>
                <w:color w:val="000000" w:themeColor="text1"/>
                <w:sz w:val="18"/>
              </w:rPr>
              <w:t>5</w:t>
            </w:r>
          </w:p>
        </w:tc>
        <w:tc>
          <w:tcPr>
            <w:tcW w:w="2835" w:type="dxa"/>
            <w:shd w:val="clear" w:color="auto" w:fill="auto"/>
          </w:tcPr>
          <w:p w14:paraId="5D27D44C" w14:textId="77777777" w:rsidR="00FD2DA7" w:rsidRPr="00AC4DF6" w:rsidRDefault="00FD2DA7" w:rsidP="00733135">
            <w:pPr>
              <w:jc w:val="left"/>
              <w:rPr>
                <w:rFonts w:cs="Arial"/>
                <w:color w:val="000000" w:themeColor="text1"/>
                <w:sz w:val="18"/>
                <w:szCs w:val="18"/>
              </w:rPr>
            </w:pPr>
            <w:r w:rsidRPr="00AC4DF6">
              <w:rPr>
                <w:color w:val="000000" w:themeColor="text1"/>
                <w:sz w:val="18"/>
              </w:rPr>
              <w:t>Modulacija/zauzeta pojasna širina</w:t>
            </w:r>
          </w:p>
          <w:p w14:paraId="5D27D44D"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(Modulation/Occupied bandwidth)</w:t>
            </w:r>
          </w:p>
        </w:tc>
        <w:tc>
          <w:tcPr>
            <w:tcW w:w="3799" w:type="dxa"/>
            <w:shd w:val="clear" w:color="auto" w:fill="auto"/>
          </w:tcPr>
          <w:p w14:paraId="5D27D44E" w14:textId="1BAB0A61" w:rsidR="00FD2DA7" w:rsidRPr="00AC4DF6" w:rsidRDefault="00272A68" w:rsidP="00733135">
            <w:pPr>
              <w:jc w:val="left"/>
              <w:rPr>
                <w:rFonts w:cs="Arial"/>
                <w:color w:val="000000" w:themeColor="text1"/>
                <w:sz w:val="20"/>
              </w:rPr>
            </w:pPr>
            <w:r w:rsidRPr="00AC4DF6">
              <w:rPr>
                <w:color w:val="000000" w:themeColor="text1"/>
                <w:sz w:val="20"/>
              </w:rPr>
              <w:t>ACCP i CCDP način rada</w:t>
            </w:r>
          </w:p>
        </w:tc>
        <w:tc>
          <w:tcPr>
            <w:tcW w:w="2268" w:type="dxa"/>
            <w:shd w:val="clear" w:color="auto" w:fill="auto"/>
          </w:tcPr>
          <w:p w14:paraId="5D27D44F" w14:textId="77777777" w:rsidR="00FD2DA7" w:rsidRPr="00AC4DF6" w:rsidRDefault="00FD2DA7" w:rsidP="009B6A9A">
            <w:pPr>
              <w:jc w:val="left"/>
              <w:rPr>
                <w:rFonts w:cs="Arial"/>
                <w:color w:val="000000" w:themeColor="text1"/>
                <w:sz w:val="20"/>
              </w:rPr>
            </w:pPr>
          </w:p>
        </w:tc>
      </w:tr>
      <w:tr w:rsidR="00FD2DA7" w:rsidRPr="00AC4DF6" w14:paraId="5D27D457" w14:textId="77777777" w:rsidTr="00733135">
        <w:trPr>
          <w:cantSplit/>
          <w:trHeight w:val="454"/>
          <w:jc w:val="center"/>
        </w:trPr>
        <w:tc>
          <w:tcPr>
            <w:tcW w:w="340" w:type="dxa"/>
            <w:vMerge/>
            <w:shd w:val="clear" w:color="auto" w:fill="auto"/>
          </w:tcPr>
          <w:p w14:paraId="5D27D451" w14:textId="77777777" w:rsidR="00FD2DA7" w:rsidRPr="00AC4DF6" w:rsidRDefault="00FD2DA7" w:rsidP="00733135">
            <w:pPr>
              <w:jc w:val="center"/>
              <w:rPr>
                <w:color w:val="000000" w:themeColor="text1"/>
              </w:rPr>
            </w:pPr>
          </w:p>
        </w:tc>
        <w:tc>
          <w:tcPr>
            <w:tcW w:w="397" w:type="dxa"/>
            <w:shd w:val="clear" w:color="auto" w:fill="auto"/>
          </w:tcPr>
          <w:p w14:paraId="5D27D452" w14:textId="77777777" w:rsidR="00FD2DA7" w:rsidRPr="00AC4DF6" w:rsidRDefault="00FD2DA7" w:rsidP="00733135">
            <w:pPr>
              <w:jc w:val="center"/>
              <w:rPr>
                <w:rFonts w:cs="Arial"/>
                <w:color w:val="000000" w:themeColor="text1"/>
                <w:sz w:val="18"/>
                <w:szCs w:val="18"/>
              </w:rPr>
            </w:pPr>
            <w:r w:rsidRPr="00AC4DF6">
              <w:rPr>
                <w:color w:val="000000" w:themeColor="text1"/>
                <w:sz w:val="18"/>
              </w:rPr>
              <w:t>6</w:t>
            </w:r>
          </w:p>
        </w:tc>
        <w:tc>
          <w:tcPr>
            <w:tcW w:w="2835" w:type="dxa"/>
            <w:shd w:val="clear" w:color="auto" w:fill="auto"/>
          </w:tcPr>
          <w:p w14:paraId="5D27D453" w14:textId="77777777" w:rsidR="00FD2DA7" w:rsidRPr="00AC4DF6" w:rsidRDefault="00FD2DA7" w:rsidP="00733135">
            <w:pPr>
              <w:jc w:val="left"/>
              <w:rPr>
                <w:rFonts w:cs="Arial"/>
                <w:color w:val="000000" w:themeColor="text1"/>
                <w:sz w:val="18"/>
                <w:szCs w:val="18"/>
              </w:rPr>
            </w:pPr>
            <w:r w:rsidRPr="00AC4DF6">
              <w:rPr>
                <w:color w:val="000000" w:themeColor="text1"/>
                <w:sz w:val="18"/>
              </w:rPr>
              <w:t>Smjer/razdvajanje</w:t>
            </w:r>
          </w:p>
          <w:p w14:paraId="5D27D454"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(Direction/Separation)</w:t>
            </w:r>
          </w:p>
        </w:tc>
        <w:tc>
          <w:tcPr>
            <w:tcW w:w="3799" w:type="dxa"/>
            <w:shd w:val="clear" w:color="auto" w:fill="auto"/>
          </w:tcPr>
          <w:p w14:paraId="5D27D455" w14:textId="235C57F9" w:rsidR="00FD2DA7" w:rsidRPr="00AC4DF6" w:rsidRDefault="00272A68" w:rsidP="00733135">
            <w:pPr>
              <w:jc w:val="left"/>
              <w:rPr>
                <w:rFonts w:cs="Arial"/>
                <w:color w:val="000000" w:themeColor="text1"/>
                <w:sz w:val="20"/>
              </w:rPr>
            </w:pPr>
            <w:r w:rsidRPr="00AC4DF6">
              <w:rPr>
                <w:color w:val="000000" w:themeColor="text1"/>
                <w:sz w:val="20"/>
              </w:rPr>
              <w:t>252,04 MHz</w:t>
            </w:r>
          </w:p>
        </w:tc>
        <w:tc>
          <w:tcPr>
            <w:tcW w:w="2268" w:type="dxa"/>
            <w:shd w:val="clear" w:color="auto" w:fill="auto"/>
          </w:tcPr>
          <w:p w14:paraId="5D27D456" w14:textId="2D65ADF3" w:rsidR="00FD2DA7" w:rsidRPr="00AC4DF6" w:rsidRDefault="00272A68" w:rsidP="009B6A9A">
            <w:pPr>
              <w:jc w:val="left"/>
              <w:rPr>
                <w:rFonts w:cs="Arial"/>
                <w:color w:val="000000" w:themeColor="text1"/>
                <w:sz w:val="20"/>
              </w:rPr>
            </w:pPr>
            <w:r w:rsidRPr="00AC4DF6">
              <w:rPr>
                <w:color w:val="000000" w:themeColor="text1"/>
                <w:sz w:val="20"/>
              </w:rPr>
              <w:t>Dupleks razmak</w:t>
            </w:r>
          </w:p>
        </w:tc>
      </w:tr>
      <w:tr w:rsidR="00FD2DA7" w:rsidRPr="00AC4DF6" w14:paraId="5D27D45E" w14:textId="77777777" w:rsidTr="00733135">
        <w:trPr>
          <w:cantSplit/>
          <w:trHeight w:val="454"/>
          <w:jc w:val="center"/>
        </w:trPr>
        <w:tc>
          <w:tcPr>
            <w:tcW w:w="340" w:type="dxa"/>
            <w:vMerge/>
            <w:shd w:val="clear" w:color="auto" w:fill="auto"/>
          </w:tcPr>
          <w:p w14:paraId="5D27D458" w14:textId="77777777" w:rsidR="00FD2DA7" w:rsidRPr="00AC4DF6" w:rsidRDefault="00FD2DA7" w:rsidP="00733135">
            <w:pPr>
              <w:jc w:val="center"/>
              <w:rPr>
                <w:color w:val="000000" w:themeColor="text1"/>
              </w:rPr>
            </w:pPr>
          </w:p>
        </w:tc>
        <w:tc>
          <w:tcPr>
            <w:tcW w:w="397" w:type="dxa"/>
            <w:shd w:val="clear" w:color="auto" w:fill="auto"/>
          </w:tcPr>
          <w:p w14:paraId="5D27D459" w14:textId="77777777" w:rsidR="00FD2DA7" w:rsidRPr="00AC4DF6" w:rsidRDefault="00FD2DA7" w:rsidP="00733135">
            <w:pPr>
              <w:jc w:val="center"/>
              <w:rPr>
                <w:rFonts w:cs="Arial"/>
                <w:color w:val="000000" w:themeColor="text1"/>
                <w:sz w:val="18"/>
                <w:szCs w:val="18"/>
              </w:rPr>
            </w:pPr>
            <w:r w:rsidRPr="00AC4DF6">
              <w:rPr>
                <w:color w:val="000000" w:themeColor="text1"/>
                <w:sz w:val="18"/>
              </w:rPr>
              <w:t>7</w:t>
            </w:r>
          </w:p>
        </w:tc>
        <w:tc>
          <w:tcPr>
            <w:tcW w:w="2835" w:type="dxa"/>
            <w:shd w:val="clear" w:color="auto" w:fill="auto"/>
          </w:tcPr>
          <w:p w14:paraId="5D27D45A" w14:textId="77777777" w:rsidR="00FD2DA7" w:rsidRPr="00AC4DF6" w:rsidRDefault="00FD2DA7" w:rsidP="00733135">
            <w:pPr>
              <w:jc w:val="left"/>
              <w:rPr>
                <w:rFonts w:cs="Arial"/>
                <w:color w:val="000000" w:themeColor="text1"/>
                <w:sz w:val="18"/>
                <w:szCs w:val="18"/>
              </w:rPr>
            </w:pPr>
            <w:r w:rsidRPr="00AC4DF6">
              <w:rPr>
                <w:color w:val="000000" w:themeColor="text1"/>
                <w:sz w:val="18"/>
              </w:rPr>
              <w:t>Snaga odašiljanja/gustoća snage</w:t>
            </w:r>
          </w:p>
          <w:p w14:paraId="5D27D45B"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(Transmit power/Power density)</w:t>
            </w:r>
          </w:p>
        </w:tc>
        <w:tc>
          <w:tcPr>
            <w:tcW w:w="3799" w:type="dxa"/>
            <w:shd w:val="clear" w:color="auto" w:fill="auto"/>
          </w:tcPr>
          <w:p w14:paraId="5D27D45C" w14:textId="5FA40F08" w:rsidR="00FD2DA7" w:rsidRPr="00AC4DF6" w:rsidRDefault="00B81BBD" w:rsidP="00627039">
            <w:pPr>
              <w:jc w:val="left"/>
              <w:rPr>
                <w:rFonts w:cs="Arial"/>
                <w:color w:val="000000" w:themeColor="text1"/>
                <w:sz w:val="20"/>
              </w:rPr>
            </w:pPr>
            <w:r w:rsidRPr="00AC4DF6">
              <w:rPr>
                <w:color w:val="000000" w:themeColor="text1"/>
                <w:sz w:val="20"/>
              </w:rPr>
              <w:t>maks. 316 KW (55 dBW) EIRP</w:t>
            </w:r>
          </w:p>
        </w:tc>
        <w:tc>
          <w:tcPr>
            <w:tcW w:w="2268" w:type="dxa"/>
            <w:shd w:val="clear" w:color="auto" w:fill="auto"/>
          </w:tcPr>
          <w:p w14:paraId="5D27D45D" w14:textId="64755955" w:rsidR="00FD2DA7" w:rsidRPr="00AC4DF6" w:rsidRDefault="00B81BBD" w:rsidP="00B81BBD">
            <w:pPr>
              <w:jc w:val="left"/>
              <w:rPr>
                <w:rFonts w:cs="Arial"/>
                <w:color w:val="000000" w:themeColor="text1"/>
                <w:sz w:val="20"/>
              </w:rPr>
            </w:pPr>
            <w:r w:rsidRPr="00AC4DF6">
              <w:rPr>
                <w:sz w:val="20"/>
              </w:rPr>
              <w:t>Specifična vrijednost propisana je dodjelom frekvencije.</w:t>
            </w:r>
          </w:p>
        </w:tc>
      </w:tr>
      <w:tr w:rsidR="00FD2DA7" w:rsidRPr="00AC4DF6" w14:paraId="5D27D465" w14:textId="77777777" w:rsidTr="00733135">
        <w:trPr>
          <w:cantSplit/>
          <w:trHeight w:val="454"/>
          <w:jc w:val="center"/>
        </w:trPr>
        <w:tc>
          <w:tcPr>
            <w:tcW w:w="340" w:type="dxa"/>
            <w:vMerge/>
            <w:shd w:val="clear" w:color="auto" w:fill="auto"/>
          </w:tcPr>
          <w:p w14:paraId="5D27D45F" w14:textId="77777777" w:rsidR="00FD2DA7" w:rsidRPr="00AC4DF6" w:rsidRDefault="00FD2DA7" w:rsidP="00733135">
            <w:pPr>
              <w:jc w:val="center"/>
              <w:rPr>
                <w:color w:val="000000" w:themeColor="text1"/>
              </w:rPr>
            </w:pPr>
          </w:p>
        </w:tc>
        <w:tc>
          <w:tcPr>
            <w:tcW w:w="397" w:type="dxa"/>
            <w:shd w:val="clear" w:color="auto" w:fill="auto"/>
          </w:tcPr>
          <w:p w14:paraId="5D27D460" w14:textId="77777777" w:rsidR="00FD2DA7" w:rsidRPr="00AC4DF6" w:rsidRDefault="00FD2DA7" w:rsidP="00733135">
            <w:pPr>
              <w:jc w:val="center"/>
              <w:rPr>
                <w:rFonts w:cs="Arial"/>
                <w:color w:val="000000" w:themeColor="text1"/>
                <w:sz w:val="18"/>
                <w:szCs w:val="18"/>
              </w:rPr>
            </w:pPr>
            <w:r w:rsidRPr="00AC4DF6">
              <w:rPr>
                <w:color w:val="000000" w:themeColor="text1"/>
                <w:sz w:val="18"/>
              </w:rPr>
              <w:t>8</w:t>
            </w:r>
          </w:p>
        </w:tc>
        <w:tc>
          <w:tcPr>
            <w:tcW w:w="2835" w:type="dxa"/>
            <w:shd w:val="clear" w:color="auto" w:fill="auto"/>
          </w:tcPr>
          <w:p w14:paraId="5D27D461" w14:textId="77777777" w:rsidR="00FD2DA7" w:rsidRPr="00AC4DF6" w:rsidRDefault="00FD2DA7" w:rsidP="00733135">
            <w:pPr>
              <w:jc w:val="left"/>
              <w:rPr>
                <w:rFonts w:cs="Arial"/>
                <w:color w:val="000000" w:themeColor="text1"/>
                <w:sz w:val="18"/>
                <w:szCs w:val="18"/>
              </w:rPr>
            </w:pPr>
            <w:r w:rsidRPr="00AC4DF6">
              <w:rPr>
                <w:color w:val="000000" w:themeColor="text1"/>
                <w:sz w:val="18"/>
              </w:rPr>
              <w:t>Pristup kanalu i pravila zauzeća</w:t>
            </w:r>
          </w:p>
          <w:p w14:paraId="5D27D462"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(Channel access and occupation rules)</w:t>
            </w:r>
          </w:p>
        </w:tc>
        <w:tc>
          <w:tcPr>
            <w:tcW w:w="3799" w:type="dxa"/>
            <w:shd w:val="clear" w:color="auto" w:fill="auto"/>
          </w:tcPr>
          <w:p w14:paraId="5D27D463" w14:textId="77777777" w:rsidR="00FD2DA7" w:rsidRPr="00AC4DF6" w:rsidRDefault="00FD2DA7" w:rsidP="00733135">
            <w:pPr>
              <w:jc w:val="left"/>
              <w:rPr>
                <w:rFonts w:cs="Arial"/>
                <w:color w:val="000000" w:themeColor="text1"/>
                <w:sz w:val="20"/>
              </w:rPr>
            </w:pPr>
          </w:p>
        </w:tc>
        <w:tc>
          <w:tcPr>
            <w:tcW w:w="2268" w:type="dxa"/>
            <w:shd w:val="clear" w:color="auto" w:fill="auto"/>
          </w:tcPr>
          <w:p w14:paraId="5D27D464" w14:textId="0104D5B4" w:rsidR="00FD2DA7" w:rsidRPr="00AC4DF6" w:rsidRDefault="00FD2DA7" w:rsidP="002B1465">
            <w:pPr>
              <w:jc w:val="left"/>
              <w:rPr>
                <w:rFonts w:cs="Arial"/>
                <w:strike/>
                <w:color w:val="000000" w:themeColor="text1"/>
                <w:sz w:val="20"/>
              </w:rPr>
            </w:pPr>
          </w:p>
        </w:tc>
      </w:tr>
      <w:tr w:rsidR="00FD2DA7" w:rsidRPr="00AC4DF6" w14:paraId="5D27D46C" w14:textId="77777777" w:rsidTr="00733135">
        <w:trPr>
          <w:cantSplit/>
          <w:trHeight w:val="454"/>
          <w:jc w:val="center"/>
        </w:trPr>
        <w:tc>
          <w:tcPr>
            <w:tcW w:w="340" w:type="dxa"/>
            <w:vMerge/>
            <w:shd w:val="clear" w:color="auto" w:fill="auto"/>
          </w:tcPr>
          <w:p w14:paraId="5D27D466" w14:textId="77777777" w:rsidR="00FD2DA7" w:rsidRPr="00AC4DF6" w:rsidRDefault="00FD2DA7" w:rsidP="00733135">
            <w:pPr>
              <w:jc w:val="center"/>
              <w:rPr>
                <w:color w:val="000000" w:themeColor="text1"/>
              </w:rPr>
            </w:pPr>
          </w:p>
        </w:tc>
        <w:tc>
          <w:tcPr>
            <w:tcW w:w="397" w:type="dxa"/>
            <w:shd w:val="clear" w:color="auto" w:fill="auto"/>
          </w:tcPr>
          <w:p w14:paraId="5D27D467" w14:textId="77777777" w:rsidR="00FD2DA7" w:rsidRPr="00AC4DF6" w:rsidRDefault="00FD2DA7" w:rsidP="00733135">
            <w:pPr>
              <w:jc w:val="center"/>
              <w:rPr>
                <w:rFonts w:cs="Arial"/>
                <w:color w:val="000000" w:themeColor="text1"/>
                <w:sz w:val="18"/>
                <w:szCs w:val="18"/>
              </w:rPr>
            </w:pPr>
            <w:r w:rsidRPr="00AC4DF6">
              <w:rPr>
                <w:color w:val="000000" w:themeColor="text1"/>
                <w:sz w:val="18"/>
              </w:rPr>
              <w:t>9</w:t>
            </w:r>
          </w:p>
        </w:tc>
        <w:tc>
          <w:tcPr>
            <w:tcW w:w="2835" w:type="dxa"/>
            <w:shd w:val="clear" w:color="auto" w:fill="auto"/>
          </w:tcPr>
          <w:p w14:paraId="5D27D468" w14:textId="77777777" w:rsidR="00FD2DA7" w:rsidRPr="00AC4DF6" w:rsidRDefault="00FD2DA7" w:rsidP="00733135">
            <w:pPr>
              <w:jc w:val="left"/>
              <w:rPr>
                <w:rFonts w:cs="Arial"/>
                <w:color w:val="000000" w:themeColor="text1"/>
                <w:sz w:val="18"/>
                <w:szCs w:val="18"/>
              </w:rPr>
            </w:pPr>
            <w:r w:rsidRPr="00AC4DF6">
              <w:rPr>
                <w:color w:val="000000" w:themeColor="text1"/>
                <w:sz w:val="18"/>
              </w:rPr>
              <w:t>Sustav odobrenja</w:t>
            </w:r>
          </w:p>
          <w:p w14:paraId="5D27D469"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(Authorisation regime)</w:t>
            </w:r>
          </w:p>
        </w:tc>
        <w:tc>
          <w:tcPr>
            <w:tcW w:w="3799" w:type="dxa"/>
            <w:shd w:val="clear" w:color="auto" w:fill="auto"/>
          </w:tcPr>
          <w:p w14:paraId="5D27D46A" w14:textId="4CDDCB92" w:rsidR="00FD2DA7" w:rsidRPr="00AC4DF6" w:rsidRDefault="00B81BBD" w:rsidP="00733135">
            <w:pPr>
              <w:jc w:val="left"/>
              <w:rPr>
                <w:rFonts w:cs="Arial"/>
                <w:color w:val="000000" w:themeColor="text1"/>
                <w:sz w:val="20"/>
              </w:rPr>
            </w:pPr>
            <w:r w:rsidRPr="00AC4DF6">
              <w:rPr>
                <w:color w:val="000000" w:themeColor="text1"/>
                <w:sz w:val="20"/>
              </w:rPr>
              <w:t>Pojedinačna dodjela</w:t>
            </w:r>
          </w:p>
        </w:tc>
        <w:tc>
          <w:tcPr>
            <w:tcW w:w="2268" w:type="dxa"/>
            <w:shd w:val="clear" w:color="auto" w:fill="auto"/>
          </w:tcPr>
          <w:p w14:paraId="5D27D46B" w14:textId="77777777" w:rsidR="00FD2DA7" w:rsidRPr="00AC4DF6" w:rsidRDefault="00FD2DA7" w:rsidP="009B6A9A">
            <w:pPr>
              <w:jc w:val="left"/>
              <w:rPr>
                <w:rFonts w:cs="Arial"/>
                <w:color w:val="000000" w:themeColor="text1"/>
                <w:sz w:val="20"/>
              </w:rPr>
            </w:pPr>
          </w:p>
        </w:tc>
      </w:tr>
      <w:tr w:rsidR="00FD2DA7" w:rsidRPr="00AC4DF6" w14:paraId="5D27D473" w14:textId="77777777" w:rsidTr="00733135">
        <w:trPr>
          <w:cantSplit/>
          <w:trHeight w:val="454"/>
          <w:jc w:val="center"/>
        </w:trPr>
        <w:tc>
          <w:tcPr>
            <w:tcW w:w="340" w:type="dxa"/>
            <w:vMerge/>
            <w:shd w:val="clear" w:color="auto" w:fill="auto"/>
          </w:tcPr>
          <w:p w14:paraId="5D27D46D" w14:textId="77777777" w:rsidR="00FD2DA7" w:rsidRPr="00AC4DF6" w:rsidRDefault="00FD2DA7" w:rsidP="00733135">
            <w:pPr>
              <w:jc w:val="center"/>
              <w:rPr>
                <w:color w:val="000000" w:themeColor="text1"/>
              </w:rPr>
            </w:pPr>
          </w:p>
        </w:tc>
        <w:tc>
          <w:tcPr>
            <w:tcW w:w="397" w:type="dxa"/>
            <w:shd w:val="clear" w:color="auto" w:fill="auto"/>
          </w:tcPr>
          <w:p w14:paraId="5D27D46E" w14:textId="77777777" w:rsidR="00FD2DA7" w:rsidRPr="00AC4DF6" w:rsidRDefault="00FD2DA7" w:rsidP="00733135">
            <w:pPr>
              <w:jc w:val="center"/>
              <w:rPr>
                <w:rFonts w:cs="Arial"/>
                <w:color w:val="000000" w:themeColor="text1"/>
                <w:sz w:val="18"/>
                <w:szCs w:val="18"/>
              </w:rPr>
            </w:pPr>
            <w:r w:rsidRPr="00AC4DF6">
              <w:rPr>
                <w:color w:val="000000" w:themeColor="text1"/>
                <w:sz w:val="18"/>
              </w:rPr>
              <w:t>10</w:t>
            </w:r>
          </w:p>
        </w:tc>
        <w:tc>
          <w:tcPr>
            <w:tcW w:w="2835" w:type="dxa"/>
            <w:shd w:val="clear" w:color="auto" w:fill="auto"/>
          </w:tcPr>
          <w:p w14:paraId="5D27D46F" w14:textId="77777777" w:rsidR="00FD2DA7" w:rsidRPr="00AC4DF6" w:rsidRDefault="00FD2DA7" w:rsidP="00733135">
            <w:pPr>
              <w:jc w:val="left"/>
              <w:rPr>
                <w:rFonts w:cs="Arial"/>
                <w:color w:val="000000" w:themeColor="text1"/>
                <w:sz w:val="18"/>
                <w:szCs w:val="18"/>
              </w:rPr>
            </w:pPr>
            <w:r w:rsidRPr="00AC4DF6">
              <w:rPr>
                <w:color w:val="000000" w:themeColor="text1"/>
                <w:sz w:val="18"/>
              </w:rPr>
              <w:t>Dodatni bitni zahtjevi</w:t>
            </w:r>
          </w:p>
          <w:p w14:paraId="5D27D470"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(Additional essential requirements)</w:t>
            </w:r>
          </w:p>
        </w:tc>
        <w:tc>
          <w:tcPr>
            <w:tcW w:w="3799" w:type="dxa"/>
            <w:shd w:val="clear" w:color="auto" w:fill="auto"/>
          </w:tcPr>
          <w:p w14:paraId="333A8934" w14:textId="1A161E5B" w:rsidR="004F4D76" w:rsidRPr="00AC4DF6" w:rsidRDefault="004F4D76" w:rsidP="00733135">
            <w:pPr>
              <w:jc w:val="left"/>
              <w:rPr>
                <w:rFonts w:cs="Arial"/>
                <w:color w:val="000000" w:themeColor="text1"/>
                <w:sz w:val="20"/>
              </w:rPr>
            </w:pPr>
            <w:r w:rsidRPr="00AC4DF6">
              <w:rPr>
                <w:color w:val="000000" w:themeColor="text1"/>
                <w:sz w:val="20"/>
              </w:rPr>
              <w:t>Proširena primjena:</w:t>
            </w:r>
          </w:p>
          <w:p w14:paraId="5D9745D3" w14:textId="5EEC4889" w:rsidR="004F4D76" w:rsidRPr="00AC4DF6" w:rsidRDefault="004F4D76" w:rsidP="00733135">
            <w:pPr>
              <w:jc w:val="left"/>
              <w:rPr>
                <w:rFonts w:cs="Arial"/>
                <w:color w:val="000000" w:themeColor="text1"/>
                <w:sz w:val="20"/>
              </w:rPr>
            </w:pPr>
            <w:r w:rsidRPr="00AC4DF6">
              <w:rPr>
                <w:color w:val="000000" w:themeColor="text1"/>
                <w:sz w:val="20"/>
              </w:rPr>
              <w:t>Širina pojasa kanala: 59,30 MHz</w:t>
            </w:r>
          </w:p>
          <w:p w14:paraId="43ECA1F0" w14:textId="77777777" w:rsidR="004F4D76" w:rsidRPr="00AC4DF6" w:rsidRDefault="004F4D76" w:rsidP="00733135">
            <w:pPr>
              <w:jc w:val="left"/>
              <w:rPr>
                <w:rFonts w:cs="Arial"/>
                <w:color w:val="000000" w:themeColor="text1"/>
                <w:sz w:val="20"/>
              </w:rPr>
            </w:pPr>
          </w:p>
          <w:p w14:paraId="0D327DA0" w14:textId="77777777" w:rsidR="00FD2DA7" w:rsidRPr="00AC4DF6" w:rsidRDefault="004F1EC3" w:rsidP="004F1EC3">
            <w:pPr>
              <w:jc w:val="left"/>
              <w:rPr>
                <w:rFonts w:cs="Arial"/>
                <w:color w:val="000000" w:themeColor="text1"/>
                <w:sz w:val="20"/>
              </w:rPr>
            </w:pPr>
            <w:r w:rsidRPr="00AC4DF6">
              <w:rPr>
                <w:color w:val="000000" w:themeColor="text1"/>
                <w:sz w:val="20"/>
              </w:rPr>
              <w:t>Restriktivni uvjeti uporabe:</w:t>
            </w:r>
          </w:p>
          <w:p w14:paraId="5D27D471" w14:textId="2C980DF0" w:rsidR="004F1EC3" w:rsidRPr="00AC4DF6" w:rsidRDefault="004F1EC3" w:rsidP="004F1EC3">
            <w:pPr>
              <w:jc w:val="left"/>
              <w:rPr>
                <w:rFonts w:cs="Arial"/>
                <w:color w:val="000000" w:themeColor="text1"/>
                <w:sz w:val="20"/>
              </w:rPr>
            </w:pPr>
            <w:r w:rsidRPr="00AC4DF6">
              <w:rPr>
                <w:color w:val="000000" w:themeColor="text1"/>
                <w:sz w:val="20"/>
              </w:rPr>
              <w:t xml:space="preserve">Prijenosni kapacitet od najmanje 622 Mbit/s i primjena horizontalne i vertikalne polarizacije </w:t>
            </w:r>
          </w:p>
        </w:tc>
        <w:tc>
          <w:tcPr>
            <w:tcW w:w="2268" w:type="dxa"/>
            <w:shd w:val="clear" w:color="auto" w:fill="auto"/>
          </w:tcPr>
          <w:p w14:paraId="3691C010" w14:textId="35D5CF9F" w:rsidR="004F4D76" w:rsidRPr="00AC4DF6" w:rsidRDefault="004F4D76" w:rsidP="004F4D76">
            <w:pPr>
              <w:jc w:val="left"/>
              <w:rPr>
                <w:rFonts w:cs="Arial"/>
                <w:color w:val="000000" w:themeColor="text1"/>
                <w:sz w:val="20"/>
              </w:rPr>
            </w:pPr>
            <w:r w:rsidRPr="00AC4DF6">
              <w:rPr>
                <w:color w:val="000000" w:themeColor="text1"/>
                <w:sz w:val="20"/>
              </w:rPr>
              <w:t>CEPT/ERC/REC 14-01</w:t>
            </w:r>
          </w:p>
          <w:p w14:paraId="1F47AFF1" w14:textId="0C72261E" w:rsidR="00FD2DA7" w:rsidRPr="00AC4DF6" w:rsidRDefault="00D51F96" w:rsidP="004F1EC3">
            <w:pPr>
              <w:jc w:val="left"/>
              <w:rPr>
                <w:rFonts w:cs="Arial"/>
                <w:color w:val="000000" w:themeColor="text1"/>
                <w:sz w:val="20"/>
              </w:rPr>
            </w:pPr>
            <w:r w:rsidRPr="00AC4DF6">
              <w:rPr>
                <w:color w:val="000000" w:themeColor="text1"/>
                <w:sz w:val="20"/>
              </w:rPr>
              <w:t>Izdanje 10/2010</w:t>
            </w:r>
          </w:p>
          <w:p w14:paraId="127EEBF8" w14:textId="77777777" w:rsidR="004F1EC3" w:rsidRPr="00AC4DF6" w:rsidRDefault="004F1EC3" w:rsidP="004F1EC3">
            <w:pPr>
              <w:jc w:val="left"/>
              <w:rPr>
                <w:rFonts w:cs="Arial"/>
                <w:color w:val="000000" w:themeColor="text1"/>
                <w:sz w:val="20"/>
              </w:rPr>
            </w:pPr>
          </w:p>
          <w:p w14:paraId="5D27D472" w14:textId="7C66A3D9" w:rsidR="004F1EC3" w:rsidRPr="00AC4DF6" w:rsidRDefault="004F1EC3" w:rsidP="008D5EA0">
            <w:pPr>
              <w:jc w:val="left"/>
              <w:rPr>
                <w:rFonts w:cs="Arial"/>
                <w:color w:val="000000" w:themeColor="text1"/>
                <w:sz w:val="20"/>
              </w:rPr>
            </w:pPr>
            <w:r w:rsidRPr="00AC4DF6">
              <w:rPr>
                <w:color w:val="000000" w:themeColor="text1"/>
                <w:sz w:val="20"/>
              </w:rPr>
              <w:t>Izdanje 10/2010</w:t>
            </w:r>
          </w:p>
        </w:tc>
      </w:tr>
      <w:tr w:rsidR="00FD2DA7" w:rsidRPr="00AC4DF6" w14:paraId="5D27D47A" w14:textId="77777777" w:rsidTr="00733135">
        <w:trPr>
          <w:cantSplit/>
          <w:trHeight w:val="454"/>
          <w:jc w:val="center"/>
        </w:trPr>
        <w:tc>
          <w:tcPr>
            <w:tcW w:w="340" w:type="dxa"/>
            <w:vMerge/>
            <w:tcBorders>
              <w:bottom w:val="single" w:sz="4" w:space="0" w:color="auto"/>
            </w:tcBorders>
            <w:shd w:val="clear" w:color="auto" w:fill="auto"/>
          </w:tcPr>
          <w:p w14:paraId="5D27D474" w14:textId="77777777" w:rsidR="00FD2DA7" w:rsidRPr="00AC4DF6" w:rsidRDefault="00FD2DA7" w:rsidP="00733135">
            <w:pPr>
              <w:jc w:val="center"/>
              <w:rPr>
                <w:color w:val="000000" w:themeColor="text1"/>
              </w:rPr>
            </w:pPr>
          </w:p>
        </w:tc>
        <w:tc>
          <w:tcPr>
            <w:tcW w:w="397" w:type="dxa"/>
            <w:tcBorders>
              <w:bottom w:val="single" w:sz="4" w:space="0" w:color="auto"/>
            </w:tcBorders>
            <w:shd w:val="clear" w:color="auto" w:fill="auto"/>
          </w:tcPr>
          <w:p w14:paraId="5D27D475" w14:textId="77777777" w:rsidR="00FD2DA7" w:rsidRPr="00AC4DF6" w:rsidRDefault="00FD2DA7" w:rsidP="00733135">
            <w:pPr>
              <w:jc w:val="center"/>
              <w:rPr>
                <w:rFonts w:cs="Arial"/>
                <w:color w:val="000000" w:themeColor="text1"/>
                <w:sz w:val="18"/>
                <w:szCs w:val="18"/>
              </w:rPr>
            </w:pPr>
            <w:r w:rsidRPr="00AC4DF6">
              <w:rPr>
                <w:color w:val="000000" w:themeColor="text1"/>
                <w:sz w:val="18"/>
              </w:rPr>
              <w:t>11</w:t>
            </w:r>
          </w:p>
        </w:tc>
        <w:tc>
          <w:tcPr>
            <w:tcW w:w="2835" w:type="dxa"/>
            <w:tcBorders>
              <w:bottom w:val="single" w:sz="4" w:space="0" w:color="auto"/>
            </w:tcBorders>
            <w:shd w:val="clear" w:color="auto" w:fill="auto"/>
          </w:tcPr>
          <w:p w14:paraId="5D27D476" w14:textId="77777777" w:rsidR="00FD2DA7" w:rsidRPr="00AC4DF6" w:rsidRDefault="00FD2DA7" w:rsidP="00733135">
            <w:pPr>
              <w:jc w:val="left"/>
              <w:rPr>
                <w:rFonts w:cs="Arial"/>
                <w:color w:val="000000" w:themeColor="text1"/>
                <w:sz w:val="18"/>
                <w:szCs w:val="18"/>
              </w:rPr>
            </w:pPr>
            <w:r w:rsidRPr="00AC4DF6">
              <w:rPr>
                <w:color w:val="000000" w:themeColor="text1"/>
                <w:sz w:val="18"/>
              </w:rPr>
              <w:t>Pretpostavke o frekvencijskom planiranju</w:t>
            </w:r>
          </w:p>
          <w:p w14:paraId="5D27D477"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(Frequency planning assumptions)</w:t>
            </w:r>
          </w:p>
        </w:tc>
        <w:tc>
          <w:tcPr>
            <w:tcW w:w="3799" w:type="dxa"/>
            <w:tcBorders>
              <w:bottom w:val="single" w:sz="4" w:space="0" w:color="auto"/>
            </w:tcBorders>
            <w:shd w:val="clear" w:color="auto" w:fill="auto"/>
          </w:tcPr>
          <w:p w14:paraId="53227688" w14:textId="779CCB6C" w:rsidR="006F6EDD" w:rsidRPr="00AC4DF6" w:rsidRDefault="006F6EDD" w:rsidP="006F6EDD">
            <w:pPr>
              <w:jc w:val="left"/>
              <w:rPr>
                <w:rFonts w:cs="Arial"/>
                <w:color w:val="000000" w:themeColor="text1"/>
                <w:sz w:val="20"/>
              </w:rPr>
            </w:pPr>
            <w:r w:rsidRPr="00AC4DF6">
              <w:rPr>
                <w:color w:val="000000" w:themeColor="text1"/>
                <w:sz w:val="20"/>
              </w:rPr>
              <w:t xml:space="preserve">Razred spektralne učinkovitosti ≥ 5x(y) </w:t>
            </w:r>
          </w:p>
          <w:p w14:paraId="5534E213" w14:textId="77777777" w:rsidR="00DC7FAB" w:rsidRPr="00AC4DF6" w:rsidRDefault="00DC7FAB" w:rsidP="006F6EDD">
            <w:pPr>
              <w:jc w:val="left"/>
              <w:rPr>
                <w:rFonts w:cs="Arial"/>
                <w:color w:val="000000" w:themeColor="text1"/>
                <w:sz w:val="20"/>
              </w:rPr>
            </w:pPr>
          </w:p>
          <w:p w14:paraId="5D27D478" w14:textId="28BC1947" w:rsidR="00FD2DA7" w:rsidRPr="00AC4DF6" w:rsidRDefault="006F6EDD" w:rsidP="006F6EDD">
            <w:pPr>
              <w:jc w:val="left"/>
              <w:rPr>
                <w:rFonts w:cs="Arial"/>
                <w:color w:val="000000" w:themeColor="text1"/>
                <w:sz w:val="20"/>
              </w:rPr>
            </w:pPr>
            <w:r w:rsidRPr="00AC4DF6">
              <w:rPr>
                <w:color w:val="000000" w:themeColor="text1"/>
                <w:sz w:val="20"/>
              </w:rPr>
              <w:t>Klase antena 3 i 4</w:t>
            </w:r>
          </w:p>
        </w:tc>
        <w:tc>
          <w:tcPr>
            <w:tcW w:w="2268" w:type="dxa"/>
            <w:tcBorders>
              <w:bottom w:val="single" w:sz="4" w:space="0" w:color="auto"/>
            </w:tcBorders>
            <w:shd w:val="clear" w:color="auto" w:fill="auto"/>
          </w:tcPr>
          <w:p w14:paraId="75E5599C" w14:textId="2BC2A0D1" w:rsidR="006F6EDD" w:rsidRPr="00AC4DF6" w:rsidRDefault="002B1465" w:rsidP="006F6EDD">
            <w:pPr>
              <w:jc w:val="left"/>
              <w:rPr>
                <w:rFonts w:cs="Arial"/>
                <w:color w:val="000000" w:themeColor="text1"/>
                <w:sz w:val="20"/>
              </w:rPr>
            </w:pPr>
            <w:r w:rsidRPr="00AC4DF6">
              <w:rPr>
                <w:color w:val="000000" w:themeColor="text1"/>
                <w:sz w:val="20"/>
              </w:rPr>
              <w:t>EN 302 217-2</w:t>
            </w:r>
          </w:p>
          <w:p w14:paraId="64A04E76" w14:textId="77777777" w:rsidR="00DC7FAB" w:rsidRPr="00AC4DF6" w:rsidRDefault="00DC7FAB" w:rsidP="006F6EDD">
            <w:pPr>
              <w:jc w:val="left"/>
              <w:rPr>
                <w:rFonts w:cs="Arial"/>
                <w:color w:val="000000" w:themeColor="text1"/>
                <w:sz w:val="20"/>
              </w:rPr>
            </w:pPr>
          </w:p>
          <w:p w14:paraId="5D27D479" w14:textId="431E225B" w:rsidR="00FD2DA7" w:rsidRPr="00AC4DF6" w:rsidRDefault="002B1465" w:rsidP="006F6EDD">
            <w:pPr>
              <w:jc w:val="left"/>
              <w:rPr>
                <w:rFonts w:cs="Arial"/>
                <w:color w:val="000000" w:themeColor="text1"/>
                <w:sz w:val="20"/>
              </w:rPr>
            </w:pPr>
            <w:r w:rsidRPr="00AC4DF6">
              <w:rPr>
                <w:color w:val="000000" w:themeColor="text1"/>
                <w:sz w:val="20"/>
              </w:rPr>
              <w:t xml:space="preserve">EN 302 217-4 </w:t>
            </w:r>
          </w:p>
        </w:tc>
      </w:tr>
      <w:tr w:rsidR="00FD2DA7" w:rsidRPr="00AC4DF6" w14:paraId="5D27D481" w14:textId="77777777" w:rsidTr="00733135">
        <w:trPr>
          <w:cantSplit/>
          <w:trHeight w:val="454"/>
          <w:jc w:val="center"/>
        </w:trPr>
        <w:tc>
          <w:tcPr>
            <w:tcW w:w="340" w:type="dxa"/>
            <w:vMerge w:val="restart"/>
            <w:tcBorders>
              <w:top w:val="single" w:sz="8" w:space="0" w:color="auto"/>
            </w:tcBorders>
            <w:shd w:val="clear" w:color="auto" w:fill="auto"/>
            <w:textDirection w:val="btLr"/>
            <w:vAlign w:val="center"/>
          </w:tcPr>
          <w:p w14:paraId="5D27D47B" w14:textId="77777777" w:rsidR="00FD2DA7" w:rsidRPr="00AC4DF6" w:rsidRDefault="00FD2DA7" w:rsidP="00733135">
            <w:pPr>
              <w:ind w:left="113" w:right="113"/>
              <w:jc w:val="center"/>
              <w:rPr>
                <w:color w:val="000000" w:themeColor="text1"/>
              </w:rPr>
            </w:pPr>
            <w:r w:rsidRPr="00AC4DF6">
              <w:rPr>
                <w:color w:val="000000" w:themeColor="text1"/>
              </w:rPr>
              <w:t>Informativni odjeljak</w:t>
            </w:r>
          </w:p>
        </w:tc>
        <w:tc>
          <w:tcPr>
            <w:tcW w:w="397" w:type="dxa"/>
            <w:tcBorders>
              <w:top w:val="single" w:sz="8" w:space="0" w:color="auto"/>
            </w:tcBorders>
            <w:shd w:val="clear" w:color="auto" w:fill="auto"/>
          </w:tcPr>
          <w:p w14:paraId="5D27D47C" w14:textId="77777777" w:rsidR="00FD2DA7" w:rsidRPr="00AC4DF6" w:rsidRDefault="00FD2DA7" w:rsidP="00733135">
            <w:pPr>
              <w:jc w:val="center"/>
              <w:rPr>
                <w:rFonts w:cs="Arial"/>
                <w:color w:val="000000" w:themeColor="text1"/>
                <w:sz w:val="18"/>
                <w:szCs w:val="18"/>
              </w:rPr>
            </w:pPr>
            <w:r w:rsidRPr="00AC4DF6">
              <w:rPr>
                <w:color w:val="000000" w:themeColor="text1"/>
                <w:sz w:val="18"/>
              </w:rPr>
              <w:t>12</w:t>
            </w:r>
          </w:p>
        </w:tc>
        <w:tc>
          <w:tcPr>
            <w:tcW w:w="2835" w:type="dxa"/>
            <w:tcBorders>
              <w:top w:val="single" w:sz="8" w:space="0" w:color="auto"/>
            </w:tcBorders>
            <w:shd w:val="clear" w:color="auto" w:fill="auto"/>
          </w:tcPr>
          <w:p w14:paraId="5D27D47D" w14:textId="77777777" w:rsidR="00FD2DA7" w:rsidRPr="00AC4DF6" w:rsidRDefault="00FD2DA7" w:rsidP="00733135">
            <w:pPr>
              <w:jc w:val="left"/>
              <w:rPr>
                <w:rFonts w:cs="Arial"/>
                <w:color w:val="000000" w:themeColor="text1"/>
                <w:sz w:val="18"/>
                <w:szCs w:val="18"/>
              </w:rPr>
            </w:pPr>
            <w:r w:rsidRPr="00AC4DF6">
              <w:rPr>
                <w:color w:val="000000" w:themeColor="text1"/>
                <w:sz w:val="18"/>
              </w:rPr>
              <w:t>Predviđene izmjene</w:t>
            </w:r>
          </w:p>
          <w:p w14:paraId="5D27D47E" w14:textId="57691D4A" w:rsidR="00FD2DA7" w:rsidRPr="00AC4DF6" w:rsidRDefault="00D16C0D" w:rsidP="00D16C0D">
            <w:pPr>
              <w:spacing w:before="60"/>
              <w:jc w:val="left"/>
              <w:rPr>
                <w:rFonts w:cs="Arial"/>
                <w:color w:val="000000" w:themeColor="text1"/>
                <w:sz w:val="18"/>
                <w:szCs w:val="18"/>
              </w:rPr>
            </w:pPr>
            <w:r w:rsidRPr="00AC4DF6">
              <w:rPr>
                <w:rFonts w:ascii="Tahoma" w:hAnsi="Tahoma"/>
                <w:i/>
                <w:color w:val="000000" w:themeColor="text1"/>
                <w:sz w:val="14"/>
              </w:rPr>
              <w:t>(Planned changes)</w:t>
            </w:r>
          </w:p>
        </w:tc>
        <w:tc>
          <w:tcPr>
            <w:tcW w:w="3799" w:type="dxa"/>
            <w:tcBorders>
              <w:top w:val="single" w:sz="8" w:space="0" w:color="auto"/>
            </w:tcBorders>
            <w:shd w:val="clear" w:color="auto" w:fill="auto"/>
          </w:tcPr>
          <w:p w14:paraId="5D27D47F" w14:textId="77777777" w:rsidR="00FD2DA7" w:rsidRPr="00AC4DF6" w:rsidRDefault="00FD2DA7" w:rsidP="00733135">
            <w:pPr>
              <w:jc w:val="left"/>
              <w:rPr>
                <w:rFonts w:cs="Arial"/>
                <w:color w:val="000000" w:themeColor="text1"/>
                <w:sz w:val="20"/>
              </w:rPr>
            </w:pPr>
          </w:p>
        </w:tc>
        <w:tc>
          <w:tcPr>
            <w:tcW w:w="2268" w:type="dxa"/>
            <w:tcBorders>
              <w:top w:val="single" w:sz="8" w:space="0" w:color="auto"/>
            </w:tcBorders>
            <w:shd w:val="clear" w:color="auto" w:fill="auto"/>
          </w:tcPr>
          <w:p w14:paraId="5D27D480" w14:textId="77777777" w:rsidR="00FD2DA7" w:rsidRPr="00AC4DF6" w:rsidRDefault="00FD2DA7" w:rsidP="009B6A9A">
            <w:pPr>
              <w:jc w:val="left"/>
              <w:rPr>
                <w:rFonts w:cs="Arial"/>
                <w:color w:val="000000" w:themeColor="text1"/>
                <w:sz w:val="20"/>
              </w:rPr>
            </w:pPr>
          </w:p>
        </w:tc>
      </w:tr>
      <w:tr w:rsidR="00FD2DA7" w:rsidRPr="00AC4DF6" w14:paraId="5D27D488" w14:textId="77777777" w:rsidTr="00733135">
        <w:trPr>
          <w:cantSplit/>
          <w:trHeight w:val="454"/>
          <w:jc w:val="center"/>
        </w:trPr>
        <w:tc>
          <w:tcPr>
            <w:tcW w:w="340" w:type="dxa"/>
            <w:vMerge/>
            <w:shd w:val="clear" w:color="auto" w:fill="auto"/>
          </w:tcPr>
          <w:p w14:paraId="5D27D482" w14:textId="77777777" w:rsidR="00FD2DA7" w:rsidRPr="00AC4DF6" w:rsidRDefault="00FD2DA7" w:rsidP="00733135">
            <w:pPr>
              <w:jc w:val="center"/>
              <w:rPr>
                <w:color w:val="000000" w:themeColor="text1"/>
              </w:rPr>
            </w:pPr>
          </w:p>
        </w:tc>
        <w:tc>
          <w:tcPr>
            <w:tcW w:w="397" w:type="dxa"/>
            <w:shd w:val="clear" w:color="auto" w:fill="auto"/>
          </w:tcPr>
          <w:p w14:paraId="5D27D483" w14:textId="77777777" w:rsidR="00FD2DA7" w:rsidRPr="00AC4DF6" w:rsidRDefault="00FD2DA7" w:rsidP="00733135">
            <w:pPr>
              <w:jc w:val="center"/>
              <w:rPr>
                <w:rFonts w:cs="Arial"/>
                <w:color w:val="000000" w:themeColor="text1"/>
                <w:sz w:val="18"/>
                <w:szCs w:val="18"/>
              </w:rPr>
            </w:pPr>
            <w:r w:rsidRPr="00AC4DF6">
              <w:rPr>
                <w:color w:val="000000" w:themeColor="text1"/>
                <w:sz w:val="18"/>
              </w:rPr>
              <w:t>13</w:t>
            </w:r>
          </w:p>
        </w:tc>
        <w:tc>
          <w:tcPr>
            <w:tcW w:w="2835" w:type="dxa"/>
            <w:shd w:val="clear" w:color="auto" w:fill="auto"/>
          </w:tcPr>
          <w:p w14:paraId="5D27D484" w14:textId="77777777" w:rsidR="00FD2DA7" w:rsidRPr="00AC4DF6" w:rsidRDefault="00FD2DA7" w:rsidP="00733135">
            <w:pPr>
              <w:jc w:val="left"/>
              <w:rPr>
                <w:rFonts w:cs="Arial"/>
                <w:color w:val="000000" w:themeColor="text1"/>
                <w:sz w:val="18"/>
                <w:szCs w:val="18"/>
              </w:rPr>
            </w:pPr>
            <w:r w:rsidRPr="00AC4DF6">
              <w:rPr>
                <w:color w:val="000000" w:themeColor="text1"/>
                <w:sz w:val="18"/>
              </w:rPr>
              <w:t>Referentni dokumenti</w:t>
            </w:r>
          </w:p>
          <w:p w14:paraId="5D27D485"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(References)</w:t>
            </w:r>
          </w:p>
        </w:tc>
        <w:tc>
          <w:tcPr>
            <w:tcW w:w="3799" w:type="dxa"/>
            <w:shd w:val="clear" w:color="auto" w:fill="auto"/>
          </w:tcPr>
          <w:p w14:paraId="0ADB1DB0" w14:textId="77777777" w:rsidR="00FD2DA7" w:rsidRPr="00AC4DF6" w:rsidRDefault="00E87A8D" w:rsidP="00733135">
            <w:pPr>
              <w:jc w:val="left"/>
              <w:rPr>
                <w:rFonts w:cs="Arial"/>
                <w:color w:val="000000" w:themeColor="text1"/>
                <w:sz w:val="20"/>
              </w:rPr>
            </w:pPr>
            <w:r w:rsidRPr="00AC4DF6">
              <w:rPr>
                <w:color w:val="000000" w:themeColor="text1"/>
                <w:sz w:val="20"/>
              </w:rPr>
              <w:t xml:space="preserve">CEPT ERC/14-01; </w:t>
            </w:r>
            <w:r w:rsidRPr="00AC4DF6">
              <w:rPr>
                <w:color w:val="000000" w:themeColor="text1"/>
                <w:sz w:val="20"/>
              </w:rPr>
              <w:br/>
              <w:t>CEPT ERC/REC 74-01; ITU-R F.383-10</w:t>
            </w:r>
          </w:p>
          <w:p w14:paraId="5D27D486" w14:textId="48AE2C1A" w:rsidR="002923BE" w:rsidRPr="00AC4DF6" w:rsidRDefault="002923BE" w:rsidP="002923BE">
            <w:pPr>
              <w:jc w:val="left"/>
              <w:rPr>
                <w:rFonts w:cs="Arial"/>
                <w:color w:val="000000" w:themeColor="text1"/>
                <w:sz w:val="20"/>
              </w:rPr>
            </w:pPr>
            <w:r w:rsidRPr="00AC4DF6">
              <w:rPr>
                <w:color w:val="000000" w:themeColor="text1"/>
                <w:sz w:val="20"/>
              </w:rPr>
              <w:t xml:space="preserve">EN 302 217-1; EN 302 217-2; </w:t>
            </w:r>
            <w:r w:rsidRPr="00AC4DF6">
              <w:rPr>
                <w:color w:val="000000" w:themeColor="text1"/>
                <w:sz w:val="20"/>
              </w:rPr>
              <w:br/>
              <w:t xml:space="preserve">EN 302 217-4 </w:t>
            </w:r>
          </w:p>
        </w:tc>
        <w:tc>
          <w:tcPr>
            <w:tcW w:w="2268" w:type="dxa"/>
            <w:shd w:val="clear" w:color="auto" w:fill="auto"/>
          </w:tcPr>
          <w:p w14:paraId="5D27D487" w14:textId="06522F1F" w:rsidR="00FD2DA7" w:rsidRPr="00AC4DF6" w:rsidRDefault="00FD2DA7" w:rsidP="009B6A9A">
            <w:pPr>
              <w:jc w:val="left"/>
              <w:rPr>
                <w:rFonts w:cs="Arial"/>
                <w:color w:val="000000" w:themeColor="text1"/>
                <w:sz w:val="20"/>
              </w:rPr>
            </w:pPr>
          </w:p>
        </w:tc>
      </w:tr>
      <w:tr w:rsidR="00FD2DA7" w:rsidRPr="00AC4DF6" w14:paraId="5D27D48F" w14:textId="77777777" w:rsidTr="00733135">
        <w:trPr>
          <w:cantSplit/>
          <w:trHeight w:val="454"/>
          <w:jc w:val="center"/>
        </w:trPr>
        <w:tc>
          <w:tcPr>
            <w:tcW w:w="340" w:type="dxa"/>
            <w:vMerge/>
            <w:shd w:val="clear" w:color="auto" w:fill="auto"/>
          </w:tcPr>
          <w:p w14:paraId="5D27D489" w14:textId="77777777" w:rsidR="00FD2DA7" w:rsidRPr="00AC4DF6" w:rsidRDefault="00FD2DA7" w:rsidP="00733135">
            <w:pPr>
              <w:jc w:val="center"/>
              <w:rPr>
                <w:color w:val="000000" w:themeColor="text1"/>
              </w:rPr>
            </w:pPr>
          </w:p>
        </w:tc>
        <w:tc>
          <w:tcPr>
            <w:tcW w:w="397" w:type="dxa"/>
            <w:shd w:val="clear" w:color="auto" w:fill="auto"/>
          </w:tcPr>
          <w:p w14:paraId="5D27D48A" w14:textId="77777777" w:rsidR="00FD2DA7" w:rsidRPr="00AC4DF6" w:rsidRDefault="00FD2DA7" w:rsidP="00733135">
            <w:pPr>
              <w:jc w:val="center"/>
              <w:rPr>
                <w:rFonts w:cs="Arial"/>
                <w:color w:val="000000" w:themeColor="text1"/>
                <w:sz w:val="18"/>
                <w:szCs w:val="18"/>
              </w:rPr>
            </w:pPr>
            <w:r w:rsidRPr="00AC4DF6">
              <w:rPr>
                <w:color w:val="000000" w:themeColor="text1"/>
                <w:sz w:val="18"/>
              </w:rPr>
              <w:t>14</w:t>
            </w:r>
          </w:p>
        </w:tc>
        <w:tc>
          <w:tcPr>
            <w:tcW w:w="2835" w:type="dxa"/>
            <w:shd w:val="clear" w:color="auto" w:fill="auto"/>
          </w:tcPr>
          <w:p w14:paraId="5D27D48B" w14:textId="77777777" w:rsidR="00FD2DA7" w:rsidRPr="00AC4DF6" w:rsidRDefault="00FD2DA7" w:rsidP="00733135">
            <w:pPr>
              <w:jc w:val="left"/>
              <w:rPr>
                <w:rFonts w:cs="Arial"/>
                <w:color w:val="000000" w:themeColor="text1"/>
                <w:sz w:val="18"/>
                <w:szCs w:val="18"/>
              </w:rPr>
            </w:pPr>
            <w:r w:rsidRPr="00AC4DF6">
              <w:rPr>
                <w:color w:val="000000" w:themeColor="text1"/>
                <w:sz w:val="18"/>
              </w:rPr>
              <w:t>Broj obavijesti</w:t>
            </w:r>
          </w:p>
          <w:p w14:paraId="5D27D48C"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(Notification number)</w:t>
            </w:r>
          </w:p>
        </w:tc>
        <w:tc>
          <w:tcPr>
            <w:tcW w:w="3799" w:type="dxa"/>
            <w:shd w:val="clear" w:color="auto" w:fill="auto"/>
          </w:tcPr>
          <w:p w14:paraId="5D27D48D" w14:textId="77777777" w:rsidR="00FD2DA7" w:rsidRPr="00AC4DF6" w:rsidRDefault="00FD2DA7" w:rsidP="00733135">
            <w:pPr>
              <w:jc w:val="left"/>
              <w:rPr>
                <w:rFonts w:cs="Arial"/>
                <w:color w:val="000000" w:themeColor="text1"/>
                <w:sz w:val="20"/>
              </w:rPr>
            </w:pPr>
          </w:p>
        </w:tc>
        <w:tc>
          <w:tcPr>
            <w:tcW w:w="2268" w:type="dxa"/>
            <w:shd w:val="clear" w:color="auto" w:fill="auto"/>
          </w:tcPr>
          <w:p w14:paraId="5D27D48E" w14:textId="77777777" w:rsidR="00FD2DA7" w:rsidRPr="00AC4DF6" w:rsidRDefault="00FD2DA7" w:rsidP="009B6A9A">
            <w:pPr>
              <w:jc w:val="left"/>
              <w:rPr>
                <w:rFonts w:cs="Arial"/>
                <w:color w:val="000000" w:themeColor="text1"/>
                <w:sz w:val="20"/>
              </w:rPr>
            </w:pPr>
          </w:p>
        </w:tc>
      </w:tr>
      <w:tr w:rsidR="00FD2DA7" w:rsidRPr="00AC4DF6" w14:paraId="5D27D496" w14:textId="77777777" w:rsidTr="00733135">
        <w:trPr>
          <w:cantSplit/>
          <w:trHeight w:val="454"/>
          <w:jc w:val="center"/>
        </w:trPr>
        <w:tc>
          <w:tcPr>
            <w:tcW w:w="340" w:type="dxa"/>
            <w:vMerge/>
            <w:shd w:val="clear" w:color="auto" w:fill="auto"/>
          </w:tcPr>
          <w:p w14:paraId="5D27D490" w14:textId="77777777" w:rsidR="00FD2DA7" w:rsidRPr="00AC4DF6" w:rsidRDefault="00FD2DA7" w:rsidP="00733135">
            <w:pPr>
              <w:jc w:val="center"/>
              <w:rPr>
                <w:color w:val="000000" w:themeColor="text1"/>
              </w:rPr>
            </w:pPr>
          </w:p>
        </w:tc>
        <w:tc>
          <w:tcPr>
            <w:tcW w:w="397" w:type="dxa"/>
            <w:shd w:val="clear" w:color="auto" w:fill="auto"/>
          </w:tcPr>
          <w:p w14:paraId="5D27D491" w14:textId="77777777" w:rsidR="00FD2DA7" w:rsidRPr="00AC4DF6" w:rsidRDefault="00FD2DA7" w:rsidP="00733135">
            <w:pPr>
              <w:jc w:val="center"/>
              <w:rPr>
                <w:rFonts w:cs="Arial"/>
                <w:color w:val="000000" w:themeColor="text1"/>
                <w:sz w:val="18"/>
                <w:szCs w:val="18"/>
              </w:rPr>
            </w:pPr>
            <w:r w:rsidRPr="00AC4DF6">
              <w:rPr>
                <w:color w:val="000000" w:themeColor="text1"/>
                <w:sz w:val="18"/>
              </w:rPr>
              <w:t>15</w:t>
            </w:r>
          </w:p>
        </w:tc>
        <w:tc>
          <w:tcPr>
            <w:tcW w:w="2835" w:type="dxa"/>
            <w:shd w:val="clear" w:color="auto" w:fill="auto"/>
          </w:tcPr>
          <w:p w14:paraId="5D27D492" w14:textId="77777777" w:rsidR="00FD2DA7" w:rsidRPr="00AC4DF6" w:rsidRDefault="00FD2DA7" w:rsidP="00733135">
            <w:pPr>
              <w:jc w:val="left"/>
              <w:rPr>
                <w:rFonts w:cs="Arial"/>
                <w:color w:val="000000" w:themeColor="text1"/>
                <w:sz w:val="18"/>
                <w:szCs w:val="18"/>
              </w:rPr>
            </w:pPr>
            <w:r w:rsidRPr="00AC4DF6">
              <w:rPr>
                <w:color w:val="000000" w:themeColor="text1"/>
                <w:sz w:val="18"/>
              </w:rPr>
              <w:t>Napomene</w:t>
            </w:r>
          </w:p>
          <w:p w14:paraId="5D27D493" w14:textId="77777777" w:rsidR="00FD2DA7" w:rsidRPr="00AC4DF6" w:rsidRDefault="00FD2DA7" w:rsidP="00733135">
            <w:pPr>
              <w:spacing w:before="60"/>
              <w:jc w:val="left"/>
              <w:rPr>
                <w:rFonts w:cs="Arial"/>
                <w:color w:val="000000" w:themeColor="text1"/>
                <w:sz w:val="18"/>
                <w:szCs w:val="18"/>
              </w:rPr>
            </w:pPr>
            <w:r w:rsidRPr="00AC4DF6">
              <w:rPr>
                <w:rFonts w:ascii="Tahoma" w:hAnsi="Tahoma"/>
                <w:i/>
                <w:color w:val="000000" w:themeColor="text1"/>
                <w:sz w:val="14"/>
              </w:rPr>
              <w:t>(Remarks)</w:t>
            </w:r>
          </w:p>
        </w:tc>
        <w:tc>
          <w:tcPr>
            <w:tcW w:w="3799" w:type="dxa"/>
            <w:shd w:val="clear" w:color="auto" w:fill="auto"/>
          </w:tcPr>
          <w:p w14:paraId="5D27D494" w14:textId="77777777" w:rsidR="00FD2DA7" w:rsidRPr="00AC4DF6" w:rsidRDefault="00FD2DA7" w:rsidP="00733135">
            <w:pPr>
              <w:jc w:val="left"/>
              <w:rPr>
                <w:rFonts w:cs="Arial"/>
                <w:color w:val="000000" w:themeColor="text1"/>
                <w:sz w:val="20"/>
              </w:rPr>
            </w:pPr>
          </w:p>
        </w:tc>
        <w:tc>
          <w:tcPr>
            <w:tcW w:w="2268" w:type="dxa"/>
            <w:shd w:val="clear" w:color="auto" w:fill="auto"/>
          </w:tcPr>
          <w:p w14:paraId="5D27D495" w14:textId="77777777" w:rsidR="00FD2DA7" w:rsidRPr="00AC4DF6" w:rsidRDefault="00FD2DA7" w:rsidP="009B6A9A">
            <w:pPr>
              <w:jc w:val="left"/>
              <w:rPr>
                <w:rFonts w:cs="Arial"/>
                <w:color w:val="000000" w:themeColor="text1"/>
                <w:sz w:val="20"/>
              </w:rPr>
            </w:pPr>
          </w:p>
        </w:tc>
      </w:tr>
    </w:tbl>
    <w:p w14:paraId="5D27D4A8" w14:textId="2682C789" w:rsidR="00260C39" w:rsidRDefault="00260C39">
      <w:pPr>
        <w:pStyle w:val="Header"/>
        <w:tabs>
          <w:tab w:val="clear" w:pos="4536"/>
          <w:tab w:val="clear" w:pos="9072"/>
        </w:tabs>
        <w:rPr>
          <w:rFonts w:cs="Arial"/>
        </w:rPr>
      </w:pPr>
    </w:p>
    <w:sectPr w:rsidR="00260C39" w:rsidSect="0053074E">
      <w:pgSz w:w="11906" w:h="16838" w:code="9"/>
      <w:pgMar w:top="1134"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F758" w14:textId="77777777" w:rsidR="0070642D" w:rsidRDefault="0070642D">
      <w:r>
        <w:separator/>
      </w:r>
    </w:p>
  </w:endnote>
  <w:endnote w:type="continuationSeparator" w:id="0">
    <w:p w14:paraId="272CB5EC" w14:textId="77777777" w:rsidR="0070642D" w:rsidRDefault="0070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B4" w14:textId="526F781A"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 xml:space="preserve">Status </w:t>
    </w:r>
    <w:r>
      <w:rPr>
        <w:rFonts w:ascii="Verdana" w:hAnsi="Verdana"/>
        <w:b w:val="0"/>
        <w:vanish w:val="0"/>
        <w:color w:val="000000" w:themeColor="text1"/>
        <w:sz w:val="14"/>
      </w:rPr>
      <w:t>obrade: 2 Veljača 2022.</w:t>
    </w:r>
    <w:r>
      <w:rPr>
        <w:rFonts w:ascii="Verdana" w:hAnsi="Verdana"/>
        <w:b w:val="0"/>
        <w:vanish w:val="0"/>
        <w:color w:val="000000" w:themeColor="text1"/>
        <w:sz w:val="14"/>
      </w:rPr>
      <w:tab/>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PAGE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3</w:t>
    </w:r>
    <w:r w:rsidRPr="00823F89">
      <w:rPr>
        <w:rFonts w:ascii="Verdana" w:hAnsi="Verdana"/>
        <w:b w:val="0"/>
        <w:vanish w:val="0"/>
        <w:color w:val="000000" w:themeColor="text1"/>
        <w:sz w:val="14"/>
      </w:rPr>
      <w:fldChar w:fldCharType="end"/>
    </w:r>
    <w:r>
      <w:rPr>
        <w:rFonts w:ascii="Verdana" w:hAnsi="Verdana"/>
        <w:b w:val="0"/>
        <w:vanish w:val="0"/>
        <w:color w:val="000000" w:themeColor="text1"/>
        <w:sz w:val="14"/>
      </w:rPr>
      <w:t xml:space="preserve"> / </w:t>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NUMPAGES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B9" w14:textId="77777777" w:rsidR="009C3D7A" w:rsidRPr="00206B7E" w:rsidRDefault="009C3D7A">
    <w:pPr>
      <w:pStyle w:val="Footer"/>
      <w:rPr>
        <w:rFonts w:ascii="Verdana" w:hAnsi="Verdana"/>
        <w:b w:val="0"/>
        <w:bCs w:val="0"/>
        <w:sz w:val="14"/>
        <w:szCs w:val="14"/>
      </w:rPr>
    </w:pPr>
  </w:p>
  <w:p w14:paraId="5D27D4BA" w14:textId="77777777" w:rsidR="009C3D7A" w:rsidRPr="00CB55BF" w:rsidRDefault="009C3D7A" w:rsidP="001778D0">
    <w:pPr>
      <w:pStyle w:val="NotifizierungNr"/>
      <w:rPr>
        <w:rFonts w:ascii="Verdana" w:hAnsi="Verdana" w:cs="Tahoma"/>
        <w:color w:val="FFFFFF"/>
        <w:sz w:val="22"/>
        <w:szCs w:val="22"/>
      </w:rPr>
    </w:pPr>
    <w:r w:rsidRPr="00DF77E6">
      <w:rPr>
        <w:rFonts w:ascii="Verdana" w:hAnsi="Verdana" w:cs="Tahoma"/>
        <w:color w:val="FFFFFF"/>
        <w:sz w:val="22"/>
        <w:szCs w:val="22"/>
        <w:lang w:val="de-DE"/>
      </w:rPr>
      <w:t xml:space="preserve">Die Notifizierung ist bei der Kommission unter der Nr.  </w:t>
    </w:r>
    <w:r w:rsidRPr="00CB55BF">
      <w:rPr>
        <w:rFonts w:ascii="Verdana" w:hAnsi="Verdana" w:cs="Tahoma"/>
        <w:color w:val="FFFFFF"/>
        <w:sz w:val="22"/>
        <w:szCs w:val="22"/>
      </w:rPr>
      <w:t>xxxx/xxxx/D  registriert.</w:t>
    </w:r>
  </w:p>
  <w:p w14:paraId="5D27D4BB" w14:textId="77777777" w:rsidR="009C3D7A" w:rsidRPr="00206B7E" w:rsidRDefault="009C3D7A">
    <w:pPr>
      <w:pStyle w:val="Footer"/>
      <w:rPr>
        <w:rFonts w:ascii="Verdana" w:hAnsi="Verdana"/>
        <w:b w:val="0"/>
        <w:bCs w:val="0"/>
        <w:vanish w:val="0"/>
        <w:sz w:val="14"/>
        <w:szCs w:val="14"/>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142" w:type="dxa"/>
        <w:bottom w:w="57" w:type="dxa"/>
        <w:right w:w="142" w:type="dxa"/>
      </w:tblCellMar>
      <w:tblLook w:val="0000" w:firstRow="0" w:lastRow="0" w:firstColumn="0" w:lastColumn="0" w:noHBand="0" w:noVBand="0"/>
    </w:tblPr>
    <w:tblGrid>
      <w:gridCol w:w="9639"/>
    </w:tblGrid>
    <w:tr w:rsidR="009C3D7A" w14:paraId="5D27D4BD" w14:textId="77777777" w:rsidTr="005D0E3B">
      <w:trPr>
        <w:cantSplit/>
        <w:jc w:val="center"/>
      </w:trPr>
      <w:tc>
        <w:tcPr>
          <w:tcW w:w="8505" w:type="dxa"/>
          <w:vAlign w:val="center"/>
        </w:tcPr>
        <w:p w14:paraId="5D27D4BC" w14:textId="05C148C8" w:rsidR="009C3D7A" w:rsidRPr="00823F89" w:rsidRDefault="005D0E3B" w:rsidP="005D0E3B">
          <w:pPr>
            <w:pStyle w:val="Fuzeile2"/>
            <w:rPr>
              <w:rFonts w:ascii="Verdana" w:hAnsi="Verdana"/>
              <w:color w:val="000000" w:themeColor="text1"/>
              <w:sz w:val="14"/>
              <w:szCs w:val="14"/>
            </w:rPr>
          </w:pPr>
          <w:r>
            <w:rPr>
              <w:rFonts w:ascii="Verdana" w:hAnsi="Verdana"/>
              <w:color w:val="000000" w:themeColor="text1"/>
              <w:sz w:val="14"/>
            </w:rPr>
            <w:t>Priopćeno u skladu s Direktivom (EU) 2015/1535 Europskog parlamenta i Vijeća od 9. rujna 2015. o utvrđivanju postupka pružanja informacija u području tehničkih propisa i pravila o uslugama informacijskog društva (SL L 241, 17.9.2015., str. 1.).</w:t>
          </w:r>
        </w:p>
      </w:tc>
    </w:tr>
  </w:tbl>
  <w:p w14:paraId="5D27D4BE" w14:textId="77777777" w:rsidR="009C3D7A" w:rsidRPr="00206B7E" w:rsidRDefault="009C3D7A">
    <w:pPr>
      <w:pStyle w:val="Footer"/>
      <w:rPr>
        <w:rFonts w:ascii="Verdana" w:hAnsi="Verdana"/>
        <w:b w:val="0"/>
        <w:bCs w:val="0"/>
        <w:vanish w:val="0"/>
        <w:sz w:val="14"/>
        <w:szCs w:val="14"/>
      </w:rPr>
    </w:pPr>
  </w:p>
  <w:p w14:paraId="5D27D4BF" w14:textId="77777777" w:rsidR="009C3D7A" w:rsidRPr="00206B7E" w:rsidRDefault="009C3D7A">
    <w:pPr>
      <w:pStyle w:val="Footer"/>
      <w:rPr>
        <w:rFonts w:ascii="Verdana" w:hAnsi="Verdana"/>
        <w:b w:val="0"/>
        <w:bCs w:val="0"/>
        <w:vanish w:val="0"/>
        <w:sz w:val="14"/>
        <w:szCs w:val="14"/>
      </w:rPr>
    </w:pPr>
  </w:p>
  <w:p w14:paraId="5D27D4C0" w14:textId="77777777" w:rsidR="009C3D7A" w:rsidRPr="00206B7E" w:rsidRDefault="009C3D7A">
    <w:pPr>
      <w:pStyle w:val="Footer"/>
      <w:rPr>
        <w:rFonts w:ascii="Verdana" w:hAnsi="Verdana"/>
        <w:b w:val="0"/>
        <w:bCs w:val="0"/>
        <w:vanish w:val="0"/>
        <w:sz w:val="14"/>
        <w:szCs w:val="14"/>
      </w:rPr>
    </w:pPr>
  </w:p>
  <w:p w14:paraId="5D27D4C1" w14:textId="602DCDA7"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Status obrade: 2 Veljača 2022.</w:t>
    </w:r>
    <w:r>
      <w:rPr>
        <w:rFonts w:ascii="Verdana" w:hAnsi="Verdana"/>
        <w:b w:val="0"/>
        <w:vanish w:val="0"/>
        <w:color w:val="000000" w:themeColor="text1"/>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C9" w14:textId="55CA963E"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 xml:space="preserve">Status </w:t>
    </w:r>
    <w:r>
      <w:rPr>
        <w:rFonts w:ascii="Verdana" w:hAnsi="Verdana"/>
        <w:b w:val="0"/>
        <w:vanish w:val="0"/>
        <w:color w:val="000000" w:themeColor="text1"/>
        <w:sz w:val="14"/>
      </w:rPr>
      <w:t>obrade: 2 Veljača 2022.</w:t>
    </w:r>
    <w:r>
      <w:rPr>
        <w:rFonts w:ascii="Verdana" w:hAnsi="Verdana"/>
        <w:b w:val="0"/>
        <w:vanish w:val="0"/>
        <w:color w:val="000000" w:themeColor="text1"/>
        <w:sz w:val="14"/>
      </w:rPr>
      <w:tab/>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PAGE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2</w:t>
    </w:r>
    <w:r w:rsidRPr="00823F89">
      <w:rPr>
        <w:rFonts w:ascii="Verdana" w:hAnsi="Verdana"/>
        <w:b w:val="0"/>
        <w:vanish w:val="0"/>
        <w:color w:val="000000" w:themeColor="text1"/>
        <w:sz w:val="14"/>
      </w:rPr>
      <w:fldChar w:fldCharType="end"/>
    </w:r>
    <w:r>
      <w:rPr>
        <w:rFonts w:ascii="Verdana" w:hAnsi="Verdana"/>
        <w:b w:val="0"/>
        <w:vanish w:val="0"/>
        <w:color w:val="000000" w:themeColor="text1"/>
        <w:sz w:val="14"/>
      </w:rPr>
      <w:t xml:space="preserve"> / </w:t>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NUMPAGES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AEA5" w14:textId="77777777" w:rsidR="0070642D" w:rsidRDefault="0070642D">
      <w:r>
        <w:separator/>
      </w:r>
    </w:p>
  </w:footnote>
  <w:footnote w:type="continuationSeparator" w:id="0">
    <w:p w14:paraId="45321E21" w14:textId="77777777" w:rsidR="0070642D" w:rsidRDefault="0070642D">
      <w:r>
        <w:continuationSeparator/>
      </w:r>
    </w:p>
  </w:footnote>
  <w:footnote w:id="1">
    <w:p w14:paraId="5D27D4CF" w14:textId="77777777" w:rsidR="009C3D7A" w:rsidRDefault="009C3D7A" w:rsidP="004A212D">
      <w:pPr>
        <w:pStyle w:val="FootnoteText"/>
      </w:pPr>
      <w:r>
        <w:rPr>
          <w:rStyle w:val="FootnoteReference"/>
          <w:szCs w:val="18"/>
        </w:rPr>
        <w:footnoteRef/>
      </w:r>
      <w:r>
        <w:tab/>
      </w:r>
      <w:r>
        <w:rPr>
          <w:color w:val="000000"/>
        </w:rPr>
        <w:t>Radijski propisi dostupni su na arapskom, kineskom, engleskom, francuskom, ruskom i španjolskom jeziku. U svim slučajevima spora ili sumnje francuski tekst ima prednost.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7" w:type="dxa"/>
        <w:left w:w="0" w:type="dxa"/>
        <w:bottom w:w="57" w:type="dxa"/>
        <w:right w:w="0" w:type="dxa"/>
      </w:tblCellMar>
      <w:tblLook w:val="01E0" w:firstRow="1" w:lastRow="1" w:firstColumn="1" w:lastColumn="1" w:noHBand="0" w:noVBand="0"/>
    </w:tblPr>
    <w:tblGrid>
      <w:gridCol w:w="397"/>
      <w:gridCol w:w="1701"/>
      <w:gridCol w:w="5160"/>
      <w:gridCol w:w="1247"/>
      <w:gridCol w:w="1134"/>
    </w:tblGrid>
    <w:tr w:rsidR="009C3D7A" w:rsidRPr="00733135" w14:paraId="5D27D4B2" w14:textId="77777777" w:rsidTr="00733135">
      <w:trPr>
        <w:cantSplit/>
        <w:trHeight w:val="113"/>
      </w:trPr>
      <w:tc>
        <w:tcPr>
          <w:tcW w:w="397" w:type="dxa"/>
          <w:shd w:val="clear" w:color="auto" w:fill="auto"/>
          <w:vAlign w:val="center"/>
        </w:tcPr>
        <w:p w14:paraId="5D27D4AD"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HR</w:t>
          </w:r>
        </w:p>
      </w:tc>
      <w:tc>
        <w:tcPr>
          <w:tcW w:w="1701" w:type="dxa"/>
          <w:shd w:val="clear" w:color="auto" w:fill="auto"/>
          <w:vAlign w:val="center"/>
        </w:tcPr>
        <w:p w14:paraId="5D27D4AE"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Specifikacija sučelja</w:t>
          </w:r>
        </w:p>
      </w:tc>
      <w:tc>
        <w:tcPr>
          <w:tcW w:w="5160" w:type="dxa"/>
          <w:shd w:val="clear" w:color="auto" w:fill="auto"/>
          <w:vAlign w:val="center"/>
        </w:tcPr>
        <w:p w14:paraId="5D27D4AF" w14:textId="6558BD2D" w:rsidR="009C3D7A" w:rsidRPr="00823F89" w:rsidRDefault="008A4D11"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Radiorelejska oprema u rasponu od 6,2 GHz (T-T)</w:t>
          </w:r>
        </w:p>
      </w:tc>
      <w:tc>
        <w:tcPr>
          <w:tcW w:w="1247" w:type="dxa"/>
          <w:shd w:val="clear" w:color="auto" w:fill="auto"/>
          <w:vAlign w:val="center"/>
        </w:tcPr>
        <w:p w14:paraId="5D27D4B0" w14:textId="10FE496A" w:rsidR="009C3D7A" w:rsidRPr="00823F89" w:rsidRDefault="009C3D7A" w:rsidP="003F6241">
          <w:pPr>
            <w:pStyle w:val="Header"/>
            <w:jc w:val="center"/>
            <w:rPr>
              <w:rFonts w:ascii="Arial Narrow" w:hAnsi="Arial Narrow"/>
              <w:color w:val="000000" w:themeColor="text1"/>
              <w:sz w:val="16"/>
              <w:szCs w:val="16"/>
            </w:rPr>
          </w:pPr>
          <w:r>
            <w:rPr>
              <w:rFonts w:ascii="Arial Narrow" w:hAnsi="Arial Narrow"/>
              <w:color w:val="000000" w:themeColor="text1"/>
              <w:sz w:val="16"/>
            </w:rPr>
            <w:t>SSB FE-OE 058</w:t>
          </w:r>
        </w:p>
      </w:tc>
      <w:tc>
        <w:tcPr>
          <w:tcW w:w="1134" w:type="dxa"/>
          <w:shd w:val="clear" w:color="auto" w:fill="auto"/>
          <w:vAlign w:val="center"/>
        </w:tcPr>
        <w:p w14:paraId="5D27D4B1" w14:textId="704F1E79" w:rsidR="009C3D7A" w:rsidRPr="00823F89" w:rsidRDefault="00300659" w:rsidP="00300659">
          <w:pPr>
            <w:pStyle w:val="Header"/>
            <w:jc w:val="center"/>
            <w:rPr>
              <w:rFonts w:ascii="Arial Narrow" w:hAnsi="Arial Narrow"/>
              <w:color w:val="000000" w:themeColor="text1"/>
              <w:sz w:val="16"/>
              <w:szCs w:val="16"/>
            </w:rPr>
          </w:pPr>
          <w:r>
            <w:rPr>
              <w:rFonts w:ascii="Arial Narrow" w:hAnsi="Arial Narrow"/>
              <w:color w:val="000000" w:themeColor="text1"/>
              <w:sz w:val="16"/>
            </w:rPr>
            <w:t>Veljača 2022.</w:t>
          </w:r>
        </w:p>
      </w:tc>
    </w:tr>
  </w:tbl>
  <w:p w14:paraId="5D27D4B3" w14:textId="7BB166FB" w:rsidR="009C3D7A" w:rsidRPr="0013052E" w:rsidRDefault="000F4A2F" w:rsidP="00445475">
    <w:pPr>
      <w:pStyle w:val="Header"/>
      <w:rPr>
        <w:sz w:val="12"/>
        <w:szCs w:val="12"/>
      </w:rPr>
    </w:pPr>
    <w:r>
      <w:rPr>
        <w:noProof/>
        <w:sz w:val="12"/>
      </w:rPr>
      <mc:AlternateContent>
        <mc:Choice Requires="wps">
          <w:drawing>
            <wp:anchor distT="0" distB="0" distL="114300" distR="114300" simplePos="0" relativeHeight="251658752" behindDoc="1" locked="1" layoutInCell="1" allowOverlap="1" wp14:anchorId="5D27D4CA" wp14:editId="1399507C">
              <wp:simplePos x="0" y="0"/>
              <wp:positionH relativeFrom="margin">
                <wp:posOffset>360045</wp:posOffset>
              </wp:positionH>
              <wp:positionV relativeFrom="margin">
                <wp:posOffset>3780790</wp:posOffset>
              </wp:positionV>
              <wp:extent cx="6047740" cy="1473200"/>
              <wp:effectExtent l="1390015" t="0" r="1270635" b="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68DD1238"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27D4CA" id="_x0000_t202" coordsize="21600,21600" o:spt="202" path="m,l,21600r21600,l21600,xe">
              <v:stroke joinstyle="miter"/>
              <v:path gradientshapeok="t" o:connecttype="rect"/>
            </v:shapetype>
            <v:shape id="WordArt 9" o:spid="_x0000_s1026" type="#_x0000_t202" style="position:absolute;left:0;text-align:left;margin-left:28.35pt;margin-top:297.7pt;width:476.2pt;height:116pt;rotation:-3961170fd;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H9wEAAMUDAAAOAAAAZHJzL2Uyb0RvYy54bWysU01v2zAMvQ/YfxB0b+yk+diMOEXWrrt0&#10;W4Gm6FmR5NibJWqUEjv/fpTiJsN6G+aDYJPU43vk8/KmNy07aPQN2JKPRzln2kpQjd2V/Hlzf/WB&#10;Mx+EVaIFq0t+1J7frN6/W3au0BOooVUaGYFYX3Su5HUIrsgyL2tthB+B05aSFaARgT5xlykUHaGb&#10;Npvk+TzrAJVDkNp7it6dknyV8KtKy/C9qrwOrC05cQvpxHRu45mtlqLYoXB1Iwca4h9YGNFYanqG&#10;uhNBsD02b6BMIxE8VGEkwWRQVY3USQOpGed/qXmqhdNJCw3Hu/OY/P+Dld8OT+4RWeg/QU8LTCK8&#10;ewD50zMLt7WwO71GhK7WQlHjMT+HE73N0dFaU3Sj+/BZNTTjcZxr1jlfDPhxH77wsdO2+wqKroh9&#10;gNStr9AwBLp2dT2fzGezjylMs2HEiJZ2PC+KGjBJwXk+XSymlJKUG08X12SF1FIUES0uwqEPXzQY&#10;Fl9KjuSEBCsODz5EdpeSgWpkd+IZ+m1PJZHyFtSRSHfkkJL7X3uBmgawN7dAhiLVFYJ5IQuuMcl+&#10;7bzpXwS6oXcg2o/tq0MSgWQVxawwcRLqBwGZlox3EC2b5fQMaobigewJNd71bk3ju2+SkgvPQQl5&#10;JQkcfB3N+Od3qrr8favfAAAA//8DAFBLAwQUAAYACAAAACEAWh3t294AAAAMAQAADwAAAGRycy9k&#10;b3ducmV2LnhtbEyP0U6DQBBF3038h82Y+NLYBawUkKVpTPsBoh8wZbeAZWcJu6X4945P+jgzJ3fO&#10;LXeLHcRsJt87UhCvIxCGGqd7ahV8fhyfMhA+IGkcHBkF38bDrrq/K7HQ7kbvZq5DKziEfIEKuhDG&#10;QkrfdMaiX7vREN/ObrIYeJxaqSe8cbgdZBJFqbTYE3/ocDRvnWku9dUqOEYrzBtayXqf6bn9Olxw&#10;yg9KPT4s+1cQwSzhD4ZffVaHip1O7krai0HBJk5zRhUkzy8JCCbSTcabE6Nxtk1BVqX8X6L6AQAA&#10;//8DAFBLAQItABQABgAIAAAAIQC2gziS/gAAAOEBAAATAAAAAAAAAAAAAAAAAAAAAABbQ29udGVu&#10;dF9UeXBlc10ueG1sUEsBAi0AFAAGAAgAAAAhADj9If/WAAAAlAEAAAsAAAAAAAAAAAAAAAAALwEA&#10;AF9yZWxzLy5yZWxzUEsBAi0AFAAGAAgAAAAhAFkvT8f3AQAAxQMAAA4AAAAAAAAAAAAAAAAALgIA&#10;AGRycy9lMm9Eb2MueG1sUEsBAi0AFAAGAAgAAAAhAFod7dveAAAADAEAAA8AAAAAAAAAAAAAAAAA&#10;UQQAAGRycy9kb3ducmV2LnhtbFBLBQYAAAAABAAEAPMAAABcBQAAAAA=&#10;" filled="f" fillcolor="silver" stroked="f">
              <v:fill opacity="16448f"/>
              <o:lock v:ext="edit" shapetype="t"/>
              <v:textbox style="mso-fit-shape-to-text:t">
                <w:txbxContent>
                  <w:p w14:paraId="68DD1238"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Nacrt</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2" w:space="0" w:color="000000"/>
      </w:tblBorders>
      <w:tblLayout w:type="fixed"/>
      <w:tblCellMar>
        <w:top w:w="28" w:type="dxa"/>
        <w:left w:w="0" w:type="dxa"/>
        <w:right w:w="0" w:type="dxa"/>
      </w:tblCellMar>
      <w:tblLook w:val="0000" w:firstRow="0" w:lastRow="0" w:firstColumn="0" w:lastColumn="0" w:noHBand="0" w:noVBand="0"/>
    </w:tblPr>
    <w:tblGrid>
      <w:gridCol w:w="3969"/>
      <w:gridCol w:w="5670"/>
    </w:tblGrid>
    <w:tr w:rsidR="009C3D7A" w14:paraId="5D27D4B7" w14:textId="77777777">
      <w:trPr>
        <w:cantSplit/>
        <w:trHeight w:val="1843"/>
        <w:jc w:val="center"/>
      </w:trPr>
      <w:tc>
        <w:tcPr>
          <w:tcW w:w="3969" w:type="dxa"/>
        </w:tcPr>
        <w:p w14:paraId="5D27D4B5" w14:textId="52EEFDF6" w:rsidR="009C3D7A" w:rsidRDefault="009F6793" w:rsidP="00BB5F61">
          <w:pPr>
            <w:pStyle w:val="Header"/>
            <w:spacing w:before="20"/>
            <w:jc w:val="left"/>
          </w:pPr>
          <w:r>
            <w:rPr>
              <w:noProof/>
            </w:rPr>
            <mc:AlternateContent>
              <mc:Choice Requires="wps">
                <w:drawing>
                  <wp:anchor distT="0" distB="0" distL="114300" distR="114300" simplePos="0" relativeHeight="251659776" behindDoc="0" locked="0" layoutInCell="1" allowOverlap="1" wp14:anchorId="5C6ACCAF" wp14:editId="00F7A6EB">
                    <wp:simplePos x="0" y="0"/>
                    <wp:positionH relativeFrom="column">
                      <wp:posOffset>720187</wp:posOffset>
                    </wp:positionH>
                    <wp:positionV relativeFrom="paragraph">
                      <wp:posOffset>10746</wp:posOffset>
                    </wp:positionV>
                    <wp:extent cx="1740877"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40877" cy="762000"/>
                            </a:xfrm>
                            <a:prstGeom prst="rect">
                              <a:avLst/>
                            </a:prstGeom>
                            <a:solidFill>
                              <a:schemeClr val="lt1"/>
                            </a:solidFill>
                            <a:ln w="6350">
                              <a:noFill/>
                            </a:ln>
                          </wps:spPr>
                          <wps:txbx>
                            <w:txbxContent>
                              <w:p w14:paraId="40B9AFC9" w14:textId="571CBADB" w:rsidR="009F6793" w:rsidRPr="009F6793" w:rsidRDefault="009F6793">
                                <w:pPr>
                                  <w:rPr>
                                    <w:b/>
                                    <w:bCs/>
                                  </w:rPr>
                                </w:pPr>
                                <w:r>
                                  <w:rPr>
                                    <w:b/>
                                  </w:rPr>
                                  <w:t xml:space="preserve">Njemačka </w:t>
                                </w:r>
                                <w:r>
                                  <w:rPr>
                                    <w:b/>
                                  </w:rPr>
                                  <w:t>savezna</w:t>
                                </w:r>
                                <w:r>
                                  <w:rPr>
                                    <w:b/>
                                  </w:rPr>
                                  <w:br/>
                                  <w:t>agencija za mreže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6ACCAF" id="_x0000_t202" coordsize="21600,21600" o:spt="202" path="m,l,21600r21600,l21600,xe">
                    <v:stroke joinstyle="miter"/>
                    <v:path gradientshapeok="t" o:connecttype="rect"/>
                  </v:shapetype>
                  <v:shape id="Text Box 5" o:spid="_x0000_s1027" type="#_x0000_t202" style="position:absolute;margin-left:56.7pt;margin-top:.85pt;width:137.1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MLLgIAAFsEAAAOAAAAZHJzL2Uyb0RvYy54bWysVEtv2zAMvg/YfxB0X+xkadIacYosRYYB&#10;RVsgHXpWZCkWIIuapMTOfv0oOa91Ow27yKRI8fF9pGf3XaPJXjivwJR0OMgpEYZDpcy2pN9fV59u&#10;KfGBmYppMKKkB+Hp/fzjh1lrCzGCGnQlHMEgxhetLWkdgi2yzPNaNMwPwAqDRgmuYQFVt80qx1qM&#10;3uhslOeTrAVXWQdceI+3D72RzlN8KQUPz1J6EYguKdYW0unSuYlnNp+xYuuYrRU/lsH+oYqGKYNJ&#10;z6EeWGBk59QfoRrFHXiQYcChyUBKxUXqAbsZ5u+6WdfMitQLguPtGSb//8Lyp/3avjgSui/QIYER&#10;kNb6wuNl7KeTrolfrJSgHSE8nGETXSA8PpqO89vplBKOtukEaUm4ZpfX1vnwVUBDolBSh7QktNj+&#10;0QfMiK4nl5jMg1bVSmmdlDgKYqkd2TMkUYdUI774zUsb0pZ08vkmT4ENxOd9ZG0wwaWnKIVu0xFV&#10;XfW7geqAMDjoJ8RbvlJY6yPz4YU5HAnsHMc8POMhNWAuOEqU1OB+/u0++iNTaKWkxRErqf+xY05Q&#10;or8Z5PBuOB7HmUzK+GY6QsVdWzbXFrNrloAADHGhLE9i9A/6JEoHzRtuwyJmRRMzHHOXNJzEZegH&#10;H7eJi8UiOeEUWhYezdryGDoCHpl47d6Ys0e6AhL9BKdhZMU71nrf+NLAYhdAqkRpxLlH9Qg/TnBi&#10;+rhtcUWu9eR1+SfMfwEAAP//AwBQSwMEFAAGAAgAAAAhADqN1ijgAAAACQEAAA8AAABkcnMvZG93&#10;bnJldi54bWxMj0tPwzAQhO9I/Q/WVuKCqNMGmirEqRDiIfVGw0Pc3HibRI3XUewm4d+znOC2385o&#10;djbbTrYVA/a+caRguYhAIJXONFQpeCuerjcgfNBkdOsIFXyjh20+u8h0atxIrzjsQyU4hHyqFdQh&#10;dKmUvqzRar9wHRJrR9dbHRj7SppejxxuW7mKorW0uiG+UOsOH2osT/uzVfB1VX3u/PT8Psa3cff4&#10;MhTJhymUupxP93cgAk7hzwy/9bk65Nzp4M5kvGiZl/ENW3lIQLAeb5I1iAPzijcyz+T/D/IfAAAA&#10;//8DAFBLAQItABQABgAIAAAAIQC2gziS/gAAAOEBAAATAAAAAAAAAAAAAAAAAAAAAABbQ29udGVu&#10;dF9UeXBlc10ueG1sUEsBAi0AFAAGAAgAAAAhADj9If/WAAAAlAEAAAsAAAAAAAAAAAAAAAAALwEA&#10;AF9yZWxzLy5yZWxzUEsBAi0AFAAGAAgAAAAhAConAwsuAgAAWwQAAA4AAAAAAAAAAAAAAAAALgIA&#10;AGRycy9lMm9Eb2MueG1sUEsBAi0AFAAGAAgAAAAhADqN1ijgAAAACQEAAA8AAAAAAAAAAAAAAAAA&#10;iAQAAGRycy9kb3ducmV2LnhtbFBLBQYAAAAABAAEAPMAAACVBQAAAAA=&#10;" fillcolor="white [3201]" stroked="f" strokeweight=".5pt">
                    <v:textbox>
                      <w:txbxContent>
                        <w:p w14:paraId="40B9AFC9" w14:textId="571CBADB" w:rsidR="009F6793" w:rsidRPr="009F6793" w:rsidRDefault="009F6793">
                          <w:pPr>
                            <w:rPr>
                              <w:b/>
                              <w:bCs/>
                            </w:rPr>
                          </w:pPr>
                          <w:r>
                            <w:rPr>
                              <w:b/>
                            </w:rPr>
                            <w:t xml:space="preserve">Njemačka </w:t>
                          </w:r>
                          <w:r>
                            <w:rPr>
                              <w:b/>
                            </w:rPr>
                            <w:t>savezna</w:t>
                          </w:r>
                          <w:r>
                            <w:rPr>
                              <w:b/>
                            </w:rPr>
                            <w:br/>
                            <w:t>agencija za mreže</w:t>
                          </w:r>
                        </w:p>
                      </w:txbxContent>
                    </v:textbox>
                  </v:shape>
                </w:pict>
              </mc:Fallback>
            </mc:AlternateContent>
          </w:r>
          <w:r>
            <w:t xml:space="preserve">  </w:t>
          </w:r>
          <w:r>
            <w:rPr>
              <w:noProof/>
            </w:rPr>
            <w:drawing>
              <wp:inline distT="0" distB="0" distL="0" distR="0" wp14:anchorId="5D27D4CB" wp14:editId="2E99924E">
                <wp:extent cx="2246630" cy="1125855"/>
                <wp:effectExtent l="0" t="0" r="127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630" cy="1125855"/>
                        </a:xfrm>
                        <a:prstGeom prst="rect">
                          <a:avLst/>
                        </a:prstGeom>
                        <a:noFill/>
                        <a:ln>
                          <a:noFill/>
                        </a:ln>
                      </pic:spPr>
                    </pic:pic>
                  </a:graphicData>
                </a:graphic>
              </wp:inline>
            </w:drawing>
          </w:r>
          <w:r>
            <w:rPr>
              <w:noProof/>
              <w:sz w:val="20"/>
            </w:rPr>
            <mc:AlternateContent>
              <mc:Choice Requires="wps">
                <w:drawing>
                  <wp:anchor distT="0" distB="0" distL="114300" distR="114300" simplePos="0" relativeHeight="251656704" behindDoc="1" locked="1" layoutInCell="1" allowOverlap="1" wp14:anchorId="5D27D4CD" wp14:editId="091A6066">
                    <wp:simplePos x="0" y="0"/>
                    <wp:positionH relativeFrom="margin">
                      <wp:posOffset>360045</wp:posOffset>
                    </wp:positionH>
                    <wp:positionV relativeFrom="margin">
                      <wp:posOffset>3780790</wp:posOffset>
                    </wp:positionV>
                    <wp:extent cx="6047740" cy="1473200"/>
                    <wp:effectExtent l="1390015" t="0" r="1270635"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5852AB6D"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27D4CD" id="WordArt 1" o:spid="_x0000_s1028" type="#_x0000_t202" style="position:absolute;margin-left:28.35pt;margin-top:297.7pt;width:476.2pt;height:116pt;rotation:-3961170fd;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E/+wEAAMwDAAAOAAAAZHJzL2Uyb0RvYy54bWysU8tu2zAQvBfoPxC8x5IdP1rBcuAmTS9p&#10;GyAOcqZJylIrctklbcl/3yWt2EVzK6oDIS3J2ZnZ0fKmNy07aPQN2JKPRzln2kpQjd2V/Hlzf/WB&#10;Mx+EVaIFq0t+1J7frN6/W3au0BOooVUaGYFYX3Su5HUIrsgyL2tthB+B05Y2K0AjAn3iLlMoOkI3&#10;bTbJ83nWASqHILX3VL07bfJVwq8qLcP3qvI6sLbkxC2kFdO6jWu2Wopih8LVjRxoiH9gYURjqekZ&#10;6k4EwfbYvIEyjUTwUIWRBJNBVTVSJw2kZpz/peapFk4nLWSOd2eb/P+Dld8OT+4RWeg/QU8DTCK8&#10;ewD50zMLt7WwO71GhK7WQlHjMT+XE73N0dFYU3Wj+/BZNeTxOPqadc4XA36chy987LTtvoKiK2If&#10;IHXrKzQMga5dXc8n89nsYyqTN4wY0dCO50FRAyapOM+ni8WUtiTtjaeLa4pCaimKiBYH4dCHLxoM&#10;iy8lR0pCghWHBx8iu8uRgWpkd+IZ+m3PGlXySQSNzLegjsS9o6CU3P/aC9Tkw97cAuWKxFcI5oWS&#10;uMak/pXApn8R6AYKgdg/tq9BSTxSYhSzwkRD1A8CMi3l7yBaNsvpGUQNhwfOJ9R417s1uXjfJEEX&#10;noMgikzSOcQ7ZvLP73Tq8hOufgMAAP//AwBQSwMEFAAGAAgAAAAhAFod7dveAAAADAEAAA8AAABk&#10;cnMvZG93bnJldi54bWxMj9FOg0AQRd9N/IfNmPjS2AWsFJClaUz7AaIfMGW3gGVnCbul+PeOT/o4&#10;Myd3zi13ix3EbCbfO1IQryMQhhqne2oVfH4cnzIQPiBpHBwZBd/Gw666vyux0O5G72auQys4hHyB&#10;CroQxkJK33TGol+70RDfzm6yGHicWqknvHG4HWQSRam02BN/6HA0b51pLvXVKjhGK8wbWsl6n+m5&#10;/TpccMoPSj0+LPtXEMEs4Q+GX31Wh4qdTu5K2otBwSZOc0YVJM8vCQgm0k3GmxOjcbZNQVal/F+i&#10;+gEAAP//AwBQSwECLQAUAAYACAAAACEAtoM4kv4AAADhAQAAEwAAAAAAAAAAAAAAAAAAAAAAW0Nv&#10;bnRlbnRfVHlwZXNdLnhtbFBLAQItABQABgAIAAAAIQA4/SH/1gAAAJQBAAALAAAAAAAAAAAAAAAA&#10;AC8BAABfcmVscy8ucmVsc1BLAQItABQABgAIAAAAIQCx3ZE/+wEAAMwDAAAOAAAAAAAAAAAAAAAA&#10;AC4CAABkcnMvZTJvRG9jLnhtbFBLAQItABQABgAIAAAAIQBaHe3b3gAAAAwBAAAPAAAAAAAAAAAA&#10;AAAAAFUEAABkcnMvZG93bnJldi54bWxQSwUGAAAAAAQABADzAAAAYAUAAAAA&#10;" filled="f" fillcolor="silver" stroked="f">
                    <v:fill opacity="16448f"/>
                    <o:lock v:ext="edit" shapetype="t"/>
                    <v:textbox style="mso-fit-shape-to-text:t">
                      <w:txbxContent>
                        <w:p w14:paraId="5852AB6D"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Nacrt</w:t>
                          </w:r>
                        </w:p>
                      </w:txbxContent>
                    </v:textbox>
                    <w10:wrap anchorx="margin" anchory="margin"/>
                    <w10:anchorlock/>
                  </v:shape>
                </w:pict>
              </mc:Fallback>
            </mc:AlternateContent>
          </w:r>
        </w:p>
      </w:tc>
      <w:tc>
        <w:tcPr>
          <w:tcW w:w="5670" w:type="dxa"/>
        </w:tcPr>
        <w:p w14:paraId="5D27D4B6" w14:textId="77777777" w:rsidR="009C3D7A" w:rsidRPr="00823F89" w:rsidRDefault="009C3D7A" w:rsidP="00386B9F">
          <w:pPr>
            <w:pStyle w:val="Header"/>
            <w:suppressAutoHyphens/>
            <w:spacing w:before="500"/>
            <w:jc w:val="center"/>
            <w:rPr>
              <w:rFonts w:ascii="Verdana" w:hAnsi="Verdana" w:cs="Arial"/>
              <w:color w:val="000000" w:themeColor="text1"/>
              <w:w w:val="110"/>
              <w:kern w:val="24"/>
              <w:szCs w:val="22"/>
            </w:rPr>
          </w:pPr>
          <w:r>
            <w:rPr>
              <w:rFonts w:ascii="Verdana" w:hAnsi="Verdana"/>
              <w:color w:val="000000" w:themeColor="text1"/>
            </w:rPr>
            <w:t>Njemačka savezna agencija za električnu energiju, plin, telekomunikacije, poštu i željeznice</w:t>
          </w:r>
        </w:p>
      </w:tc>
    </w:tr>
  </w:tbl>
  <w:p w14:paraId="5D27D4B8" w14:textId="0EC5BCF7" w:rsidR="009C3D7A" w:rsidRDefault="009C3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7" w:type="dxa"/>
        <w:left w:w="0" w:type="dxa"/>
        <w:bottom w:w="57" w:type="dxa"/>
        <w:right w:w="0" w:type="dxa"/>
      </w:tblCellMar>
      <w:tblLook w:val="01E0" w:firstRow="1" w:lastRow="1" w:firstColumn="1" w:lastColumn="1" w:noHBand="0" w:noVBand="0"/>
    </w:tblPr>
    <w:tblGrid>
      <w:gridCol w:w="397"/>
      <w:gridCol w:w="1701"/>
      <w:gridCol w:w="5160"/>
      <w:gridCol w:w="1247"/>
      <w:gridCol w:w="1134"/>
    </w:tblGrid>
    <w:tr w:rsidR="009C3D7A" w:rsidRPr="00733135" w14:paraId="5D27D4C7" w14:textId="77777777" w:rsidTr="00733135">
      <w:trPr>
        <w:cantSplit/>
        <w:trHeight w:val="113"/>
      </w:trPr>
      <w:tc>
        <w:tcPr>
          <w:tcW w:w="397" w:type="dxa"/>
          <w:shd w:val="clear" w:color="auto" w:fill="auto"/>
          <w:vAlign w:val="center"/>
        </w:tcPr>
        <w:p w14:paraId="5D27D4C2"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HR</w:t>
          </w:r>
        </w:p>
      </w:tc>
      <w:tc>
        <w:tcPr>
          <w:tcW w:w="1701" w:type="dxa"/>
          <w:shd w:val="clear" w:color="auto" w:fill="auto"/>
          <w:vAlign w:val="center"/>
        </w:tcPr>
        <w:p w14:paraId="5D27D4C3"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Specifikacija sučelja</w:t>
          </w:r>
        </w:p>
      </w:tc>
      <w:tc>
        <w:tcPr>
          <w:tcW w:w="5160" w:type="dxa"/>
          <w:shd w:val="clear" w:color="auto" w:fill="auto"/>
          <w:vAlign w:val="center"/>
        </w:tcPr>
        <w:p w14:paraId="5D27D4C4" w14:textId="6BC24BC9" w:rsidR="009C3D7A" w:rsidRPr="00823F89" w:rsidRDefault="008A4D11"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Radiorelejska oprema u rasponu od 6,2 GHz (T-T)</w:t>
          </w:r>
        </w:p>
      </w:tc>
      <w:tc>
        <w:tcPr>
          <w:tcW w:w="1247" w:type="dxa"/>
          <w:shd w:val="clear" w:color="auto" w:fill="auto"/>
          <w:vAlign w:val="center"/>
        </w:tcPr>
        <w:p w14:paraId="5D27D4C5" w14:textId="43B8FD08" w:rsidR="009C3D7A" w:rsidRPr="00823F89" w:rsidRDefault="009C3D7A" w:rsidP="003F6241">
          <w:pPr>
            <w:pStyle w:val="Header"/>
            <w:jc w:val="center"/>
            <w:rPr>
              <w:rFonts w:ascii="Arial Narrow" w:hAnsi="Arial Narrow"/>
              <w:color w:val="000000" w:themeColor="text1"/>
              <w:sz w:val="16"/>
              <w:szCs w:val="16"/>
            </w:rPr>
          </w:pPr>
          <w:r>
            <w:rPr>
              <w:rFonts w:ascii="Arial Narrow" w:hAnsi="Arial Narrow"/>
              <w:color w:val="000000" w:themeColor="text1"/>
              <w:sz w:val="16"/>
            </w:rPr>
            <w:t>SSB FE-OE 058</w:t>
          </w:r>
        </w:p>
      </w:tc>
      <w:tc>
        <w:tcPr>
          <w:tcW w:w="1134" w:type="dxa"/>
          <w:shd w:val="clear" w:color="auto" w:fill="auto"/>
          <w:vAlign w:val="center"/>
        </w:tcPr>
        <w:p w14:paraId="5D27D4C6" w14:textId="39C951A7" w:rsidR="009C3D7A" w:rsidRPr="00823F89" w:rsidRDefault="00300659"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Veljača 2022.</w:t>
          </w:r>
        </w:p>
      </w:tc>
    </w:tr>
  </w:tbl>
  <w:p w14:paraId="5D27D4C8" w14:textId="28622EE0" w:rsidR="009C3D7A" w:rsidRPr="0013052E" w:rsidRDefault="000F4A2F" w:rsidP="0013052E">
    <w:pPr>
      <w:pStyle w:val="Header"/>
      <w:rPr>
        <w:sz w:val="12"/>
        <w:szCs w:val="12"/>
      </w:rPr>
    </w:pPr>
    <w:r>
      <w:rPr>
        <w:noProof/>
        <w:sz w:val="12"/>
      </w:rPr>
      <mc:AlternateContent>
        <mc:Choice Requires="wps">
          <w:drawing>
            <wp:anchor distT="0" distB="0" distL="114300" distR="114300" simplePos="0" relativeHeight="251657728" behindDoc="1" locked="1" layoutInCell="1" allowOverlap="1" wp14:anchorId="5D27D4CE" wp14:editId="628BCDC7">
              <wp:simplePos x="0" y="0"/>
              <wp:positionH relativeFrom="margin">
                <wp:posOffset>360045</wp:posOffset>
              </wp:positionH>
              <wp:positionV relativeFrom="margin">
                <wp:posOffset>3780790</wp:posOffset>
              </wp:positionV>
              <wp:extent cx="6047740" cy="1473200"/>
              <wp:effectExtent l="1390015" t="0" r="127063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4F303147"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27D4CE" id="_x0000_t202" coordsize="21600,21600" o:spt="202" path="m,l,21600r21600,l21600,xe">
              <v:stroke joinstyle="miter"/>
              <v:path gradientshapeok="t" o:connecttype="rect"/>
            </v:shapetype>
            <v:shape id="WordArt 7" o:spid="_x0000_s1029" type="#_x0000_t202" style="position:absolute;left:0;text-align:left;margin-left:28.35pt;margin-top:297.7pt;width:476.2pt;height:116pt;rotation:-3961170fd;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Bg+gEAAMwDAAAOAAAAZHJzL2Uyb0RvYy54bWysU02P0zAQvSPxHyzft0m/IWq6KrsslwVW&#10;2qI9u7bTBGKPGbtN+u8Zu9kWwQ2Rg5WM7TfvvXlZ3famZUeNvgFb8vEo50xbCaqx+5J/2z7cvOPM&#10;B2GVaMHqkp+057frt29WnSv0BGpolUZGINYXnSt5HYIrsszLWhvhR+C0pc0K0IhAn7jPFIqO0E2b&#10;TfJ8kXWAyiFI7T1V78+bfJ3wq0rL8LWqvA6sLTlxC2nFtO7imq1XotijcHUjBxriH1gY0VhqeoG6&#10;F0GwAzZ/QZlGIniowkiCyaCqGqmTBlIzzv9Q81wLp5MWMse7i03+/8HKL8dn94Qs9B+gpwEmEd49&#10;gvzhmYW7Wti93iBCV2uhqPGYX8qJ3vbkaKyputV9+Kga8ngcfc0654sBP87DFz522nWfQdEVcQiQ&#10;uvUVGoZA126mi8liPn+fyuQNI0Y0tNNlUNSASSou8tlyOaMtSXvj2XJKUUgtRRHR4iAc+vBJg2Hx&#10;peRISUiw4vjoQ2R3PTJQjezOPEO/61mjSj6NoJH5DtSJuHcUlJL7nweBmnw4mDugXJH4CsG8UBI3&#10;mNS/Etj2LwLdQCEQ+6f2NSiJR0qMYlaYaIj6TkCmpfwdRcvmOT2DqOHwwPmMGu96tyEXH5ok6Mpz&#10;EESRSTqHeMdM/v6dTl1/wvUvAAAA//8DAFBLAwQUAAYACAAAACEAWh3t294AAAAMAQAADwAAAGRy&#10;cy9kb3ducmV2LnhtbEyP0U6DQBBF3038h82Y+NLYBawUkKVpTPsBoh8wZbeAZWcJu6X4945P+jgz&#10;J3fOLXeLHcRsJt87UhCvIxCGGqd7ahV8fhyfMhA+IGkcHBkF38bDrrq/K7HQ7kbvZq5DKziEfIEK&#10;uhDGQkrfdMaiX7vREN/ObrIYeJxaqSe8cbgdZBJFqbTYE3/ocDRvnWku9dUqOEYrzBtayXqf6bn9&#10;Olxwyg9KPT4s+1cQwSzhD4ZffVaHip1O7krai0HBJk5zRhUkzy8JCCbSTcabE6Nxtk1BVqX8X6L6&#10;AQAA//8DAFBLAQItABQABgAIAAAAIQC2gziS/gAAAOEBAAATAAAAAAAAAAAAAAAAAAAAAABbQ29u&#10;dGVudF9UeXBlc10ueG1sUEsBAi0AFAAGAAgAAAAhADj9If/WAAAAlAEAAAsAAAAAAAAAAAAAAAAA&#10;LwEAAF9yZWxzLy5yZWxzUEsBAi0AFAAGAAgAAAAhACWBUGD6AQAAzAMAAA4AAAAAAAAAAAAAAAAA&#10;LgIAAGRycy9lMm9Eb2MueG1sUEsBAi0AFAAGAAgAAAAhAFod7dveAAAADAEAAA8AAAAAAAAAAAAA&#10;AAAAVAQAAGRycy9kb3ducmV2LnhtbFBLBQYAAAAABAAEAPMAAABfBQAAAAA=&#10;" filled="f" fillcolor="silver" stroked="f">
              <v:fill opacity="16448f"/>
              <o:lock v:ext="edit" shapetype="t"/>
              <v:textbox style="mso-fit-shape-to-text:t">
                <w:txbxContent>
                  <w:p w14:paraId="4F303147"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Nacrt</w:t>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AD9"/>
    <w:multiLevelType w:val="hybridMultilevel"/>
    <w:tmpl w:val="CA5849F6"/>
    <w:lvl w:ilvl="0" w:tplc="CDCCC89C">
      <w:start w:val="1"/>
      <w:numFmt w:val="bullet"/>
      <w:pStyle w:val="AufzDokumente"/>
      <w:lvlText w:val=""/>
      <w:lvlJc w:val="left"/>
      <w:pPr>
        <w:tabs>
          <w:tab w:val="num" w:pos="720"/>
        </w:tabs>
        <w:ind w:left="72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20A90"/>
    <w:multiLevelType w:val="hybridMultilevel"/>
    <w:tmpl w:val="BBE2453C"/>
    <w:lvl w:ilvl="0" w:tplc="1E68ED7C">
      <w:start w:val="1"/>
      <w:numFmt w:val="bullet"/>
      <w:lvlText w:val=""/>
      <w:lvlJc w:val="left"/>
      <w:pPr>
        <w:tabs>
          <w:tab w:val="num" w:pos="709"/>
        </w:tabs>
        <w:ind w:left="720" w:hanging="32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1012D7"/>
    <w:multiLevelType w:val="hybridMultilevel"/>
    <w:tmpl w:val="D972A784"/>
    <w:lvl w:ilvl="0" w:tplc="E65283B6">
      <w:start w:val="1"/>
      <w:numFmt w:val="bullet"/>
      <w:pStyle w:val="AufzSonstDoku"/>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787EC2"/>
    <w:multiLevelType w:val="hybridMultilevel"/>
    <w:tmpl w:val="70280FA4"/>
    <w:lvl w:ilvl="0" w:tplc="04070001">
      <w:start w:val="1"/>
      <w:numFmt w:val="bullet"/>
      <w:lvlText w:val=""/>
      <w:lvlJc w:val="left"/>
      <w:pPr>
        <w:tabs>
          <w:tab w:val="num" w:pos="1288"/>
        </w:tabs>
        <w:ind w:left="1288" w:hanging="360"/>
      </w:pPr>
      <w:rPr>
        <w:rFonts w:ascii="Symbol" w:hAnsi="Symbol" w:hint="default"/>
      </w:rPr>
    </w:lvl>
    <w:lvl w:ilvl="1" w:tplc="04070003" w:tentative="1">
      <w:start w:val="1"/>
      <w:numFmt w:val="bullet"/>
      <w:lvlText w:val="o"/>
      <w:lvlJc w:val="left"/>
      <w:pPr>
        <w:tabs>
          <w:tab w:val="num" w:pos="2008"/>
        </w:tabs>
        <w:ind w:left="2008" w:hanging="360"/>
      </w:pPr>
      <w:rPr>
        <w:rFonts w:ascii="Courier New" w:hAnsi="Courier New" w:cs="Courier New" w:hint="default"/>
      </w:rPr>
    </w:lvl>
    <w:lvl w:ilvl="2" w:tplc="04070005" w:tentative="1">
      <w:start w:val="1"/>
      <w:numFmt w:val="bullet"/>
      <w:lvlText w:val=""/>
      <w:lvlJc w:val="left"/>
      <w:pPr>
        <w:tabs>
          <w:tab w:val="num" w:pos="2728"/>
        </w:tabs>
        <w:ind w:left="2728" w:hanging="360"/>
      </w:pPr>
      <w:rPr>
        <w:rFonts w:ascii="Wingdings" w:hAnsi="Wingdings" w:hint="default"/>
      </w:rPr>
    </w:lvl>
    <w:lvl w:ilvl="3" w:tplc="04070001" w:tentative="1">
      <w:start w:val="1"/>
      <w:numFmt w:val="bullet"/>
      <w:lvlText w:val=""/>
      <w:lvlJc w:val="left"/>
      <w:pPr>
        <w:tabs>
          <w:tab w:val="num" w:pos="3448"/>
        </w:tabs>
        <w:ind w:left="3448" w:hanging="360"/>
      </w:pPr>
      <w:rPr>
        <w:rFonts w:ascii="Symbol" w:hAnsi="Symbol" w:hint="default"/>
      </w:rPr>
    </w:lvl>
    <w:lvl w:ilvl="4" w:tplc="04070003" w:tentative="1">
      <w:start w:val="1"/>
      <w:numFmt w:val="bullet"/>
      <w:lvlText w:val="o"/>
      <w:lvlJc w:val="left"/>
      <w:pPr>
        <w:tabs>
          <w:tab w:val="num" w:pos="4168"/>
        </w:tabs>
        <w:ind w:left="4168" w:hanging="360"/>
      </w:pPr>
      <w:rPr>
        <w:rFonts w:ascii="Courier New" w:hAnsi="Courier New" w:cs="Courier New" w:hint="default"/>
      </w:rPr>
    </w:lvl>
    <w:lvl w:ilvl="5" w:tplc="04070005" w:tentative="1">
      <w:start w:val="1"/>
      <w:numFmt w:val="bullet"/>
      <w:lvlText w:val=""/>
      <w:lvlJc w:val="left"/>
      <w:pPr>
        <w:tabs>
          <w:tab w:val="num" w:pos="4888"/>
        </w:tabs>
        <w:ind w:left="4888" w:hanging="360"/>
      </w:pPr>
      <w:rPr>
        <w:rFonts w:ascii="Wingdings" w:hAnsi="Wingdings" w:hint="default"/>
      </w:rPr>
    </w:lvl>
    <w:lvl w:ilvl="6" w:tplc="04070001" w:tentative="1">
      <w:start w:val="1"/>
      <w:numFmt w:val="bullet"/>
      <w:lvlText w:val=""/>
      <w:lvlJc w:val="left"/>
      <w:pPr>
        <w:tabs>
          <w:tab w:val="num" w:pos="5608"/>
        </w:tabs>
        <w:ind w:left="5608" w:hanging="360"/>
      </w:pPr>
      <w:rPr>
        <w:rFonts w:ascii="Symbol" w:hAnsi="Symbol" w:hint="default"/>
      </w:rPr>
    </w:lvl>
    <w:lvl w:ilvl="7" w:tplc="04070003" w:tentative="1">
      <w:start w:val="1"/>
      <w:numFmt w:val="bullet"/>
      <w:lvlText w:val="o"/>
      <w:lvlJc w:val="left"/>
      <w:pPr>
        <w:tabs>
          <w:tab w:val="num" w:pos="6328"/>
        </w:tabs>
        <w:ind w:left="6328" w:hanging="360"/>
      </w:pPr>
      <w:rPr>
        <w:rFonts w:ascii="Courier New" w:hAnsi="Courier New" w:cs="Courier New" w:hint="default"/>
      </w:rPr>
    </w:lvl>
    <w:lvl w:ilvl="8" w:tplc="04070005" w:tentative="1">
      <w:start w:val="1"/>
      <w:numFmt w:val="bullet"/>
      <w:lvlText w:val=""/>
      <w:lvlJc w:val="left"/>
      <w:pPr>
        <w:tabs>
          <w:tab w:val="num" w:pos="7048"/>
        </w:tabs>
        <w:ind w:left="7048" w:hanging="360"/>
      </w:pPr>
      <w:rPr>
        <w:rFonts w:ascii="Wingdings" w:hAnsi="Wingdings" w:hint="default"/>
      </w:rPr>
    </w:lvl>
  </w:abstractNum>
  <w:abstractNum w:abstractNumId="4" w15:restartNumberingAfterBreak="0">
    <w:nsid w:val="617807E4"/>
    <w:multiLevelType w:val="hybridMultilevel"/>
    <w:tmpl w:val="5F78F1F2"/>
    <w:lvl w:ilvl="0" w:tplc="C6A674F6">
      <w:start w:val="4"/>
      <w:numFmt w:val="decimal"/>
      <w:lvlText w:val="%1"/>
      <w:lvlJc w:val="left"/>
      <w:pPr>
        <w:tabs>
          <w:tab w:val="num" w:pos="1215"/>
        </w:tabs>
        <w:ind w:left="1215" w:hanging="85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EDC3E69"/>
    <w:multiLevelType w:val="multilevel"/>
    <w:tmpl w:val="5F20D43A"/>
    <w:lvl w:ilvl="0">
      <w:start w:val="1"/>
      <w:numFmt w:val="decimal"/>
      <w:isLgl/>
      <w:lvlText w:val="%1"/>
      <w:lvlJc w:val="left"/>
      <w:pPr>
        <w:tabs>
          <w:tab w:val="num" w:pos="1134"/>
        </w:tabs>
        <w:ind w:left="1134" w:hanging="1134"/>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800"/>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0F371C7"/>
    <w:multiLevelType w:val="multilevel"/>
    <w:tmpl w:val="5F20D43A"/>
    <w:lvl w:ilvl="0">
      <w:start w:val="1"/>
      <w:numFmt w:val="decimal"/>
      <w:isLgl/>
      <w:lvlText w:val="%1"/>
      <w:lvlJc w:val="left"/>
      <w:pPr>
        <w:tabs>
          <w:tab w:val="num" w:pos="1134"/>
        </w:tabs>
        <w:ind w:left="1134" w:hanging="113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31D6BF7"/>
    <w:multiLevelType w:val="hybridMultilevel"/>
    <w:tmpl w:val="CB96C69C"/>
    <w:lvl w:ilvl="0" w:tplc="F648D50C">
      <w:start w:val="1"/>
      <w:numFmt w:val="bullet"/>
      <w:pStyle w:val="AufzPunk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A10EB6"/>
    <w:multiLevelType w:val="hybridMultilevel"/>
    <w:tmpl w:val="4B288EBE"/>
    <w:lvl w:ilvl="0" w:tplc="842AC1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8601419">
    <w:abstractNumId w:val="5"/>
  </w:num>
  <w:num w:numId="2" w16cid:durableId="1389381659">
    <w:abstractNumId w:val="5"/>
  </w:num>
  <w:num w:numId="3" w16cid:durableId="912086691">
    <w:abstractNumId w:val="5"/>
  </w:num>
  <w:num w:numId="4" w16cid:durableId="245313286">
    <w:abstractNumId w:val="5"/>
  </w:num>
  <w:num w:numId="5" w16cid:durableId="2038843826">
    <w:abstractNumId w:val="5"/>
  </w:num>
  <w:num w:numId="6" w16cid:durableId="1573349531">
    <w:abstractNumId w:val="5"/>
  </w:num>
  <w:num w:numId="7" w16cid:durableId="1381440427">
    <w:abstractNumId w:val="5"/>
  </w:num>
  <w:num w:numId="8" w16cid:durableId="1276868272">
    <w:abstractNumId w:val="5"/>
  </w:num>
  <w:num w:numId="9" w16cid:durableId="1471559769">
    <w:abstractNumId w:val="5"/>
  </w:num>
  <w:num w:numId="10" w16cid:durableId="1793553954">
    <w:abstractNumId w:val="2"/>
  </w:num>
  <w:num w:numId="11" w16cid:durableId="1418209285">
    <w:abstractNumId w:val="7"/>
  </w:num>
  <w:num w:numId="12" w16cid:durableId="70660043">
    <w:abstractNumId w:val="3"/>
  </w:num>
  <w:num w:numId="13" w16cid:durableId="1950552387">
    <w:abstractNumId w:val="0"/>
  </w:num>
  <w:num w:numId="14" w16cid:durableId="628512237">
    <w:abstractNumId w:val="1"/>
  </w:num>
  <w:num w:numId="15" w16cid:durableId="424807502">
    <w:abstractNumId w:val="6"/>
  </w:num>
  <w:num w:numId="16" w16cid:durableId="1666007582">
    <w:abstractNumId w:val="4"/>
  </w:num>
  <w:num w:numId="17" w16cid:durableId="600720408">
    <w:abstractNumId w:val="8"/>
  </w:num>
  <w:num w:numId="18" w16cid:durableId="906666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97"/>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6F"/>
    <w:rsid w:val="00007ABA"/>
    <w:rsid w:val="00020AE1"/>
    <w:rsid w:val="00021D7B"/>
    <w:rsid w:val="00022406"/>
    <w:rsid w:val="00022D74"/>
    <w:rsid w:val="000308FE"/>
    <w:rsid w:val="00031C1D"/>
    <w:rsid w:val="00044334"/>
    <w:rsid w:val="00050A92"/>
    <w:rsid w:val="00052E9A"/>
    <w:rsid w:val="00057623"/>
    <w:rsid w:val="000620AF"/>
    <w:rsid w:val="0006783B"/>
    <w:rsid w:val="00071881"/>
    <w:rsid w:val="00072236"/>
    <w:rsid w:val="00073A07"/>
    <w:rsid w:val="000764DA"/>
    <w:rsid w:val="00081894"/>
    <w:rsid w:val="000A152B"/>
    <w:rsid w:val="000A6B1E"/>
    <w:rsid w:val="000B29BC"/>
    <w:rsid w:val="000B4360"/>
    <w:rsid w:val="000B5AF4"/>
    <w:rsid w:val="000C4CA0"/>
    <w:rsid w:val="000C5D86"/>
    <w:rsid w:val="000C6F36"/>
    <w:rsid w:val="000D1030"/>
    <w:rsid w:val="000E4F09"/>
    <w:rsid w:val="000F4A2F"/>
    <w:rsid w:val="000F6C9A"/>
    <w:rsid w:val="00111A32"/>
    <w:rsid w:val="00115FE7"/>
    <w:rsid w:val="00126D18"/>
    <w:rsid w:val="00127977"/>
    <w:rsid w:val="0013052E"/>
    <w:rsid w:val="00133CE4"/>
    <w:rsid w:val="00141D5A"/>
    <w:rsid w:val="00150229"/>
    <w:rsid w:val="00153CDE"/>
    <w:rsid w:val="00162073"/>
    <w:rsid w:val="00164BF0"/>
    <w:rsid w:val="001651AB"/>
    <w:rsid w:val="001671D3"/>
    <w:rsid w:val="001778D0"/>
    <w:rsid w:val="001852BF"/>
    <w:rsid w:val="001A3007"/>
    <w:rsid w:val="001A3F63"/>
    <w:rsid w:val="001B36E0"/>
    <w:rsid w:val="001B69C9"/>
    <w:rsid w:val="001C54E4"/>
    <w:rsid w:val="001D0DBD"/>
    <w:rsid w:val="001D3270"/>
    <w:rsid w:val="001D5044"/>
    <w:rsid w:val="001D7BDA"/>
    <w:rsid w:val="001E0B6B"/>
    <w:rsid w:val="001E3760"/>
    <w:rsid w:val="001F0496"/>
    <w:rsid w:val="001F1A97"/>
    <w:rsid w:val="0020117C"/>
    <w:rsid w:val="002042FB"/>
    <w:rsid w:val="002059A7"/>
    <w:rsid w:val="00206B7E"/>
    <w:rsid w:val="00221F77"/>
    <w:rsid w:val="00234456"/>
    <w:rsid w:val="00235C2E"/>
    <w:rsid w:val="0024253A"/>
    <w:rsid w:val="00243A64"/>
    <w:rsid w:val="00251893"/>
    <w:rsid w:val="00253E8E"/>
    <w:rsid w:val="00254813"/>
    <w:rsid w:val="00254DA1"/>
    <w:rsid w:val="002576F0"/>
    <w:rsid w:val="002577A0"/>
    <w:rsid w:val="00260C39"/>
    <w:rsid w:val="002708EC"/>
    <w:rsid w:val="00272A68"/>
    <w:rsid w:val="00274E8B"/>
    <w:rsid w:val="00277B66"/>
    <w:rsid w:val="00283BA1"/>
    <w:rsid w:val="002923BE"/>
    <w:rsid w:val="00293B41"/>
    <w:rsid w:val="0029404A"/>
    <w:rsid w:val="002941E5"/>
    <w:rsid w:val="002B0C2B"/>
    <w:rsid w:val="002B1465"/>
    <w:rsid w:val="002B4688"/>
    <w:rsid w:val="002C0240"/>
    <w:rsid w:val="002C0F8E"/>
    <w:rsid w:val="002C732C"/>
    <w:rsid w:val="002D7D87"/>
    <w:rsid w:val="002E3536"/>
    <w:rsid w:val="002E7B1D"/>
    <w:rsid w:val="00300659"/>
    <w:rsid w:val="00306065"/>
    <w:rsid w:val="00313156"/>
    <w:rsid w:val="00331634"/>
    <w:rsid w:val="00335953"/>
    <w:rsid w:val="00336A2D"/>
    <w:rsid w:val="00346081"/>
    <w:rsid w:val="0035141B"/>
    <w:rsid w:val="00363A44"/>
    <w:rsid w:val="00364BC2"/>
    <w:rsid w:val="0037662B"/>
    <w:rsid w:val="0037774B"/>
    <w:rsid w:val="00381B7A"/>
    <w:rsid w:val="0038577C"/>
    <w:rsid w:val="00386B9F"/>
    <w:rsid w:val="00391B26"/>
    <w:rsid w:val="003A12FA"/>
    <w:rsid w:val="003B2E13"/>
    <w:rsid w:val="003C0E56"/>
    <w:rsid w:val="003C38F2"/>
    <w:rsid w:val="003C54C5"/>
    <w:rsid w:val="003C7CBE"/>
    <w:rsid w:val="003E5965"/>
    <w:rsid w:val="003E72C7"/>
    <w:rsid w:val="003F5625"/>
    <w:rsid w:val="003F6241"/>
    <w:rsid w:val="004036CB"/>
    <w:rsid w:val="00404C8C"/>
    <w:rsid w:val="00420F40"/>
    <w:rsid w:val="00435C3B"/>
    <w:rsid w:val="00444FEB"/>
    <w:rsid w:val="004451DC"/>
    <w:rsid w:val="00445475"/>
    <w:rsid w:val="004459C5"/>
    <w:rsid w:val="00447506"/>
    <w:rsid w:val="004511DD"/>
    <w:rsid w:val="00455AEA"/>
    <w:rsid w:val="004576DD"/>
    <w:rsid w:val="00457ECD"/>
    <w:rsid w:val="00474396"/>
    <w:rsid w:val="00484F2D"/>
    <w:rsid w:val="00491AC1"/>
    <w:rsid w:val="00496B3C"/>
    <w:rsid w:val="00496FAA"/>
    <w:rsid w:val="004A0A0B"/>
    <w:rsid w:val="004A212D"/>
    <w:rsid w:val="004B1CA4"/>
    <w:rsid w:val="004B2043"/>
    <w:rsid w:val="004D130D"/>
    <w:rsid w:val="004D3D05"/>
    <w:rsid w:val="004D540F"/>
    <w:rsid w:val="004D6FFE"/>
    <w:rsid w:val="004E235B"/>
    <w:rsid w:val="004E5B45"/>
    <w:rsid w:val="004F1EC3"/>
    <w:rsid w:val="004F1EF4"/>
    <w:rsid w:val="004F4D76"/>
    <w:rsid w:val="004F6BEE"/>
    <w:rsid w:val="0051062F"/>
    <w:rsid w:val="00515625"/>
    <w:rsid w:val="0053074E"/>
    <w:rsid w:val="00530926"/>
    <w:rsid w:val="005311E0"/>
    <w:rsid w:val="00532280"/>
    <w:rsid w:val="005340EA"/>
    <w:rsid w:val="005413D3"/>
    <w:rsid w:val="00551317"/>
    <w:rsid w:val="005525FD"/>
    <w:rsid w:val="00564C37"/>
    <w:rsid w:val="00571FA8"/>
    <w:rsid w:val="005843DA"/>
    <w:rsid w:val="00586393"/>
    <w:rsid w:val="0059521D"/>
    <w:rsid w:val="005A214F"/>
    <w:rsid w:val="005A29DA"/>
    <w:rsid w:val="005A4233"/>
    <w:rsid w:val="005B098D"/>
    <w:rsid w:val="005B3478"/>
    <w:rsid w:val="005B513C"/>
    <w:rsid w:val="005B6205"/>
    <w:rsid w:val="005C09FD"/>
    <w:rsid w:val="005C2459"/>
    <w:rsid w:val="005C4406"/>
    <w:rsid w:val="005D0E3B"/>
    <w:rsid w:val="005E06AD"/>
    <w:rsid w:val="005F149A"/>
    <w:rsid w:val="005F75ED"/>
    <w:rsid w:val="00602EF8"/>
    <w:rsid w:val="006123DD"/>
    <w:rsid w:val="006156B9"/>
    <w:rsid w:val="00627039"/>
    <w:rsid w:val="006327DA"/>
    <w:rsid w:val="00656A0D"/>
    <w:rsid w:val="00661AC1"/>
    <w:rsid w:val="00663106"/>
    <w:rsid w:val="00665EC0"/>
    <w:rsid w:val="006664ED"/>
    <w:rsid w:val="006670FB"/>
    <w:rsid w:val="0067482D"/>
    <w:rsid w:val="00677CD0"/>
    <w:rsid w:val="00681445"/>
    <w:rsid w:val="00692A69"/>
    <w:rsid w:val="00694981"/>
    <w:rsid w:val="006972BC"/>
    <w:rsid w:val="006A6DCC"/>
    <w:rsid w:val="006B5B95"/>
    <w:rsid w:val="006C44CC"/>
    <w:rsid w:val="006D383E"/>
    <w:rsid w:val="006D6BFF"/>
    <w:rsid w:val="006D7C76"/>
    <w:rsid w:val="006D7FA8"/>
    <w:rsid w:val="006E1DAD"/>
    <w:rsid w:val="006E33A6"/>
    <w:rsid w:val="006E5F3A"/>
    <w:rsid w:val="006F0908"/>
    <w:rsid w:val="006F6EDD"/>
    <w:rsid w:val="0070027B"/>
    <w:rsid w:val="00701BE3"/>
    <w:rsid w:val="0070642D"/>
    <w:rsid w:val="007074BB"/>
    <w:rsid w:val="00707FD3"/>
    <w:rsid w:val="00720A3F"/>
    <w:rsid w:val="00731948"/>
    <w:rsid w:val="00731E34"/>
    <w:rsid w:val="007320D5"/>
    <w:rsid w:val="00733135"/>
    <w:rsid w:val="0073481E"/>
    <w:rsid w:val="007454E0"/>
    <w:rsid w:val="00751E6F"/>
    <w:rsid w:val="007615D0"/>
    <w:rsid w:val="0076261E"/>
    <w:rsid w:val="00767778"/>
    <w:rsid w:val="0077281B"/>
    <w:rsid w:val="00772B2F"/>
    <w:rsid w:val="00777190"/>
    <w:rsid w:val="00784731"/>
    <w:rsid w:val="00787F9B"/>
    <w:rsid w:val="007979DE"/>
    <w:rsid w:val="007A7600"/>
    <w:rsid w:val="007B0108"/>
    <w:rsid w:val="007B163D"/>
    <w:rsid w:val="007D42D2"/>
    <w:rsid w:val="007D7F5E"/>
    <w:rsid w:val="007E7706"/>
    <w:rsid w:val="007F67F0"/>
    <w:rsid w:val="00823F89"/>
    <w:rsid w:val="00833377"/>
    <w:rsid w:val="00833ED6"/>
    <w:rsid w:val="00841CDC"/>
    <w:rsid w:val="00844484"/>
    <w:rsid w:val="00844F5D"/>
    <w:rsid w:val="008479A4"/>
    <w:rsid w:val="008543D8"/>
    <w:rsid w:val="00874EC9"/>
    <w:rsid w:val="00880ABE"/>
    <w:rsid w:val="00882122"/>
    <w:rsid w:val="00885299"/>
    <w:rsid w:val="0089380B"/>
    <w:rsid w:val="0089445D"/>
    <w:rsid w:val="008952C3"/>
    <w:rsid w:val="00896574"/>
    <w:rsid w:val="008A188D"/>
    <w:rsid w:val="008A2903"/>
    <w:rsid w:val="008A4D11"/>
    <w:rsid w:val="008A4F55"/>
    <w:rsid w:val="008A5965"/>
    <w:rsid w:val="008D1EAC"/>
    <w:rsid w:val="008D5EA0"/>
    <w:rsid w:val="008D79F8"/>
    <w:rsid w:val="008E3918"/>
    <w:rsid w:val="008F3BF6"/>
    <w:rsid w:val="008F75CC"/>
    <w:rsid w:val="00903BFC"/>
    <w:rsid w:val="00907FFB"/>
    <w:rsid w:val="009224C9"/>
    <w:rsid w:val="0093089E"/>
    <w:rsid w:val="009343D0"/>
    <w:rsid w:val="00936CF0"/>
    <w:rsid w:val="009402BF"/>
    <w:rsid w:val="009414CE"/>
    <w:rsid w:val="00943FEA"/>
    <w:rsid w:val="009453C2"/>
    <w:rsid w:val="00945A87"/>
    <w:rsid w:val="00946662"/>
    <w:rsid w:val="00965555"/>
    <w:rsid w:val="00976F73"/>
    <w:rsid w:val="009B23F4"/>
    <w:rsid w:val="009B689B"/>
    <w:rsid w:val="009B6A9A"/>
    <w:rsid w:val="009C3D7A"/>
    <w:rsid w:val="009C41EF"/>
    <w:rsid w:val="009D0752"/>
    <w:rsid w:val="009D29B2"/>
    <w:rsid w:val="009E13A5"/>
    <w:rsid w:val="009F3A41"/>
    <w:rsid w:val="009F4FE4"/>
    <w:rsid w:val="009F6793"/>
    <w:rsid w:val="00A00A97"/>
    <w:rsid w:val="00A01AF5"/>
    <w:rsid w:val="00A02A4D"/>
    <w:rsid w:val="00A1083A"/>
    <w:rsid w:val="00A14FBA"/>
    <w:rsid w:val="00A25EC4"/>
    <w:rsid w:val="00A32928"/>
    <w:rsid w:val="00A3511E"/>
    <w:rsid w:val="00A40F00"/>
    <w:rsid w:val="00A517D3"/>
    <w:rsid w:val="00A5286E"/>
    <w:rsid w:val="00A55CAF"/>
    <w:rsid w:val="00A561A5"/>
    <w:rsid w:val="00A60899"/>
    <w:rsid w:val="00A62B80"/>
    <w:rsid w:val="00A67646"/>
    <w:rsid w:val="00A705C9"/>
    <w:rsid w:val="00A71AE6"/>
    <w:rsid w:val="00A744F1"/>
    <w:rsid w:val="00A75F21"/>
    <w:rsid w:val="00A80A10"/>
    <w:rsid w:val="00AA3C1C"/>
    <w:rsid w:val="00AA64CB"/>
    <w:rsid w:val="00AB1AA0"/>
    <w:rsid w:val="00AB47A2"/>
    <w:rsid w:val="00AB5E22"/>
    <w:rsid w:val="00AB60C7"/>
    <w:rsid w:val="00AB63D2"/>
    <w:rsid w:val="00AB77F4"/>
    <w:rsid w:val="00AC0B1F"/>
    <w:rsid w:val="00AC0F70"/>
    <w:rsid w:val="00AC159C"/>
    <w:rsid w:val="00AC4DF6"/>
    <w:rsid w:val="00AD5627"/>
    <w:rsid w:val="00AE531F"/>
    <w:rsid w:val="00AF4BC1"/>
    <w:rsid w:val="00B03779"/>
    <w:rsid w:val="00B07D5E"/>
    <w:rsid w:val="00B210A9"/>
    <w:rsid w:val="00B21221"/>
    <w:rsid w:val="00B27BF2"/>
    <w:rsid w:val="00B3095D"/>
    <w:rsid w:val="00B316A0"/>
    <w:rsid w:val="00B3175D"/>
    <w:rsid w:val="00B34B8D"/>
    <w:rsid w:val="00B3581B"/>
    <w:rsid w:val="00B4128C"/>
    <w:rsid w:val="00B41D5B"/>
    <w:rsid w:val="00B5001A"/>
    <w:rsid w:val="00B73187"/>
    <w:rsid w:val="00B80892"/>
    <w:rsid w:val="00B8128B"/>
    <w:rsid w:val="00B81BBD"/>
    <w:rsid w:val="00B854D9"/>
    <w:rsid w:val="00B87DBA"/>
    <w:rsid w:val="00B92E22"/>
    <w:rsid w:val="00BB1EC3"/>
    <w:rsid w:val="00BB2BA8"/>
    <w:rsid w:val="00BB5F61"/>
    <w:rsid w:val="00BC6BFF"/>
    <w:rsid w:val="00BD34B2"/>
    <w:rsid w:val="00BD64E5"/>
    <w:rsid w:val="00BE7E8B"/>
    <w:rsid w:val="00BF32D0"/>
    <w:rsid w:val="00C004EA"/>
    <w:rsid w:val="00C053BF"/>
    <w:rsid w:val="00C0669A"/>
    <w:rsid w:val="00C1089E"/>
    <w:rsid w:val="00C12261"/>
    <w:rsid w:val="00C33649"/>
    <w:rsid w:val="00C3416A"/>
    <w:rsid w:val="00C3586F"/>
    <w:rsid w:val="00C423A7"/>
    <w:rsid w:val="00C55182"/>
    <w:rsid w:val="00C55DF3"/>
    <w:rsid w:val="00C713E5"/>
    <w:rsid w:val="00C717F4"/>
    <w:rsid w:val="00C71C91"/>
    <w:rsid w:val="00C82459"/>
    <w:rsid w:val="00C872AA"/>
    <w:rsid w:val="00C92C9A"/>
    <w:rsid w:val="00CB215A"/>
    <w:rsid w:val="00CB3D46"/>
    <w:rsid w:val="00CB55BF"/>
    <w:rsid w:val="00CC0984"/>
    <w:rsid w:val="00CC11BC"/>
    <w:rsid w:val="00CC2F52"/>
    <w:rsid w:val="00CE6375"/>
    <w:rsid w:val="00CE6429"/>
    <w:rsid w:val="00D01B97"/>
    <w:rsid w:val="00D03DCA"/>
    <w:rsid w:val="00D14F57"/>
    <w:rsid w:val="00D1554A"/>
    <w:rsid w:val="00D16C0D"/>
    <w:rsid w:val="00D17AB7"/>
    <w:rsid w:val="00D22A1C"/>
    <w:rsid w:val="00D26A2B"/>
    <w:rsid w:val="00D30822"/>
    <w:rsid w:val="00D32095"/>
    <w:rsid w:val="00D36D4E"/>
    <w:rsid w:val="00D45990"/>
    <w:rsid w:val="00D46DF8"/>
    <w:rsid w:val="00D50BF1"/>
    <w:rsid w:val="00D51177"/>
    <w:rsid w:val="00D51F96"/>
    <w:rsid w:val="00D77E00"/>
    <w:rsid w:val="00D96BCE"/>
    <w:rsid w:val="00DB4DA1"/>
    <w:rsid w:val="00DB5D7B"/>
    <w:rsid w:val="00DC6A8E"/>
    <w:rsid w:val="00DC7FAB"/>
    <w:rsid w:val="00DD759C"/>
    <w:rsid w:val="00DF32B7"/>
    <w:rsid w:val="00DF763B"/>
    <w:rsid w:val="00DF77E6"/>
    <w:rsid w:val="00E01F39"/>
    <w:rsid w:val="00E06CA8"/>
    <w:rsid w:val="00E116C6"/>
    <w:rsid w:val="00E14299"/>
    <w:rsid w:val="00E16AA5"/>
    <w:rsid w:val="00E17E83"/>
    <w:rsid w:val="00E200F0"/>
    <w:rsid w:val="00E30575"/>
    <w:rsid w:val="00E31DD2"/>
    <w:rsid w:val="00E31FF6"/>
    <w:rsid w:val="00E330CB"/>
    <w:rsid w:val="00E35583"/>
    <w:rsid w:val="00E35A6B"/>
    <w:rsid w:val="00E47F27"/>
    <w:rsid w:val="00E50DFB"/>
    <w:rsid w:val="00E524CB"/>
    <w:rsid w:val="00E5791B"/>
    <w:rsid w:val="00E60CB3"/>
    <w:rsid w:val="00E60EF8"/>
    <w:rsid w:val="00E70E11"/>
    <w:rsid w:val="00E80824"/>
    <w:rsid w:val="00E84013"/>
    <w:rsid w:val="00E87A8D"/>
    <w:rsid w:val="00E907ED"/>
    <w:rsid w:val="00E939BB"/>
    <w:rsid w:val="00EA5A4B"/>
    <w:rsid w:val="00EB62B7"/>
    <w:rsid w:val="00EC1F02"/>
    <w:rsid w:val="00EC4534"/>
    <w:rsid w:val="00ED35D8"/>
    <w:rsid w:val="00EE1543"/>
    <w:rsid w:val="00EF03E3"/>
    <w:rsid w:val="00EF23F1"/>
    <w:rsid w:val="00EF2590"/>
    <w:rsid w:val="00F03C7E"/>
    <w:rsid w:val="00F11518"/>
    <w:rsid w:val="00F22B65"/>
    <w:rsid w:val="00F36617"/>
    <w:rsid w:val="00F4429F"/>
    <w:rsid w:val="00F44DE1"/>
    <w:rsid w:val="00F503BD"/>
    <w:rsid w:val="00F533FE"/>
    <w:rsid w:val="00F66DF8"/>
    <w:rsid w:val="00F76E98"/>
    <w:rsid w:val="00F779BA"/>
    <w:rsid w:val="00F855F4"/>
    <w:rsid w:val="00F86533"/>
    <w:rsid w:val="00F8689D"/>
    <w:rsid w:val="00F927C3"/>
    <w:rsid w:val="00FA1AC6"/>
    <w:rsid w:val="00FB2D03"/>
    <w:rsid w:val="00FC18F0"/>
    <w:rsid w:val="00FC718A"/>
    <w:rsid w:val="00FD0614"/>
    <w:rsid w:val="00FD2DA7"/>
    <w:rsid w:val="00FD3035"/>
    <w:rsid w:val="00FE1C09"/>
    <w:rsid w:val="00FE1F9D"/>
    <w:rsid w:val="00FE565F"/>
    <w:rsid w:val="00FF24C8"/>
    <w:rsid w:val="00FF3CA3"/>
    <w:rsid w:val="00FF43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D3DB"/>
  <w15:docId w15:val="{F2F3774A-A866-46E2-8866-9241C3FF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qFormat/>
    <w:rsid w:val="002708EC"/>
    <w:pPr>
      <w:keepNext/>
      <w:keepLines/>
      <w:tabs>
        <w:tab w:val="left" w:pos="851"/>
      </w:tabs>
      <w:overflowPunct/>
      <w:autoSpaceDE/>
      <w:autoSpaceDN/>
      <w:adjustRightInd/>
      <w:spacing w:after="240"/>
      <w:textAlignment w:val="auto"/>
      <w:outlineLvl w:val="0"/>
    </w:pPr>
    <w:rPr>
      <w:b/>
      <w:kern w:val="28"/>
    </w:rPr>
  </w:style>
  <w:style w:type="paragraph" w:styleId="Heading2">
    <w:name w:val="heading 2"/>
    <w:basedOn w:val="Heading1"/>
    <w:next w:val="Normal"/>
    <w:qFormat/>
    <w:pPr>
      <w:numPr>
        <w:ilvl w:val="1"/>
        <w:numId w:val="3"/>
      </w:numPr>
      <w:tabs>
        <w:tab w:val="clear" w:pos="576"/>
      </w:tabs>
      <w:ind w:left="1418" w:hanging="1418"/>
      <w:outlineLvl w:val="1"/>
    </w:pPr>
    <w:rPr>
      <w:color w:val="000000"/>
    </w:rPr>
  </w:style>
  <w:style w:type="paragraph" w:styleId="Heading3">
    <w:name w:val="heading 3"/>
    <w:basedOn w:val="Heading2"/>
    <w:next w:val="Normal"/>
    <w:qFormat/>
    <w:pPr>
      <w:numPr>
        <w:ilvl w:val="2"/>
        <w:numId w:val="4"/>
      </w:numPr>
      <w:tabs>
        <w:tab w:val="clear" w:pos="720"/>
      </w:tabs>
      <w:ind w:left="1418" w:hanging="1418"/>
      <w:outlineLvl w:val="2"/>
    </w:pPr>
  </w:style>
  <w:style w:type="paragraph" w:styleId="Heading4">
    <w:name w:val="heading 4"/>
    <w:basedOn w:val="Heading3"/>
    <w:next w:val="Normal"/>
    <w:qFormat/>
    <w:pPr>
      <w:numPr>
        <w:ilvl w:val="3"/>
        <w:numId w:val="5"/>
      </w:numPr>
      <w:tabs>
        <w:tab w:val="clear" w:pos="864"/>
      </w:tabs>
      <w:ind w:left="1418" w:hanging="1418"/>
      <w:outlineLvl w:val="3"/>
    </w:pPr>
  </w:style>
  <w:style w:type="paragraph" w:styleId="Heading5">
    <w:name w:val="heading 5"/>
    <w:basedOn w:val="Heading4"/>
    <w:next w:val="Normal"/>
    <w:qFormat/>
    <w:pPr>
      <w:numPr>
        <w:ilvl w:val="4"/>
        <w:numId w:val="6"/>
      </w:numPr>
      <w:tabs>
        <w:tab w:val="clear" w:pos="1008"/>
      </w:tabs>
      <w:ind w:left="1418" w:hanging="1418"/>
      <w:outlineLvl w:val="4"/>
    </w:pPr>
  </w:style>
  <w:style w:type="paragraph" w:styleId="Heading6">
    <w:name w:val="heading 6"/>
    <w:basedOn w:val="Heading5"/>
    <w:next w:val="Normal"/>
    <w:qFormat/>
    <w:pPr>
      <w:numPr>
        <w:ilvl w:val="5"/>
        <w:numId w:val="7"/>
      </w:numPr>
      <w:tabs>
        <w:tab w:val="clear" w:pos="1152"/>
      </w:tabs>
      <w:ind w:left="1418" w:hanging="1418"/>
      <w:outlineLvl w:val="5"/>
    </w:pPr>
  </w:style>
  <w:style w:type="paragraph" w:styleId="Heading7">
    <w:name w:val="heading 7"/>
    <w:basedOn w:val="Heading6"/>
    <w:next w:val="Normal"/>
    <w:qFormat/>
    <w:pPr>
      <w:numPr>
        <w:ilvl w:val="6"/>
        <w:numId w:val="8"/>
      </w:numPr>
      <w:tabs>
        <w:tab w:val="clear" w:pos="1800"/>
      </w:tabs>
      <w:ind w:left="0" w:firstLine="1418"/>
      <w:outlineLvl w:val="6"/>
    </w:pPr>
  </w:style>
  <w:style w:type="paragraph" w:styleId="Heading8">
    <w:name w:val="heading 8"/>
    <w:basedOn w:val="Heading7"/>
    <w:next w:val="Normal"/>
    <w:qFormat/>
    <w:pPr>
      <w:numPr>
        <w:ilvl w:val="7"/>
        <w:numId w:val="9"/>
      </w:numPr>
      <w:tabs>
        <w:tab w:val="clear" w:pos="1440"/>
        <w:tab w:val="left" w:pos="1418"/>
      </w:tabs>
      <w:ind w:left="1418" w:hanging="1418"/>
      <w:outlineLvl w:val="7"/>
    </w:pPr>
  </w:style>
  <w:style w:type="paragraph" w:styleId="Heading9">
    <w:name w:val="heading 9"/>
    <w:basedOn w:val="Normal"/>
    <w:next w:val="Normal"/>
    <w:qFormat/>
    <w:pPr>
      <w:keepNext/>
      <w:keepLines/>
      <w:overflowPunct/>
      <w:autoSpaceDE/>
      <w:autoSpaceDN/>
      <w:adjustRightInd/>
      <w:spacing w:after="240"/>
      <w:textAlignment w:val="auto"/>
      <w:outlineLvl w:val="8"/>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820"/>
        <w:tab w:val="right" w:pos="9639"/>
      </w:tabs>
    </w:pPr>
    <w:rPr>
      <w:rFonts w:cs="Arial"/>
      <w:b/>
      <w:bCs/>
      <w:vanish/>
      <w:sz w:val="16"/>
    </w:rPr>
  </w:style>
  <w:style w:type="paragraph" w:styleId="TOC2">
    <w:name w:val="toc 2"/>
    <w:basedOn w:val="Normal"/>
    <w:next w:val="Normal"/>
    <w:autoRedefine/>
    <w:semiHidden/>
    <w:pPr>
      <w:keepNext/>
      <w:keepLines/>
      <w:tabs>
        <w:tab w:val="left" w:pos="1418"/>
        <w:tab w:val="right" w:leader="dot" w:pos="9639"/>
      </w:tabs>
      <w:spacing w:before="120"/>
      <w:ind w:left="1418" w:right="566" w:hanging="1418"/>
    </w:pPr>
    <w:rPr>
      <w:rFonts w:cs="Arial"/>
      <w:noProof/>
      <w:szCs w:val="24"/>
    </w:rPr>
  </w:style>
  <w:style w:type="character" w:styleId="Hyperlink">
    <w:name w:val="Hyperlink"/>
    <w:rsid w:val="00AD5627"/>
    <w:rPr>
      <w:color w:val="0000FF"/>
      <w:u w:val="none"/>
    </w:rPr>
  </w:style>
  <w:style w:type="paragraph" w:customStyle="1" w:styleId="Fuzeile2">
    <w:name w:val="Fußzeile2"/>
    <w:basedOn w:val="Footer"/>
    <w:rPr>
      <w:b w:val="0"/>
      <w:bCs w:val="0"/>
      <w:vanish w:val="0"/>
    </w:rPr>
  </w:style>
  <w:style w:type="paragraph" w:customStyle="1" w:styleId="Fuzeile3">
    <w:name w:val="Fußzeile3"/>
    <w:basedOn w:val="Footer"/>
    <w:pPr>
      <w:jc w:val="center"/>
    </w:pPr>
    <w:rPr>
      <w:vanish w:val="0"/>
      <w:sz w:val="26"/>
    </w:rPr>
  </w:style>
  <w:style w:type="paragraph" w:styleId="TOC1">
    <w:name w:val="toc 1"/>
    <w:basedOn w:val="Normal"/>
    <w:next w:val="Normal"/>
    <w:semiHidden/>
    <w:pPr>
      <w:keepNext/>
      <w:keepLines/>
      <w:tabs>
        <w:tab w:val="left" w:pos="1418"/>
        <w:tab w:val="right" w:leader="dot" w:pos="9638"/>
      </w:tabs>
      <w:overflowPunct/>
      <w:autoSpaceDE/>
      <w:autoSpaceDN/>
      <w:adjustRightInd/>
      <w:spacing w:before="240"/>
      <w:ind w:left="1418" w:right="707" w:hanging="1417"/>
      <w:textAlignment w:val="auto"/>
    </w:pPr>
    <w:rPr>
      <w:noProof/>
    </w:rPr>
  </w:style>
  <w:style w:type="paragraph" w:styleId="TOC3">
    <w:name w:val="toc 3"/>
    <w:basedOn w:val="TOC2"/>
    <w:next w:val="Normal"/>
    <w:semiHidden/>
    <w:pPr>
      <w:spacing w:before="0"/>
    </w:pPr>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style>
  <w:style w:type="paragraph" w:styleId="TOC9">
    <w:name w:val="toc 9"/>
    <w:basedOn w:val="Normal"/>
    <w:next w:val="Normal"/>
    <w:autoRedefine/>
    <w:semiHidden/>
    <w:pPr>
      <w:keepNext/>
      <w:keepLines/>
      <w:tabs>
        <w:tab w:val="left" w:pos="1418"/>
        <w:tab w:val="right" w:leader="dot" w:pos="9639"/>
      </w:tabs>
      <w:overflowPunct/>
      <w:autoSpaceDE/>
      <w:autoSpaceDN/>
      <w:adjustRightInd/>
      <w:spacing w:before="240"/>
      <w:ind w:left="1418" w:right="567" w:hanging="1418"/>
      <w:textAlignment w:val="auto"/>
      <w:outlineLvl w:val="8"/>
    </w:pPr>
    <w:rPr>
      <w:noProof/>
      <w:szCs w:val="24"/>
    </w:rPr>
  </w:style>
  <w:style w:type="paragraph" w:customStyle="1" w:styleId="BeschriftungTabelle">
    <w:name w:val="Beschriftung_Tabelle"/>
    <w:basedOn w:val="Caption"/>
    <w:pPr>
      <w:keepNext/>
      <w:keepLines/>
      <w:spacing w:after="0"/>
      <w:jc w:val="center"/>
    </w:pPr>
    <w:rPr>
      <w:sz w:val="18"/>
    </w:rPr>
  </w:style>
  <w:style w:type="paragraph" w:customStyle="1" w:styleId="BeschriftungBild">
    <w:name w:val="Beschriftung_Bild"/>
    <w:basedOn w:val="BeschriftungTabelle"/>
  </w:style>
  <w:style w:type="paragraph" w:customStyle="1" w:styleId="Bild">
    <w:name w:val="Bild"/>
    <w:basedOn w:val="Normal"/>
    <w:next w:val="BeschriftungBild"/>
    <w:pPr>
      <w:keepNext/>
      <w:keepLines/>
      <w:overflowPunct/>
      <w:autoSpaceDE/>
      <w:autoSpaceDN/>
      <w:adjustRightInd/>
      <w:jc w:val="center"/>
      <w:textAlignment w:val="auto"/>
    </w:pPr>
  </w:style>
  <w:style w:type="paragraph" w:styleId="Caption">
    <w:name w:val="caption"/>
    <w:basedOn w:val="Normal"/>
    <w:next w:val="Normal"/>
    <w:qFormat/>
    <w:pPr>
      <w:spacing w:before="120" w:after="120"/>
    </w:pPr>
    <w:rPr>
      <w:b/>
      <w:bCs/>
      <w:sz w:val="20"/>
    </w:rPr>
  </w:style>
  <w:style w:type="paragraph" w:customStyle="1" w:styleId="HyperlinkSSB">
    <w:name w:val="Hyperlink_SSB"/>
    <w:basedOn w:val="Normal"/>
    <w:pPr>
      <w:keepNext/>
      <w:keepLines/>
      <w:tabs>
        <w:tab w:val="left" w:pos="426"/>
        <w:tab w:val="left" w:pos="851"/>
        <w:tab w:val="left" w:leader="dot" w:pos="7088"/>
      </w:tabs>
    </w:pPr>
    <w:rPr>
      <w:b/>
      <w:bCs/>
      <w:u w:val="single"/>
    </w:rPr>
  </w:style>
  <w:style w:type="paragraph" w:styleId="BodyText">
    <w:name w:val="Body Text"/>
    <w:basedOn w:val="Normal"/>
    <w:pPr>
      <w:jc w:val="center"/>
    </w:pPr>
    <w:rPr>
      <w:i/>
    </w:rPr>
  </w:style>
  <w:style w:type="paragraph" w:customStyle="1" w:styleId="AufzPunkt">
    <w:name w:val="AufzPunkt"/>
    <w:basedOn w:val="Normal"/>
    <w:pPr>
      <w:numPr>
        <w:numId w:val="11"/>
      </w:numPr>
      <w:spacing w:after="120"/>
      <w:ind w:left="568" w:hanging="284"/>
    </w:pPr>
  </w:style>
  <w:style w:type="paragraph" w:customStyle="1" w:styleId="Hinweistext">
    <w:name w:val="Hinweistext"/>
    <w:basedOn w:val="Normal"/>
    <w:pPr>
      <w:tabs>
        <w:tab w:val="left" w:pos="992"/>
      </w:tabs>
      <w:suppressAutoHyphens/>
      <w:ind w:left="992" w:hanging="992"/>
    </w:pPr>
    <w:rPr>
      <w:color w:val="0000FF"/>
      <w:sz w:val="18"/>
    </w:rPr>
  </w:style>
  <w:style w:type="paragraph" w:customStyle="1" w:styleId="AufzDokumente">
    <w:name w:val="AufzDokumente"/>
    <w:basedOn w:val="Normal"/>
    <w:autoRedefine/>
    <w:rsid w:val="00DF32B7"/>
    <w:pPr>
      <w:numPr>
        <w:numId w:val="13"/>
      </w:numPr>
      <w:tabs>
        <w:tab w:val="clear" w:pos="720"/>
      </w:tabs>
      <w:spacing w:after="120"/>
      <w:ind w:left="426" w:hanging="426"/>
      <w:jc w:val="left"/>
    </w:pPr>
    <w:rPr>
      <w:color w:val="000000" w:themeColor="text1"/>
    </w:rPr>
  </w:style>
  <w:style w:type="paragraph" w:customStyle="1" w:styleId="AufzSonstDoku">
    <w:name w:val="AufzSonstDoku"/>
    <w:basedOn w:val="Normal"/>
    <w:pPr>
      <w:numPr>
        <w:numId w:val="10"/>
      </w:numPr>
      <w:tabs>
        <w:tab w:val="clear" w:pos="720"/>
        <w:tab w:val="num" w:pos="284"/>
      </w:tabs>
      <w:spacing w:after="120"/>
      <w:ind w:left="284" w:hanging="284"/>
    </w:pPr>
  </w:style>
  <w:style w:type="character" w:styleId="FollowedHyperlink">
    <w:name w:val="FollowedHyperlink"/>
    <w:rPr>
      <w:color w:val="800080"/>
      <w:u w:val="single"/>
    </w:rPr>
  </w:style>
  <w:style w:type="table" w:styleId="TableGrid">
    <w:name w:val="Table Grid"/>
    <w:basedOn w:val="TableNormal"/>
    <w:rsid w:val="00260C3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ifizierungNr">
    <w:name w:val="Notifizierung_Nr"/>
    <w:basedOn w:val="Fuzeile3"/>
    <w:rsid w:val="001778D0"/>
    <w:rPr>
      <w:b w:val="0"/>
      <w:bCs w:val="0"/>
      <w:vanish/>
    </w:rPr>
  </w:style>
  <w:style w:type="paragraph" w:styleId="BalloonText">
    <w:name w:val="Balloon Text"/>
    <w:basedOn w:val="Normal"/>
    <w:semiHidden/>
    <w:rsid w:val="001C54E4"/>
    <w:rPr>
      <w:rFonts w:ascii="Tahoma" w:hAnsi="Tahoma" w:cs="Tahoma"/>
      <w:sz w:val="16"/>
      <w:szCs w:val="16"/>
    </w:rPr>
  </w:style>
  <w:style w:type="paragraph" w:styleId="FootnoteText">
    <w:name w:val="footnote text"/>
    <w:basedOn w:val="Normal"/>
    <w:semiHidden/>
    <w:rsid w:val="00206B7E"/>
    <w:pPr>
      <w:ind w:left="142" w:hanging="142"/>
    </w:pPr>
    <w:rPr>
      <w:sz w:val="16"/>
    </w:rPr>
  </w:style>
  <w:style w:type="character" w:styleId="FootnoteReference">
    <w:name w:val="footnote reference"/>
    <w:semiHidden/>
    <w:rsid w:val="00206B7E"/>
    <w:rPr>
      <w:rFonts w:ascii="Tahoma" w:hAnsi="Tahoma"/>
      <w:sz w:val="18"/>
      <w:vertAlign w:val="superscript"/>
    </w:rPr>
  </w:style>
  <w:style w:type="paragraph" w:styleId="NormalWeb">
    <w:name w:val="Normal (Web)"/>
    <w:basedOn w:val="Normal"/>
    <w:uiPriority w:val="99"/>
    <w:semiHidden/>
    <w:unhideWhenUsed/>
    <w:rsid w:val="000F4A2F"/>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rPr>
  </w:style>
  <w:style w:type="paragraph" w:styleId="Revision">
    <w:name w:val="Revision"/>
    <w:hidden/>
    <w:uiPriority w:val="99"/>
    <w:semiHidden/>
    <w:rsid w:val="00C92C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portal.intranet.intern.adns/orge/421/Documents/Dokumentvorlagen/www.bundesnetzagentur.d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b@bnetza.de?subject=Opis%20su&#269;elj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EE868F0985F24DA2F60A801C8ECF25" ma:contentTypeVersion="1" ma:contentTypeDescription="Ein neues Dokument erstellen." ma:contentTypeScope="" ma:versionID="78bdecbeea2ab5a124998467e97a69c7">
  <xsd:schema xmlns:xsd="http://www.w3.org/2001/XMLSchema" xmlns:p="http://schemas.microsoft.com/office/2006/metadata/properties" xmlns:ns1="http://schemas.microsoft.com/sharepoint/v3" targetNamespace="http://schemas.microsoft.com/office/2006/metadata/properties" ma:root="true" ma:fieldsID="9c6e23c278689328c8d8f644e9394df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Geplantes Startdatum" ma:internalName="PublishingStartDate">
      <xsd:simpleType>
        <xsd:restriction base="dms:Unknown"/>
      </xsd:simpleType>
    </xsd:element>
    <xsd:element name="PublishingExpirationDate" ma:index="9" nillable="true" ma:displayName="Geplantes Enddatum"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Kurzbezeichnu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CF1B0-C7EA-46D0-A9F1-7FF6F1AD1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45A0BF-98F4-4838-9191-7CA318D502AE}">
  <ds:schemaRefs>
    <ds:schemaRef ds:uri="http://schemas.microsoft.com/sharepoint/v3/contenttype/forms"/>
  </ds:schemaRefs>
</ds:datastoreItem>
</file>

<file path=customXml/itemProps3.xml><?xml version="1.0" encoding="utf-8"?>
<ds:datastoreItem xmlns:ds="http://schemas.openxmlformats.org/officeDocument/2006/customXml" ds:itemID="{3658E1C1-69D4-4175-B92A-BAC015E1A97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1056</Words>
  <Characters>6542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SSB FE-OE 058</vt:lpstr>
    </vt:vector>
  </TitlesOfParts>
  <Manager>Oliver Gecke</Manager>
  <Company>Bundesnetzagentur</Company>
  <LinksUpToDate>false</LinksUpToDate>
  <CharactersWithSpaces>7583</CharactersWithSpaces>
  <SharedDoc>false</SharedDoc>
  <HLinks>
    <vt:vector size="12" baseType="variant">
      <vt:variant>
        <vt:i4>2424942</vt:i4>
      </vt:variant>
      <vt:variant>
        <vt:i4>3</vt:i4>
      </vt:variant>
      <vt:variant>
        <vt:i4>0</vt:i4>
      </vt:variant>
      <vt:variant>
        <vt:i4>5</vt:i4>
      </vt:variant>
      <vt:variant>
        <vt:lpwstr>http://sp-portal.intranet.intern.adns/orge/421/Documents/Dokumentvorlagen/www.bundesnetzagentur.de</vt:lpwstr>
      </vt:variant>
      <vt:variant>
        <vt:lpwstr/>
      </vt:variant>
      <vt:variant>
        <vt:i4>1966135</vt:i4>
      </vt:variant>
      <vt:variant>
        <vt:i4>0</vt:i4>
      </vt:variant>
      <vt:variant>
        <vt:i4>0</vt:i4>
      </vt:variant>
      <vt:variant>
        <vt:i4>5</vt:i4>
      </vt:variant>
      <vt:variant>
        <vt:lpwstr>mailto:ssb@bnetza.de?subject=Schnitstellenbeschreibung%20...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 FE-OE 058</dc:title>
  <dc:subject>Schnittstellenbeschreibung für Richtfunkanlagen im 6,2 GHz-Bereich (L6) (Punkt-zu-Punkt)</dc:subject>
  <dc:creator>Bundesnetzagentur</dc:creator>
  <cp:keywords/>
  <dc:description/>
  <cp:lastModifiedBy>Liana Brili</cp:lastModifiedBy>
  <cp:revision>7</cp:revision>
  <cp:lastPrinted>2020-01-16T11:50:00Z</cp:lastPrinted>
  <dcterms:created xsi:type="dcterms:W3CDTF">2022-02-02T08:40:00Z</dcterms:created>
  <dcterms:modified xsi:type="dcterms:W3CDTF">2022-06-22T10:26:00Z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vt:lpwstr>4</vt:lpwstr>
  </property>
  <property fmtid="{D5CDD505-2E9C-101B-9397-08002B2CF9AE}" pid="3" name="Bearbeiter">
    <vt:lpwstr>421-1b</vt:lpwstr>
  </property>
  <property fmtid="{D5CDD505-2E9C-101B-9397-08002B2CF9AE}" pid="4" name="Erstellt von">
    <vt:lpwstr>421-1b</vt:lpwstr>
  </property>
  <property fmtid="{D5CDD505-2E9C-101B-9397-08002B2CF9AE}" pid="5" name="Herausgeber">
    <vt:lpwstr>421-1b</vt:lpwstr>
  </property>
  <property fmtid="{D5CDD505-2E9C-101B-9397-08002B2CF9AE}" pid="6" name="Status">
    <vt:lpwstr>Release</vt:lpwstr>
  </property>
  <property fmtid="{D5CDD505-2E9C-101B-9397-08002B2CF9AE}" pid="7" name="Version">
    <vt:lpwstr>3.0.18.0208</vt:lpwstr>
  </property>
  <property fmtid="{D5CDD505-2E9C-101B-9397-08002B2CF9AE}" pid="8" name="Ausgabedatum">
    <vt:filetime>2011-01-20T23:00:00Z</vt:filetime>
  </property>
  <property fmtid="{D5CDD505-2E9C-101B-9397-08002B2CF9AE}" pid="9" name="ContentTypeId">
    <vt:lpwstr>0x01010010EE868F0985F24DA2F60A801C8ECF25</vt:lpwstr>
  </property>
</Properties>
</file>