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top w:w="142" w:type="dxa"/>
          <w:left w:w="142" w:type="dxa"/>
          <w:bottom w:w="142" w:type="dxa"/>
          <w:right w:w="142" w:type="dxa"/>
        </w:tblCellMar>
        <w:tblLook w:val="0000" w:firstRow="0" w:lastRow="0" w:firstColumn="0" w:lastColumn="0" w:noHBand="0" w:noVBand="0"/>
      </w:tblPr>
      <w:tblGrid>
        <w:gridCol w:w="9639"/>
      </w:tblGrid>
      <w:tr w:rsidR="00E84013" w:rsidRPr="009B6C02" w14:paraId="5D27D3DC" w14:textId="77777777">
        <w:trPr>
          <w:cantSplit/>
          <w:trHeight w:hRule="exact" w:val="567"/>
          <w:jc w:val="center"/>
        </w:trPr>
        <w:tc>
          <w:tcPr>
            <w:tcW w:w="9639" w:type="dxa"/>
          </w:tcPr>
          <w:p w14:paraId="5D27D3DB" w14:textId="77777777" w:rsidR="00E84013" w:rsidRPr="009B6C02" w:rsidRDefault="00BC6BFF">
            <w:pPr>
              <w:jc w:val="center"/>
              <w:rPr>
                <w:rFonts w:ascii="Verdana" w:hAnsi="Verdana" w:cs="Arial"/>
                <w:color w:val="000000" w:themeColor="text1"/>
                <w:sz w:val="26"/>
                <w:szCs w:val="26"/>
              </w:rPr>
            </w:pPr>
            <w:r w:rsidRPr="009B6C02">
              <w:rPr>
                <w:rFonts w:ascii="Verdana" w:hAnsi="Verdana"/>
                <w:color w:val="000000" w:themeColor="text1"/>
                <w:sz w:val="26"/>
              </w:rPr>
              <w:t>Progetto</w:t>
            </w:r>
          </w:p>
        </w:tc>
      </w:tr>
      <w:tr w:rsidR="00E84013" w:rsidRPr="009B6C02" w14:paraId="5D27D3DE" w14:textId="77777777">
        <w:trPr>
          <w:cantSplit/>
          <w:trHeight w:hRule="exact" w:val="567"/>
          <w:jc w:val="center"/>
        </w:trPr>
        <w:tc>
          <w:tcPr>
            <w:tcW w:w="9639" w:type="dxa"/>
          </w:tcPr>
          <w:p w14:paraId="5D27D3DD" w14:textId="77777777" w:rsidR="00E84013" w:rsidRPr="009B6C02" w:rsidRDefault="00E84013">
            <w:pPr>
              <w:jc w:val="center"/>
              <w:rPr>
                <w:rFonts w:cs="Arial"/>
                <w:color w:val="000000" w:themeColor="text1"/>
                <w:sz w:val="28"/>
              </w:rPr>
            </w:pPr>
          </w:p>
        </w:tc>
      </w:tr>
      <w:tr w:rsidR="00E84013" w:rsidRPr="009B6C02" w14:paraId="5D27D3E0" w14:textId="77777777">
        <w:trPr>
          <w:cantSplit/>
          <w:trHeight w:hRule="exact" w:val="1985"/>
          <w:jc w:val="center"/>
        </w:trPr>
        <w:tc>
          <w:tcPr>
            <w:tcW w:w="9639" w:type="dxa"/>
          </w:tcPr>
          <w:p w14:paraId="5D27D3DF" w14:textId="58E47DC6" w:rsidR="00E84013" w:rsidRPr="009B6C02" w:rsidRDefault="00E84013" w:rsidP="003F6241">
            <w:pPr>
              <w:jc w:val="center"/>
              <w:rPr>
                <w:rFonts w:ascii="Verdana" w:hAnsi="Verdana"/>
                <w:b/>
                <w:bCs/>
                <w:color w:val="000000" w:themeColor="text1"/>
                <w:sz w:val="72"/>
              </w:rPr>
            </w:pPr>
            <w:r w:rsidRPr="009B6C02">
              <w:rPr>
                <w:rFonts w:ascii="Verdana" w:hAnsi="Verdana"/>
                <w:b/>
                <w:color w:val="000000" w:themeColor="text1"/>
                <w:sz w:val="72"/>
              </w:rPr>
              <w:t>SSB FE–OE 058</w:t>
            </w:r>
          </w:p>
        </w:tc>
      </w:tr>
      <w:tr w:rsidR="00E84013" w:rsidRPr="009B6C02" w14:paraId="5D27D3E7" w14:textId="77777777">
        <w:trPr>
          <w:cantSplit/>
          <w:trHeight w:val="3969"/>
          <w:jc w:val="center"/>
        </w:trPr>
        <w:tc>
          <w:tcPr>
            <w:tcW w:w="9639" w:type="dxa"/>
          </w:tcPr>
          <w:p w14:paraId="5D27D3E2" w14:textId="2237C949" w:rsidR="00E84013" w:rsidRPr="009B6C02" w:rsidRDefault="00E84013" w:rsidP="005E06AD">
            <w:pPr>
              <w:jc w:val="center"/>
              <w:rPr>
                <w:rFonts w:ascii="Verdana" w:hAnsi="Verdana" w:cs="Arial"/>
                <w:b/>
                <w:bCs/>
                <w:color w:val="000000" w:themeColor="text1"/>
                <w:sz w:val="36"/>
              </w:rPr>
            </w:pPr>
            <w:r w:rsidRPr="009B6C02">
              <w:rPr>
                <w:rFonts w:ascii="Verdana" w:hAnsi="Verdana"/>
                <w:b/>
                <w:color w:val="000000" w:themeColor="text1"/>
                <w:sz w:val="36"/>
              </w:rPr>
              <w:t xml:space="preserve">Specifiche dell'interfaccia per apparecchiature di radiotrasmissione nell'intervallo 6,2 GHz (L6) (punto-punto) </w:t>
            </w:r>
          </w:p>
          <w:p w14:paraId="5D27D3E3" w14:textId="77777777" w:rsidR="00E84013" w:rsidRPr="009B6C02" w:rsidRDefault="00E84013">
            <w:pPr>
              <w:jc w:val="center"/>
              <w:rPr>
                <w:rFonts w:ascii="Verdana" w:hAnsi="Verdana" w:cs="Arial"/>
                <w:b/>
                <w:bCs/>
                <w:color w:val="000000" w:themeColor="text1"/>
                <w:sz w:val="36"/>
              </w:rPr>
            </w:pPr>
          </w:p>
          <w:p w14:paraId="5D27D3E5" w14:textId="77777777" w:rsidR="00E84013" w:rsidRPr="009B6C02" w:rsidRDefault="00E84013">
            <w:pPr>
              <w:jc w:val="center"/>
              <w:rPr>
                <w:rFonts w:ascii="Verdana" w:hAnsi="Verdana" w:cs="Arial"/>
                <w:b/>
                <w:bCs/>
                <w:color w:val="000000" w:themeColor="text1"/>
                <w:sz w:val="36"/>
              </w:rPr>
            </w:pPr>
          </w:p>
          <w:p w14:paraId="5D27D3E6" w14:textId="77777777" w:rsidR="00E84013" w:rsidRPr="009B6C02" w:rsidRDefault="00E84013">
            <w:pPr>
              <w:jc w:val="center"/>
              <w:rPr>
                <w:rFonts w:cs="Arial"/>
                <w:b/>
                <w:bCs/>
                <w:color w:val="000000" w:themeColor="text1"/>
                <w:sz w:val="36"/>
              </w:rPr>
            </w:pPr>
          </w:p>
        </w:tc>
      </w:tr>
      <w:tr w:rsidR="00E84013" w:rsidRPr="009B6C02" w14:paraId="5D27D3E9" w14:textId="77777777">
        <w:trPr>
          <w:cantSplit/>
          <w:trHeight w:hRule="exact" w:val="567"/>
          <w:jc w:val="center"/>
        </w:trPr>
        <w:tc>
          <w:tcPr>
            <w:tcW w:w="9639" w:type="dxa"/>
          </w:tcPr>
          <w:p w14:paraId="5D27D3E8" w14:textId="777FBD58" w:rsidR="00E84013" w:rsidRPr="009B6C02" w:rsidRDefault="00E84013" w:rsidP="00300659">
            <w:pPr>
              <w:jc w:val="center"/>
              <w:rPr>
                <w:rFonts w:ascii="Verdana" w:hAnsi="Verdana" w:cs="Tahoma"/>
                <w:color w:val="000000" w:themeColor="text1"/>
                <w:sz w:val="32"/>
              </w:rPr>
            </w:pPr>
            <w:r w:rsidRPr="009B6C02">
              <w:rPr>
                <w:rFonts w:ascii="Verdana" w:hAnsi="Verdana"/>
                <w:color w:val="000000" w:themeColor="text1"/>
                <w:sz w:val="32"/>
              </w:rPr>
              <w:t>Edizione: febbraio 2022</w:t>
            </w:r>
          </w:p>
        </w:tc>
      </w:tr>
    </w:tbl>
    <w:p w14:paraId="5D27D3EA" w14:textId="77777777" w:rsidR="00E84013" w:rsidRPr="009B6C02" w:rsidRDefault="00E84013">
      <w:pPr>
        <w:rPr>
          <w:rFonts w:cs="Arial"/>
        </w:rPr>
      </w:pPr>
    </w:p>
    <w:p w14:paraId="5D27D3EB" w14:textId="77777777" w:rsidR="00E84013" w:rsidRPr="009B6C02" w:rsidRDefault="00E84013">
      <w:pPr>
        <w:pStyle w:val="Header"/>
        <w:tabs>
          <w:tab w:val="clear" w:pos="4536"/>
          <w:tab w:val="clear" w:pos="9072"/>
        </w:tabs>
        <w:rPr>
          <w:rFonts w:cs="Arial"/>
        </w:rPr>
        <w:sectPr w:rsidR="00E84013" w:rsidRPr="009B6C02" w:rsidSect="00331634">
          <w:headerReference w:type="default" r:id="rId10"/>
          <w:footerReference w:type="default" r:id="rId11"/>
          <w:headerReference w:type="first" r:id="rId12"/>
          <w:footerReference w:type="first" r:id="rId13"/>
          <w:pgSz w:w="11906" w:h="16838" w:code="9"/>
          <w:pgMar w:top="1134" w:right="1134" w:bottom="1134" w:left="1134" w:header="851" w:footer="851" w:gutter="0"/>
          <w:cols w:space="720"/>
          <w:titlePg/>
        </w:sectPr>
      </w:pPr>
    </w:p>
    <w:p w14:paraId="5D27D3EC" w14:textId="77777777" w:rsidR="00E84013" w:rsidRPr="009B6C02" w:rsidRDefault="001A3007">
      <w:pPr>
        <w:pStyle w:val="Heading1"/>
        <w:rPr>
          <w:color w:val="000000" w:themeColor="text1"/>
        </w:rPr>
      </w:pPr>
      <w:bookmarkStart w:id="0" w:name="_Toc193600032"/>
      <w:r w:rsidRPr="009B6C02">
        <w:rPr>
          <w:color w:val="000000" w:themeColor="text1"/>
        </w:rPr>
        <w:lastRenderedPageBreak/>
        <w:t>1</w:t>
      </w:r>
      <w:r w:rsidRPr="009B6C02">
        <w:rPr>
          <w:color w:val="000000" w:themeColor="text1"/>
        </w:rPr>
        <w:tab/>
        <w:t>Considerazioni generali</w:t>
      </w:r>
      <w:bookmarkEnd w:id="0"/>
    </w:p>
    <w:p w14:paraId="26A46CD4" w14:textId="77777777" w:rsidR="00571FA8" w:rsidRPr="009B6C02" w:rsidRDefault="00571FA8" w:rsidP="00571FA8">
      <w:r w:rsidRPr="009B6C02">
        <w:t>La direttiva 2014/53/UE del Parlamento europeo e del Consiglio, del 16 aprile 2014 (GU L 153/62), concernente l'armonizzazione delle legislazioni degli Stati membri relative alla messa a disposizione sul mercato di apparecchiature radio e che abroga la direttiva 1999/5/CE, è stata recepita nella Repubblica federale di Germania dalla legge sulla fornitura di sistemi radiofonici sul mercato (FuAG), del 27 giugno 2017 (Gazzetta federale I, n. 42, pag. 1947), modificata da ultimo dall'articolo 52 della legge, del 23 giugno 2021 (Gazzetta federale I n. 35, pag. 1858).</w:t>
      </w:r>
    </w:p>
    <w:p w14:paraId="0CEFD949" w14:textId="77777777" w:rsidR="00571FA8" w:rsidRPr="009B6C02" w:rsidRDefault="00571FA8" w:rsidP="00571FA8">
      <w:pPr>
        <w:rPr>
          <w:color w:val="000000" w:themeColor="text1"/>
        </w:rPr>
      </w:pPr>
    </w:p>
    <w:p w14:paraId="686F77F2" w14:textId="77777777" w:rsidR="00571FA8" w:rsidRPr="009B6C02" w:rsidRDefault="00571FA8" w:rsidP="00571FA8">
      <w:pPr>
        <w:rPr>
          <w:rFonts w:cs="Arial"/>
          <w:color w:val="000000" w:themeColor="text1"/>
          <w:szCs w:val="22"/>
        </w:rPr>
      </w:pPr>
      <w:r w:rsidRPr="009B6C02">
        <w:rPr>
          <w:color w:val="000000" w:themeColor="text1"/>
        </w:rPr>
        <w:t xml:space="preserve">Ai sensi dell'articolo 33, paragrafo 1 della FuAG, l'Agenzia federale tedesca delle reti deve fornire specifiche apposite e appropriate delle interfacce radio in merito alle apparecchiature radio operanti nelle bande di frequenza le cui condizioni d'uso non sono armonizzate in tutta la Comunità. </w:t>
      </w:r>
    </w:p>
    <w:p w14:paraId="1759621F" w14:textId="77777777" w:rsidR="00571FA8" w:rsidRPr="009B6C02" w:rsidRDefault="00571FA8" w:rsidP="00571FA8">
      <w:pPr>
        <w:rPr>
          <w:rFonts w:cs="Arial"/>
          <w:color w:val="000000" w:themeColor="text1"/>
          <w:szCs w:val="22"/>
        </w:rPr>
      </w:pPr>
    </w:p>
    <w:p w14:paraId="5B16059E" w14:textId="77777777" w:rsidR="00571FA8" w:rsidRPr="009B6C02" w:rsidRDefault="00571FA8" w:rsidP="00571FA8">
      <w:pPr>
        <w:rPr>
          <w:color w:val="000000" w:themeColor="text1"/>
        </w:rPr>
      </w:pPr>
      <w:r w:rsidRPr="009B6C02">
        <w:rPr>
          <w:color w:val="000000" w:themeColor="text1"/>
        </w:rPr>
        <w:t xml:space="preserve">La presente descrizione dell'interfaccia (SSB) contiene le informazioni necessarie per consentire al fabbricante di effettuare le rispettive prove in relazione ai requisiti essenziali applicabili al sistema radio in conformità al paragrafo 4, comma 2 e, ove applicabile, al paragrafo 3. </w:t>
      </w:r>
    </w:p>
    <w:p w14:paraId="76E26DBD" w14:textId="77777777" w:rsidR="00571FA8" w:rsidRPr="009B6C02" w:rsidRDefault="00571FA8" w:rsidP="00571FA8">
      <w:pPr>
        <w:rPr>
          <w:color w:val="000000" w:themeColor="text1"/>
        </w:rPr>
      </w:pPr>
    </w:p>
    <w:p w14:paraId="6798E8B7" w14:textId="77777777" w:rsidR="00571FA8" w:rsidRPr="009B6C02" w:rsidRDefault="00571FA8" w:rsidP="00571FA8">
      <w:pPr>
        <w:rPr>
          <w:rFonts w:cs="Arial"/>
          <w:color w:val="000000" w:themeColor="text1"/>
          <w:szCs w:val="22"/>
        </w:rPr>
      </w:pPr>
      <w:r w:rsidRPr="009B6C02">
        <w:rPr>
          <w:color w:val="000000" w:themeColor="text1"/>
        </w:rPr>
        <w:t>Inoltre, le apparecchiature radio devono essere progettate in modo tale che siano rispettati altri requisiti di base, ai sensi dell'articolo 4, paragrafo 1, commi 1 e 2 della FuAG.</w:t>
      </w:r>
    </w:p>
    <w:p w14:paraId="70249476" w14:textId="77777777" w:rsidR="00571FA8" w:rsidRPr="009B6C02" w:rsidRDefault="00571FA8" w:rsidP="00571FA8">
      <w:pPr>
        <w:rPr>
          <w:rFonts w:cs="Arial"/>
          <w:color w:val="000000" w:themeColor="text1"/>
        </w:rPr>
      </w:pPr>
    </w:p>
    <w:p w14:paraId="466066DB" w14:textId="77777777" w:rsidR="00571FA8" w:rsidRPr="009B6C02" w:rsidRDefault="00571FA8" w:rsidP="00571FA8">
      <w:pPr>
        <w:rPr>
          <w:rFonts w:cs="Arial"/>
          <w:color w:val="000000" w:themeColor="text1"/>
          <w:szCs w:val="22"/>
        </w:rPr>
      </w:pPr>
      <w:r w:rsidRPr="009B6C02">
        <w:rPr>
          <w:color w:val="000000" w:themeColor="text1"/>
        </w:rPr>
        <w:t>Per la messa in funzione e il funzionamento delle apparecchiature radio restano invariate le disposizioni riguardanti l'assegnazione delle frequenze, in particolare quelle contenute nella parte 6, paragrafo 1, della legge sulle telecomunicazioni (Telekommunikationsgesetz – TKG) del 23 giugno 2021</w:t>
      </w:r>
      <w:bookmarkStart w:id="1" w:name="OLE_LINK4"/>
      <w:r w:rsidRPr="009B6C02">
        <w:rPr>
          <w:color w:val="000000" w:themeColor="text1"/>
        </w:rPr>
        <w:t>(Gazzetta ufficiale federale I n. 35, p. 1858)</w:t>
      </w:r>
      <w:bookmarkEnd w:id="1"/>
      <w:r w:rsidRPr="009B6C02">
        <w:rPr>
          <w:color w:val="000000" w:themeColor="text1"/>
        </w:rPr>
        <w:t>, modificata da ultimo il 1° gennaio 2022 dall'articolo 59 della legge del 23 giugno 2021 (Gazzetta ufficiale federale I n. 35, pag. 1858).</w:t>
      </w:r>
    </w:p>
    <w:p w14:paraId="7B56C04A" w14:textId="77777777" w:rsidR="00571FA8" w:rsidRPr="009B6C02" w:rsidRDefault="00571FA8" w:rsidP="00571FA8"/>
    <w:p w14:paraId="4A1BC3D4" w14:textId="77777777" w:rsidR="00571FA8" w:rsidRPr="009B6C02" w:rsidRDefault="00571FA8" w:rsidP="00571FA8">
      <w:r w:rsidRPr="009B6C02">
        <w:t>Il decreto sul metodo di rilevamento per la limitazione dei campi elettromagnetici (BEMFV) del 20 agosto 2002 (Gazzetta ufficiale federale I n. 60, pag. 3366), modificata da ultimo il 4 luglio 2017 dall'articolo 3, paragrafo 3, della legge del 27 giugno 2017 (Gazzetta ufficiale federale I n. 42, pag. 1947), deve essere rispettata.</w:t>
      </w:r>
    </w:p>
    <w:p w14:paraId="26347A0D" w14:textId="77777777" w:rsidR="00571FA8" w:rsidRPr="009B6C02" w:rsidRDefault="00571FA8" w:rsidP="00571FA8">
      <w:pPr>
        <w:rPr>
          <w:color w:val="000000" w:themeColor="text1"/>
        </w:rPr>
      </w:pPr>
    </w:p>
    <w:p w14:paraId="463B1CFD" w14:textId="77777777" w:rsidR="00571FA8" w:rsidRPr="009B6C02" w:rsidRDefault="00571FA8" w:rsidP="00571FA8">
      <w:pPr>
        <w:rPr>
          <w:rFonts w:cs="Arial"/>
          <w:color w:val="000000" w:themeColor="text1"/>
          <w:szCs w:val="22"/>
        </w:rPr>
      </w:pPr>
      <w:r w:rsidRPr="009B6C02">
        <w:rPr>
          <w:color w:val="000000" w:themeColor="text1"/>
        </w:rPr>
        <w:t>L'Agenzia federale tedesca delle reti ordina l'emanazione della specifica dell'interfaccia nella Gazzetta ufficiale e ne pubblica il riferimento; solo l'edizione tedesca è vincolante.</w:t>
      </w:r>
    </w:p>
    <w:p w14:paraId="7EC7E19C" w14:textId="77777777" w:rsidR="001671D3" w:rsidRPr="009B6C02" w:rsidRDefault="001671D3" w:rsidP="001671D3">
      <w:pPr>
        <w:rPr>
          <w:rFonts w:cs="Arial"/>
          <w:color w:val="000000" w:themeColor="text1"/>
          <w:szCs w:val="22"/>
        </w:rPr>
      </w:pPr>
    </w:p>
    <w:p w14:paraId="5D27D3F7" w14:textId="77777777" w:rsidR="00381B7A" w:rsidRPr="009B6C02" w:rsidRDefault="00381B7A">
      <w:pPr>
        <w:rPr>
          <w:color w:val="000000" w:themeColor="text1"/>
        </w:rPr>
      </w:pPr>
    </w:p>
    <w:p w14:paraId="5A7D98E0" w14:textId="77777777" w:rsidR="001E3760" w:rsidRPr="009B6C02" w:rsidRDefault="001E3760">
      <w:pPr>
        <w:rPr>
          <w:color w:val="000000" w:themeColor="text1"/>
        </w:rPr>
      </w:pPr>
    </w:p>
    <w:p w14:paraId="5D27D3F8" w14:textId="77777777" w:rsidR="00E84013" w:rsidRPr="009B6C02" w:rsidRDefault="001A3007" w:rsidP="001A3007">
      <w:pPr>
        <w:pStyle w:val="Heading1"/>
        <w:rPr>
          <w:color w:val="000000" w:themeColor="text1"/>
        </w:rPr>
      </w:pPr>
      <w:bookmarkStart w:id="2" w:name="_Toc193600035"/>
      <w:r w:rsidRPr="009B6C02">
        <w:rPr>
          <w:color w:val="000000" w:themeColor="text1"/>
        </w:rPr>
        <w:t>2</w:t>
      </w:r>
      <w:r w:rsidRPr="009B6C02">
        <w:rPr>
          <w:color w:val="000000" w:themeColor="text1"/>
        </w:rPr>
        <w:tab/>
        <w:t>Campo di applicazione</w:t>
      </w:r>
      <w:bookmarkEnd w:id="2"/>
    </w:p>
    <w:p w14:paraId="1EC636BE" w14:textId="0CDECEB4" w:rsidR="00663106" w:rsidRPr="009B6C02" w:rsidRDefault="00663106" w:rsidP="000F4A2F">
      <w:pPr>
        <w:rPr>
          <w:color w:val="000000" w:themeColor="text1"/>
          <w:sz w:val="20"/>
        </w:rPr>
      </w:pPr>
      <w:r w:rsidRPr="009B6C02">
        <w:rPr>
          <w:color w:val="000000" w:themeColor="text1"/>
        </w:rPr>
        <w:t>La presente specifica di interfaccia descrive i requisiti di base relativi all'articolo 4, paragrafo 2, della FuAG per i sistemi radio per le apparecchiature di radiotrasmissione punto-punto (P-P) nella gamma dei 6,2 GHz</w:t>
      </w:r>
      <w:r w:rsidRPr="009B6C02">
        <w:rPr>
          <w:color w:val="000000" w:themeColor="text1"/>
          <w:sz w:val="20"/>
        </w:rPr>
        <w:t>.</w:t>
      </w:r>
    </w:p>
    <w:p w14:paraId="352EEB65" w14:textId="77777777" w:rsidR="00663106" w:rsidRPr="009B6C02" w:rsidRDefault="00663106" w:rsidP="00663106">
      <w:pPr>
        <w:pStyle w:val="Header"/>
        <w:tabs>
          <w:tab w:val="clear" w:pos="4536"/>
          <w:tab w:val="clear" w:pos="9072"/>
        </w:tabs>
        <w:rPr>
          <w:color w:val="000000" w:themeColor="text1"/>
        </w:rPr>
      </w:pPr>
    </w:p>
    <w:p w14:paraId="64094965" w14:textId="05400DFC" w:rsidR="00663106" w:rsidRPr="009B6C02" w:rsidRDefault="00663106" w:rsidP="00663106">
      <w:pPr>
        <w:rPr>
          <w:color w:val="000000" w:themeColor="text1"/>
          <w:szCs w:val="22"/>
        </w:rPr>
      </w:pPr>
      <w:r w:rsidRPr="009B6C02">
        <w:rPr>
          <w:color w:val="000000" w:themeColor="text1"/>
        </w:rPr>
        <w:t>Le apparecchiature radio, ai sensi della presente specifica dell'interfaccia, vanno utilizzate ai fini previsti e impiegate conformemente alle istruzioni del fabbricante. La direttiva 2014/53/UE impone ai fabbricanti di fornire agli utenti delle apparecchiature radio informazioni adeguate per consentire loro di utilizzare le apparecchiature radio come previsto e conformemente alle disposizioni di detta direttiva. Tali informazioni prevedono altresì istruzioni adeguate sui tipi di cablaggio e di antenne da utilizzare in combinazione con le apparecchiature radio.</w:t>
      </w:r>
    </w:p>
    <w:p w14:paraId="5D27D3FC" w14:textId="77777777" w:rsidR="004A212D" w:rsidRPr="009B6C02" w:rsidRDefault="004A212D">
      <w:pPr>
        <w:rPr>
          <w:rFonts w:cs="Arial"/>
          <w:color w:val="000000" w:themeColor="text1"/>
        </w:rPr>
      </w:pPr>
    </w:p>
    <w:p w14:paraId="5D27D3FD" w14:textId="1EC1E9E6" w:rsidR="004A212D" w:rsidRPr="009B6C02" w:rsidRDefault="00D36D4E" w:rsidP="00FE565F">
      <w:pPr>
        <w:rPr>
          <w:rFonts w:cs="Arial"/>
        </w:rPr>
      </w:pPr>
      <w:r w:rsidRPr="009B6C02">
        <w:t>Questa specifica di interfaccia sostituisce SSB FE-OE 030, edizione gennaio 2011, notificata con il n. 2011/0093/D.</w:t>
      </w:r>
    </w:p>
    <w:p w14:paraId="5D27D3FE" w14:textId="77777777" w:rsidR="004A212D" w:rsidRPr="009B6C02" w:rsidRDefault="001A3007" w:rsidP="001A3007">
      <w:pPr>
        <w:pStyle w:val="Heading1"/>
        <w:rPr>
          <w:color w:val="000000" w:themeColor="text1"/>
        </w:rPr>
      </w:pPr>
      <w:r w:rsidRPr="009B6C02">
        <w:br w:type="page"/>
      </w:r>
      <w:r w:rsidRPr="009B6C02">
        <w:rPr>
          <w:color w:val="000000" w:themeColor="text1"/>
        </w:rPr>
        <w:lastRenderedPageBreak/>
        <w:t>3</w:t>
      </w:r>
      <w:r w:rsidRPr="009B6C02">
        <w:rPr>
          <w:color w:val="000000" w:themeColor="text1"/>
        </w:rPr>
        <w:tab/>
        <w:t>Documenti e informazioni di contatto:</w:t>
      </w:r>
    </w:p>
    <w:p w14:paraId="7397C444" w14:textId="2B5CA345" w:rsidR="009402BF" w:rsidRPr="009B6C02" w:rsidRDefault="009402BF" w:rsidP="002C732C">
      <w:pPr>
        <w:pStyle w:val="AufzDokumente"/>
        <w:numPr>
          <w:ilvl w:val="0"/>
          <w:numId w:val="0"/>
        </w:numPr>
        <w:jc w:val="both"/>
      </w:pPr>
      <w:r w:rsidRPr="009B6C02">
        <w:t>Ai fini dell'applicazione del presente documento sono necessari i seguenti documenti. Per i riferimenti datati si applica solo l'edizione di riferimento del documento. Per i riferimenti senza data si applica l'ultima edizione del documento di riferimento (ivi comprese eventuali modifiche).</w:t>
      </w:r>
    </w:p>
    <w:p w14:paraId="7686CBE5" w14:textId="34EC8BA7" w:rsidR="00336A2D" w:rsidRPr="009B6C02" w:rsidRDefault="00336A2D" w:rsidP="002C732C">
      <w:pPr>
        <w:pStyle w:val="AufzDokumente"/>
        <w:numPr>
          <w:ilvl w:val="0"/>
          <w:numId w:val="0"/>
        </w:numPr>
        <w:jc w:val="both"/>
      </w:pPr>
      <w:r w:rsidRPr="009B6C02">
        <w:t>La presunzione di conformità può essere basata solo su versioni di norme europee armonizzate che sono incluse nell'attuale elenco di norme armonizzate nel quadro della direttiva 2014/53/UE e sono state pubblicate dalla Commissione europea nella Gazzetta ufficiale dell'UE.</w:t>
      </w:r>
    </w:p>
    <w:p w14:paraId="3ABCE6F5" w14:textId="0F9AD3A4" w:rsidR="001E3760" w:rsidRPr="009B6C02" w:rsidRDefault="001E3760" w:rsidP="00DF32B7">
      <w:pPr>
        <w:pStyle w:val="AufzDokumente"/>
      </w:pPr>
      <w:r w:rsidRPr="009B6C02">
        <w:t>Piano delle frequenze in conformità all'articolo 54 della TKG sulla distribuzione della gamma di frequenze da 0 kHz a 3 000 GHz tra gli usi dello spettro e sulle definizioni per tali usi</w:t>
      </w:r>
      <w:r w:rsidRPr="009B6C02">
        <w:br/>
        <w:t>Pubblicato dall'Agenzia federale delle reti</w:t>
      </w:r>
    </w:p>
    <w:p w14:paraId="12456D5A" w14:textId="596BFDB1" w:rsidR="00882122" w:rsidRPr="009B6C02" w:rsidRDefault="00882122" w:rsidP="00DF32B7">
      <w:pPr>
        <w:pStyle w:val="AufzDokumente"/>
      </w:pPr>
      <w:r w:rsidRPr="009B6C02">
        <w:t>Provvedimento amministrativo per l'assegnazione di frequenze nel servizio di radiofonia fissa per le applicazioni di ponte radio (VV RiFu)</w:t>
      </w:r>
      <w:r w:rsidRPr="009B6C02">
        <w:br/>
        <w:t>Pubblicato dall'Agenzia federale tedesca delle reti</w:t>
      </w:r>
    </w:p>
    <w:p w14:paraId="0F43C18D" w14:textId="585B60E5" w:rsidR="00A02A4D" w:rsidRPr="009B6C02" w:rsidRDefault="00A02A4D" w:rsidP="00DF32B7">
      <w:pPr>
        <w:pStyle w:val="AufzDokumente"/>
      </w:pPr>
      <w:r w:rsidRPr="009B6C02">
        <w:t>Modifica dei termini d'uso delle frequenze della gamma 6,2 GHz per l'attuazione dei canali di trasmissione radio Gazzetta ufficiale dell'Agenzia federale delle reti n. 7/2010, numero 10</w:t>
      </w:r>
    </w:p>
    <w:p w14:paraId="5D27D400" w14:textId="0BEFECEF" w:rsidR="004A212D" w:rsidRPr="009B6C02" w:rsidRDefault="004A212D" w:rsidP="00DF32B7">
      <w:pPr>
        <w:pStyle w:val="AufzDokumente"/>
      </w:pPr>
      <w:r w:rsidRPr="009B6C02">
        <w:t>Regolamento di esecuzione per il servizio di radiodiffusione</w:t>
      </w:r>
      <w:r w:rsidRPr="009B6C02">
        <w:rPr>
          <w:rStyle w:val="FootnoteReference"/>
        </w:rPr>
        <w:footnoteReference w:id="1"/>
      </w:r>
      <w:r w:rsidRPr="009B6C02">
        <w:t xml:space="preserve"> (VO Funk), Unione internazionale delle telecomunicazioni (UIT), Ginevra</w:t>
      </w:r>
      <w:r w:rsidRPr="009B6C02">
        <w:br/>
        <w:t>(</w:t>
      </w:r>
      <w:r w:rsidRPr="009B6C02">
        <w:rPr>
          <w:i/>
        </w:rPr>
        <w:t>Règlement des radiocommunications</w:t>
      </w:r>
      <w:r w:rsidRPr="009B6C02">
        <w:t>, Union internationale des télécommunications (UIT), Ginevra)</w:t>
      </w:r>
    </w:p>
    <w:p w14:paraId="5CC602CB" w14:textId="77777777" w:rsidR="009B6C02" w:rsidRDefault="009B6C02" w:rsidP="009B6C02">
      <w:pPr>
        <w:pStyle w:val="AufzDokumente"/>
      </w:pPr>
      <w:r>
        <w:t>ITU-R F.383-10</w:t>
      </w:r>
      <w:r>
        <w:br/>
        <w:t>Radio-frequency channel arrangements for high-capacity fixed wireless operating systems in the lower 6 GHz (5 925 to 6 425 MHz) band, 20/2021</w:t>
      </w:r>
    </w:p>
    <w:p w14:paraId="33660ECC" w14:textId="77777777" w:rsidR="009B6C02" w:rsidRDefault="009B6C02" w:rsidP="009B6C02">
      <w:pPr>
        <w:pStyle w:val="AufzDokumente"/>
      </w:pPr>
      <w:r>
        <w:t>CEPT ERC Recommendation 14-01</w:t>
      </w:r>
      <w:r>
        <w:br/>
        <w:t xml:space="preserve">Radio-frequency channel arrangements for high capacity analogue and digital radio-relay systems operating in the band 5 925 to 6 425 MHz, amended May 2015 </w:t>
      </w:r>
    </w:p>
    <w:p w14:paraId="6D5274E9" w14:textId="77777777" w:rsidR="009B6C02" w:rsidRDefault="009B6C02" w:rsidP="009B6C02">
      <w:pPr>
        <w:pStyle w:val="AufzDokumente"/>
      </w:pPr>
      <w:r>
        <w:t>CEPT ERC Recommendation 74-01</w:t>
      </w:r>
      <w:r>
        <w:br/>
        <w:t xml:space="preserve">Unwanted emissions in the spurious domain, 29 May 2019 </w:t>
      </w:r>
    </w:p>
    <w:p w14:paraId="0F5BEF75" w14:textId="77777777" w:rsidR="009B6C02" w:rsidRDefault="009B6C02" w:rsidP="009B6C02">
      <w:pPr>
        <w:pStyle w:val="AufzDokumente"/>
      </w:pPr>
      <w:r>
        <w:t>ETSI EN 302 217-1</w:t>
      </w:r>
      <w:r>
        <w:br/>
        <w:t>Fixed Radio Systems; Characteristics and requirements for point-to-point equipment and antennas; Part 1: Overview, common characteristics and system-independent requirements</w:t>
      </w:r>
    </w:p>
    <w:p w14:paraId="54FE02B1" w14:textId="77777777" w:rsidR="009B6C02" w:rsidRDefault="009B6C02" w:rsidP="009B6C02">
      <w:pPr>
        <w:pStyle w:val="AufzDokumente"/>
      </w:pPr>
      <w:r>
        <w:t>ETSI EN 302 217-2</w:t>
      </w:r>
      <w:r>
        <w:br/>
        <w:t>Fixed Radio Systems; Characteristics and requirements for point-to-point equipment and antennas; Part 2: Digital systems operating in frequency bands from 1 GHz to 86 GHz; Harmonised Standard for access to radio spectrum</w:t>
      </w:r>
    </w:p>
    <w:p w14:paraId="2FBA1A11" w14:textId="77777777" w:rsidR="009B6C02" w:rsidRPr="001D3270" w:rsidRDefault="009B6C02" w:rsidP="009B6C02">
      <w:pPr>
        <w:pStyle w:val="AufzDokumente"/>
      </w:pPr>
      <w:r>
        <w:t>ETSI EN 302 217-4</w:t>
      </w:r>
      <w:r>
        <w:br/>
        <w:t>Fixed Radio Systems; Characteristics and requirements for point-to-point equipment and antennas; Part 4: Antennas</w:t>
      </w:r>
    </w:p>
    <w:p w14:paraId="4E9F50CB" w14:textId="77777777" w:rsidR="008D5EA0" w:rsidRPr="009B6C02" w:rsidRDefault="008D5EA0">
      <w:pPr>
        <w:overflowPunct/>
        <w:autoSpaceDE/>
        <w:autoSpaceDN/>
        <w:adjustRightInd/>
        <w:jc w:val="left"/>
        <w:textAlignment w:val="auto"/>
        <w:rPr>
          <w:rFonts w:cs="Arial"/>
          <w:color w:val="000000" w:themeColor="text1"/>
        </w:rPr>
      </w:pPr>
      <w:r w:rsidRPr="009B6C02">
        <w:br w:type="page"/>
      </w:r>
    </w:p>
    <w:p w14:paraId="2C3CE280" w14:textId="77777777" w:rsidR="008D5EA0" w:rsidRPr="009B6C02" w:rsidRDefault="008D5EA0" w:rsidP="004A212D">
      <w:pPr>
        <w:rPr>
          <w:rFonts w:cs="Arial"/>
          <w:color w:val="000000" w:themeColor="text1"/>
          <w:lang w:val="en-US"/>
        </w:rPr>
      </w:pPr>
    </w:p>
    <w:p w14:paraId="5D27D410" w14:textId="033F3E12" w:rsidR="004A212D" w:rsidRPr="009B6C02" w:rsidRDefault="004A212D" w:rsidP="004A212D">
      <w:pPr>
        <w:rPr>
          <w:rFonts w:cs="Arial"/>
          <w:color w:val="000000" w:themeColor="text1"/>
        </w:rPr>
      </w:pPr>
      <w:r w:rsidRPr="009B6C02">
        <w:rPr>
          <w:color w:val="000000" w:themeColor="text1"/>
        </w:rPr>
        <w:t>Agenzia federale tedesca delle reti per l'energia elettrica, il gas, le telecomunicazioni, le poste e le ferrovie</w:t>
      </w:r>
    </w:p>
    <w:p w14:paraId="5D27D411" w14:textId="77777777" w:rsidR="004A212D" w:rsidRPr="009B6C02" w:rsidRDefault="004A212D" w:rsidP="004A212D">
      <w:pPr>
        <w:rPr>
          <w:rFonts w:cs="Arial"/>
          <w:color w:val="000000" w:themeColor="text1"/>
        </w:rPr>
      </w:pPr>
      <w:r w:rsidRPr="009B6C02">
        <w:rPr>
          <w:color w:val="000000" w:themeColor="text1"/>
        </w:rPr>
        <w:t>Rif. 421</w:t>
      </w:r>
    </w:p>
    <w:p w14:paraId="5D27D412" w14:textId="77777777" w:rsidR="004A212D" w:rsidRPr="009B6C02" w:rsidRDefault="004A212D" w:rsidP="004A212D">
      <w:pPr>
        <w:rPr>
          <w:rFonts w:cs="Arial"/>
          <w:color w:val="000000" w:themeColor="text1"/>
        </w:rPr>
      </w:pPr>
      <w:r w:rsidRPr="009B6C02">
        <w:rPr>
          <w:color w:val="000000" w:themeColor="text1"/>
        </w:rPr>
        <w:t>Seidelstr. 49, 13405 Berlino</w:t>
      </w:r>
    </w:p>
    <w:p w14:paraId="5D27D413" w14:textId="77777777" w:rsidR="004A212D" w:rsidRPr="009B6C02" w:rsidRDefault="004A212D" w:rsidP="004A212D">
      <w:pPr>
        <w:rPr>
          <w:rFonts w:cs="Arial"/>
          <w:color w:val="000000" w:themeColor="text1"/>
          <w:lang w:val="de-DE"/>
        </w:rPr>
      </w:pPr>
    </w:p>
    <w:p w14:paraId="5D27D414" w14:textId="04393EC0" w:rsidR="004A212D" w:rsidRPr="009B6C02" w:rsidRDefault="004A212D" w:rsidP="004A212D">
      <w:pPr>
        <w:spacing w:after="60"/>
        <w:rPr>
          <w:rFonts w:cs="Arial"/>
          <w:color w:val="000000" w:themeColor="text1"/>
        </w:rPr>
      </w:pPr>
      <w:r w:rsidRPr="009B6C02">
        <w:rPr>
          <w:color w:val="000000" w:themeColor="text1"/>
        </w:rPr>
        <w:t>Tel.:</w:t>
      </w:r>
      <w:r w:rsidRPr="009B6C02">
        <w:rPr>
          <w:color w:val="000000" w:themeColor="text1"/>
        </w:rPr>
        <w:tab/>
      </w:r>
      <w:r w:rsidRPr="009B6C02">
        <w:rPr>
          <w:color w:val="000000" w:themeColor="text1"/>
        </w:rPr>
        <w:tab/>
        <w:t>+49 30 4374 0</w:t>
      </w:r>
    </w:p>
    <w:p w14:paraId="5D27D415" w14:textId="23290167" w:rsidR="004A212D" w:rsidRPr="009B6C02" w:rsidRDefault="004A212D" w:rsidP="004A212D">
      <w:pPr>
        <w:spacing w:after="60"/>
        <w:rPr>
          <w:rFonts w:cs="Arial"/>
          <w:color w:val="000000" w:themeColor="text1"/>
        </w:rPr>
      </w:pPr>
      <w:r w:rsidRPr="009B6C02">
        <w:rPr>
          <w:color w:val="000000" w:themeColor="text1"/>
        </w:rPr>
        <w:t>Fax:</w:t>
      </w:r>
      <w:r w:rsidRPr="009B6C02">
        <w:rPr>
          <w:color w:val="000000" w:themeColor="text1"/>
        </w:rPr>
        <w:tab/>
      </w:r>
      <w:r w:rsidRPr="009B6C02">
        <w:rPr>
          <w:color w:val="000000" w:themeColor="text1"/>
        </w:rPr>
        <w:tab/>
        <w:t>+49 30 4374 1180</w:t>
      </w:r>
    </w:p>
    <w:p w14:paraId="5D27D416" w14:textId="77777777" w:rsidR="004A212D" w:rsidRPr="009B6C02" w:rsidRDefault="004A212D" w:rsidP="004A212D">
      <w:pPr>
        <w:spacing w:after="60"/>
        <w:rPr>
          <w:rFonts w:cs="Arial"/>
        </w:rPr>
      </w:pPr>
      <w:r w:rsidRPr="009B6C02">
        <w:rPr>
          <w:color w:val="000000" w:themeColor="text1"/>
        </w:rPr>
        <w:t>E-mail:</w:t>
      </w:r>
      <w:r w:rsidRPr="009B6C02">
        <w:tab/>
      </w:r>
      <w:r w:rsidRPr="009B6C02">
        <w:tab/>
      </w:r>
      <w:hyperlink r:id="rId14" w:history="1">
        <w:r w:rsidRPr="009B6C02">
          <w:rPr>
            <w:rStyle w:val="Hyperlink"/>
          </w:rPr>
          <w:t>ssb@bnetza.de</w:t>
        </w:r>
      </w:hyperlink>
    </w:p>
    <w:p w14:paraId="5D27D417" w14:textId="77777777" w:rsidR="004A212D" w:rsidRPr="009B6C02" w:rsidRDefault="004A212D" w:rsidP="004A212D">
      <w:pPr>
        <w:rPr>
          <w:rFonts w:cs="Arial"/>
        </w:rPr>
      </w:pPr>
      <w:r w:rsidRPr="009B6C02">
        <w:rPr>
          <w:color w:val="000000" w:themeColor="text1"/>
        </w:rPr>
        <w:t>Internet:</w:t>
      </w:r>
      <w:r w:rsidRPr="009B6C02">
        <w:tab/>
      </w:r>
      <w:hyperlink r:id="rId15" w:history="1">
        <w:r w:rsidRPr="009B6C02">
          <w:rPr>
            <w:rStyle w:val="Hyperlink"/>
          </w:rPr>
          <w:t>www.bundesnetzagentur.de</w:t>
        </w:r>
      </w:hyperlink>
    </w:p>
    <w:p w14:paraId="5D27D419" w14:textId="77777777" w:rsidR="00E84013" w:rsidRPr="009B6C02" w:rsidRDefault="00E84013">
      <w:pPr>
        <w:rPr>
          <w:rFonts w:cs="Arial"/>
          <w:lang w:val="de-DE"/>
        </w:rPr>
      </w:pPr>
    </w:p>
    <w:p w14:paraId="5D27D41A" w14:textId="77777777" w:rsidR="00E84013" w:rsidRPr="009B6C02" w:rsidRDefault="00E84013">
      <w:pPr>
        <w:rPr>
          <w:rFonts w:cs="Arial"/>
          <w:lang w:val="de-DE"/>
        </w:rPr>
        <w:sectPr w:rsidR="00E84013" w:rsidRPr="009B6C02" w:rsidSect="0053074E">
          <w:headerReference w:type="first" r:id="rId16"/>
          <w:footerReference w:type="first" r:id="rId17"/>
          <w:pgSz w:w="11906" w:h="16838" w:code="9"/>
          <w:pgMar w:top="1134" w:right="1134" w:bottom="1134" w:left="1134" w:header="567" w:footer="851" w:gutter="0"/>
          <w:cols w:space="720"/>
          <w:titlePg/>
        </w:sectPr>
      </w:pPr>
    </w:p>
    <w:p w14:paraId="5D27D41B" w14:textId="77777777" w:rsidR="00E84013" w:rsidRPr="009B6C02" w:rsidRDefault="00022406" w:rsidP="00022406">
      <w:pPr>
        <w:pStyle w:val="Heading1"/>
        <w:rPr>
          <w:color w:val="000000" w:themeColor="text1"/>
        </w:rPr>
      </w:pPr>
      <w:r w:rsidRPr="009B6C02">
        <w:rPr>
          <w:color w:val="000000" w:themeColor="text1"/>
        </w:rPr>
        <w:lastRenderedPageBreak/>
        <w:t>4</w:t>
      </w:r>
      <w:r w:rsidRPr="009B6C02">
        <w:rPr>
          <w:color w:val="000000" w:themeColor="text1"/>
        </w:rPr>
        <w:tab/>
        <w:t>Requisiti tecnici di interfaccia</w:t>
      </w:r>
    </w:p>
    <w:p w14:paraId="5D27D41C" w14:textId="150DEFD2" w:rsidR="00FD2DA7" w:rsidRPr="009B6C02" w:rsidRDefault="00FD2DA7" w:rsidP="001D0DBD">
      <w:pPr>
        <w:jc w:val="left"/>
      </w:pPr>
      <w:r w:rsidRPr="009B6C02">
        <w:rPr>
          <w:color w:val="000000" w:themeColor="text1"/>
        </w:rPr>
        <w:t>Questa SSB include i requisiti tecnici di interfaccia per le apparecchiature radio per la radio punto-punto (P-P) nell'intervallo 6,2 GHz.</w:t>
      </w:r>
    </w:p>
    <w:p w14:paraId="5D27D422" w14:textId="77777777" w:rsidR="00FD2DA7" w:rsidRPr="009B6C02" w:rsidRDefault="00FD2DA7" w:rsidP="00FD2DA7"/>
    <w:tbl>
      <w:tblPr>
        <w:tblW w:w="9639"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8" w:type="dxa"/>
          <w:left w:w="28" w:type="dxa"/>
          <w:bottom w:w="28" w:type="dxa"/>
          <w:right w:w="28" w:type="dxa"/>
        </w:tblCellMar>
        <w:tblLook w:val="01E0" w:firstRow="1" w:lastRow="1" w:firstColumn="1" w:lastColumn="1" w:noHBand="0" w:noVBand="0"/>
      </w:tblPr>
      <w:tblGrid>
        <w:gridCol w:w="340"/>
        <w:gridCol w:w="397"/>
        <w:gridCol w:w="2835"/>
        <w:gridCol w:w="3799"/>
        <w:gridCol w:w="2268"/>
      </w:tblGrid>
      <w:tr w:rsidR="00FD2DA7" w:rsidRPr="009B6C02" w14:paraId="5D27D425" w14:textId="77777777" w:rsidTr="00733135">
        <w:trPr>
          <w:jc w:val="center"/>
        </w:trPr>
        <w:tc>
          <w:tcPr>
            <w:tcW w:w="340" w:type="dxa"/>
            <w:tcBorders>
              <w:top w:val="double" w:sz="4" w:space="0" w:color="auto"/>
              <w:bottom w:val="single" w:sz="8" w:space="0" w:color="auto"/>
              <w:right w:val="nil"/>
            </w:tcBorders>
            <w:shd w:val="clear" w:color="auto" w:fill="auto"/>
          </w:tcPr>
          <w:p w14:paraId="5D27D423" w14:textId="77777777" w:rsidR="00FD2DA7" w:rsidRPr="009B6C02" w:rsidRDefault="00FD2DA7" w:rsidP="00733135">
            <w:pPr>
              <w:jc w:val="center"/>
            </w:pPr>
          </w:p>
        </w:tc>
        <w:tc>
          <w:tcPr>
            <w:tcW w:w="9299" w:type="dxa"/>
            <w:gridSpan w:val="4"/>
            <w:tcBorders>
              <w:top w:val="double" w:sz="4" w:space="0" w:color="auto"/>
              <w:left w:val="nil"/>
              <w:bottom w:val="single" w:sz="8" w:space="0" w:color="auto"/>
            </w:tcBorders>
            <w:shd w:val="clear" w:color="auto" w:fill="auto"/>
          </w:tcPr>
          <w:p w14:paraId="5D27D424" w14:textId="71EB3503" w:rsidR="00FD2DA7" w:rsidRPr="009B6C02" w:rsidRDefault="00FD2DA7" w:rsidP="00A75F21">
            <w:pPr>
              <w:spacing w:after="120"/>
              <w:ind w:left="1191" w:hanging="1191"/>
              <w:rPr>
                <w:b/>
              </w:rPr>
            </w:pPr>
            <w:r w:rsidRPr="009B6C02">
              <w:rPr>
                <w:b/>
                <w:color w:val="000000" w:themeColor="text1"/>
              </w:rPr>
              <w:t>Tabella 1:</w:t>
            </w:r>
            <w:r w:rsidRPr="009B6C02">
              <w:rPr>
                <w:b/>
              </w:rPr>
              <w:tab/>
              <w:t>Radiotrasmissione punto-punto nella gamma di frequenza 5925-6425 MHz</w:t>
            </w:r>
          </w:p>
        </w:tc>
      </w:tr>
      <w:tr w:rsidR="00FD2DA7" w:rsidRPr="009B6C02" w14:paraId="5D27D42D" w14:textId="77777777" w:rsidTr="00733135">
        <w:trPr>
          <w:jc w:val="center"/>
        </w:trPr>
        <w:tc>
          <w:tcPr>
            <w:tcW w:w="340" w:type="dxa"/>
            <w:tcBorders>
              <w:top w:val="single" w:sz="8" w:space="0" w:color="auto"/>
            </w:tcBorders>
            <w:shd w:val="clear" w:color="auto" w:fill="auto"/>
          </w:tcPr>
          <w:p w14:paraId="5D27D426" w14:textId="77777777" w:rsidR="00FD2DA7" w:rsidRPr="009B6C02" w:rsidRDefault="00FD2DA7" w:rsidP="00733135">
            <w:pPr>
              <w:jc w:val="center"/>
              <w:rPr>
                <w:color w:val="000000" w:themeColor="text1"/>
              </w:rPr>
            </w:pPr>
          </w:p>
        </w:tc>
        <w:tc>
          <w:tcPr>
            <w:tcW w:w="397" w:type="dxa"/>
            <w:tcBorders>
              <w:top w:val="single" w:sz="8" w:space="0" w:color="auto"/>
              <w:bottom w:val="single" w:sz="2" w:space="0" w:color="auto"/>
            </w:tcBorders>
            <w:shd w:val="clear" w:color="auto" w:fill="C0C0C0"/>
          </w:tcPr>
          <w:p w14:paraId="5D27D427" w14:textId="77777777" w:rsidR="00FD2DA7" w:rsidRPr="009B6C02" w:rsidRDefault="00FD2DA7" w:rsidP="00733135">
            <w:pPr>
              <w:jc w:val="center"/>
              <w:rPr>
                <w:color w:val="000000" w:themeColor="text1"/>
              </w:rPr>
            </w:pPr>
            <w:r w:rsidRPr="009B6C02">
              <w:rPr>
                <w:color w:val="000000" w:themeColor="text1"/>
              </w:rPr>
              <w:t>N.</w:t>
            </w:r>
          </w:p>
        </w:tc>
        <w:tc>
          <w:tcPr>
            <w:tcW w:w="2835" w:type="dxa"/>
            <w:tcBorders>
              <w:top w:val="single" w:sz="8" w:space="0" w:color="auto"/>
              <w:bottom w:val="single" w:sz="2" w:space="0" w:color="auto"/>
            </w:tcBorders>
            <w:shd w:val="clear" w:color="auto" w:fill="C0C0C0"/>
          </w:tcPr>
          <w:p w14:paraId="5D27D428" w14:textId="77777777" w:rsidR="00FD2DA7" w:rsidRPr="009B6C02" w:rsidRDefault="00FD2DA7" w:rsidP="00FD2DA7">
            <w:pPr>
              <w:rPr>
                <w:color w:val="000000" w:themeColor="text1"/>
              </w:rPr>
            </w:pPr>
            <w:r w:rsidRPr="009B6C02">
              <w:rPr>
                <w:color w:val="000000" w:themeColor="text1"/>
              </w:rPr>
              <w:t>Parametri</w:t>
            </w:r>
          </w:p>
        </w:tc>
        <w:tc>
          <w:tcPr>
            <w:tcW w:w="3799" w:type="dxa"/>
            <w:tcBorders>
              <w:top w:val="single" w:sz="8" w:space="0" w:color="auto"/>
              <w:bottom w:val="single" w:sz="2" w:space="0" w:color="auto"/>
            </w:tcBorders>
            <w:shd w:val="clear" w:color="auto" w:fill="C0C0C0"/>
          </w:tcPr>
          <w:p w14:paraId="5D27D429" w14:textId="77777777" w:rsidR="00FD2DA7" w:rsidRPr="009B6C02" w:rsidRDefault="00FD2DA7" w:rsidP="00733135">
            <w:pPr>
              <w:jc w:val="left"/>
              <w:rPr>
                <w:color w:val="000000" w:themeColor="text1"/>
              </w:rPr>
            </w:pPr>
            <w:r w:rsidRPr="009B6C02">
              <w:rPr>
                <w:color w:val="000000" w:themeColor="text1"/>
              </w:rPr>
              <w:t>Descrizione</w:t>
            </w:r>
          </w:p>
          <w:p w14:paraId="5D27D42A" w14:textId="2883171F" w:rsidR="00FD2DA7" w:rsidRPr="009B6C02" w:rsidRDefault="00FD2DA7" w:rsidP="00733135">
            <w:pPr>
              <w:jc w:val="left"/>
              <w:rPr>
                <w:color w:val="000000" w:themeColor="text1"/>
              </w:rPr>
            </w:pPr>
            <w:r w:rsidRPr="009B6C02">
              <w:rPr>
                <w:rFonts w:ascii="Tahoma" w:hAnsi="Tahoma"/>
                <w:i/>
                <w:color w:val="000000" w:themeColor="text1"/>
                <w:sz w:val="14"/>
              </w:rPr>
              <w:t>(</w:t>
            </w:r>
            <w:r w:rsidR="009B6C02">
              <w:rPr>
                <w:rFonts w:ascii="Tahoma" w:hAnsi="Tahoma"/>
                <w:i/>
                <w:color w:val="000000" w:themeColor="text1"/>
                <w:sz w:val="14"/>
              </w:rPr>
              <w:t>Description</w:t>
            </w:r>
            <w:r w:rsidRPr="009B6C02">
              <w:rPr>
                <w:rFonts w:ascii="Tahoma" w:hAnsi="Tahoma"/>
                <w:i/>
                <w:color w:val="000000" w:themeColor="text1"/>
                <w:sz w:val="14"/>
              </w:rPr>
              <w:t>)</w:t>
            </w:r>
          </w:p>
        </w:tc>
        <w:tc>
          <w:tcPr>
            <w:tcW w:w="2268" w:type="dxa"/>
            <w:tcBorders>
              <w:top w:val="single" w:sz="8" w:space="0" w:color="auto"/>
              <w:bottom w:val="single" w:sz="2" w:space="0" w:color="auto"/>
            </w:tcBorders>
            <w:shd w:val="clear" w:color="auto" w:fill="C0C0C0"/>
          </w:tcPr>
          <w:p w14:paraId="5D27D42B" w14:textId="77777777" w:rsidR="00FD2DA7" w:rsidRPr="009B6C02" w:rsidRDefault="00FD2DA7" w:rsidP="00733135">
            <w:pPr>
              <w:jc w:val="left"/>
              <w:rPr>
                <w:color w:val="000000" w:themeColor="text1"/>
              </w:rPr>
            </w:pPr>
            <w:r w:rsidRPr="009B6C02">
              <w:rPr>
                <w:color w:val="000000" w:themeColor="text1"/>
              </w:rPr>
              <w:t>Osservazioni</w:t>
            </w:r>
          </w:p>
          <w:p w14:paraId="5D27D42C" w14:textId="50E88290" w:rsidR="00FD2DA7" w:rsidRPr="009B6C02" w:rsidRDefault="00FD2DA7" w:rsidP="00733135">
            <w:pPr>
              <w:jc w:val="left"/>
              <w:rPr>
                <w:color w:val="000000" w:themeColor="text1"/>
              </w:rPr>
            </w:pPr>
            <w:r w:rsidRPr="009B6C02">
              <w:rPr>
                <w:rFonts w:ascii="Tahoma" w:hAnsi="Tahoma"/>
                <w:i/>
                <w:color w:val="000000" w:themeColor="text1"/>
                <w:sz w:val="14"/>
              </w:rPr>
              <w:t>(</w:t>
            </w:r>
            <w:r w:rsidR="009B6C02">
              <w:rPr>
                <w:rFonts w:ascii="Tahoma" w:hAnsi="Tahoma"/>
                <w:i/>
                <w:color w:val="000000" w:themeColor="text1"/>
                <w:sz w:val="14"/>
              </w:rPr>
              <w:t>Comments</w:t>
            </w:r>
            <w:r w:rsidRPr="009B6C02">
              <w:rPr>
                <w:rFonts w:ascii="Tahoma" w:hAnsi="Tahoma"/>
                <w:i/>
                <w:color w:val="000000" w:themeColor="text1"/>
                <w:sz w:val="14"/>
              </w:rPr>
              <w:t>)</w:t>
            </w:r>
          </w:p>
        </w:tc>
      </w:tr>
      <w:tr w:rsidR="00FD2DA7" w:rsidRPr="009B6C02" w14:paraId="5D27D434" w14:textId="77777777" w:rsidTr="00733135">
        <w:trPr>
          <w:cantSplit/>
          <w:trHeight w:val="454"/>
          <w:jc w:val="center"/>
        </w:trPr>
        <w:tc>
          <w:tcPr>
            <w:tcW w:w="340" w:type="dxa"/>
            <w:vMerge w:val="restart"/>
            <w:shd w:val="clear" w:color="auto" w:fill="auto"/>
            <w:textDirection w:val="btLr"/>
            <w:vAlign w:val="center"/>
          </w:tcPr>
          <w:p w14:paraId="5D27D42E" w14:textId="77777777" w:rsidR="00FD2DA7" w:rsidRPr="009B6C02" w:rsidRDefault="00FD2DA7" w:rsidP="00733135">
            <w:pPr>
              <w:ind w:left="113" w:right="113"/>
              <w:jc w:val="center"/>
              <w:rPr>
                <w:color w:val="000000" w:themeColor="text1"/>
              </w:rPr>
            </w:pPr>
            <w:r w:rsidRPr="009B6C02">
              <w:rPr>
                <w:color w:val="000000" w:themeColor="text1"/>
              </w:rPr>
              <w:t>Parte normativa</w:t>
            </w:r>
          </w:p>
        </w:tc>
        <w:tc>
          <w:tcPr>
            <w:tcW w:w="397" w:type="dxa"/>
            <w:tcBorders>
              <w:top w:val="single" w:sz="2" w:space="0" w:color="auto"/>
            </w:tcBorders>
            <w:shd w:val="clear" w:color="auto" w:fill="auto"/>
          </w:tcPr>
          <w:p w14:paraId="5D27D42F" w14:textId="77777777" w:rsidR="00FD2DA7" w:rsidRPr="009B6C02" w:rsidRDefault="00FD2DA7" w:rsidP="00733135">
            <w:pPr>
              <w:jc w:val="center"/>
              <w:rPr>
                <w:rFonts w:cs="Arial"/>
                <w:color w:val="000000" w:themeColor="text1"/>
                <w:sz w:val="18"/>
                <w:szCs w:val="18"/>
              </w:rPr>
            </w:pPr>
            <w:r w:rsidRPr="009B6C02">
              <w:rPr>
                <w:color w:val="000000" w:themeColor="text1"/>
                <w:sz w:val="18"/>
              </w:rPr>
              <w:t>1</w:t>
            </w:r>
          </w:p>
        </w:tc>
        <w:tc>
          <w:tcPr>
            <w:tcW w:w="2835" w:type="dxa"/>
            <w:tcBorders>
              <w:top w:val="single" w:sz="2" w:space="0" w:color="auto"/>
            </w:tcBorders>
            <w:shd w:val="clear" w:color="auto" w:fill="auto"/>
          </w:tcPr>
          <w:p w14:paraId="5D27D430" w14:textId="77777777" w:rsidR="00FD2DA7" w:rsidRPr="009B6C02" w:rsidRDefault="00FD2DA7" w:rsidP="00733135">
            <w:pPr>
              <w:jc w:val="left"/>
              <w:rPr>
                <w:rFonts w:cs="Arial"/>
                <w:color w:val="000000" w:themeColor="text1"/>
                <w:sz w:val="18"/>
                <w:szCs w:val="18"/>
              </w:rPr>
            </w:pPr>
            <w:r w:rsidRPr="009B6C02">
              <w:rPr>
                <w:color w:val="000000" w:themeColor="text1"/>
                <w:sz w:val="18"/>
              </w:rPr>
              <w:t>Servizi di radiocomunicazione</w:t>
            </w:r>
          </w:p>
          <w:p w14:paraId="5D27D431"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(Radiocommunication Service)</w:t>
            </w:r>
          </w:p>
        </w:tc>
        <w:tc>
          <w:tcPr>
            <w:tcW w:w="3799" w:type="dxa"/>
            <w:tcBorders>
              <w:top w:val="single" w:sz="2" w:space="0" w:color="auto"/>
            </w:tcBorders>
            <w:shd w:val="clear" w:color="auto" w:fill="auto"/>
          </w:tcPr>
          <w:p w14:paraId="5D27D432" w14:textId="42AE203A" w:rsidR="00FD2DA7" w:rsidRPr="009B6C02" w:rsidRDefault="005B098D" w:rsidP="005B098D">
            <w:pPr>
              <w:jc w:val="left"/>
              <w:rPr>
                <w:rFonts w:cs="Arial"/>
                <w:color w:val="000000" w:themeColor="text1"/>
                <w:sz w:val="20"/>
              </w:rPr>
            </w:pPr>
            <w:r w:rsidRPr="009B6C02">
              <w:rPr>
                <w:color w:val="000000" w:themeColor="text1"/>
                <w:sz w:val="20"/>
              </w:rPr>
              <w:t>SERVIZIO DI RADIODIFFUSIONE FISSO</w:t>
            </w:r>
          </w:p>
        </w:tc>
        <w:tc>
          <w:tcPr>
            <w:tcW w:w="2268" w:type="dxa"/>
            <w:tcBorders>
              <w:top w:val="single" w:sz="2" w:space="0" w:color="auto"/>
            </w:tcBorders>
            <w:shd w:val="clear" w:color="auto" w:fill="auto"/>
          </w:tcPr>
          <w:p w14:paraId="5D27D433" w14:textId="77777777" w:rsidR="00FD2DA7" w:rsidRPr="009B6C02" w:rsidRDefault="00FD2DA7" w:rsidP="009B6A9A">
            <w:pPr>
              <w:jc w:val="left"/>
              <w:rPr>
                <w:rFonts w:cs="Arial"/>
                <w:color w:val="000000" w:themeColor="text1"/>
                <w:sz w:val="20"/>
              </w:rPr>
            </w:pPr>
          </w:p>
        </w:tc>
      </w:tr>
      <w:tr w:rsidR="00FD2DA7" w:rsidRPr="009B6C02" w14:paraId="5D27D43B" w14:textId="77777777" w:rsidTr="00733135">
        <w:trPr>
          <w:cantSplit/>
          <w:trHeight w:val="454"/>
          <w:jc w:val="center"/>
        </w:trPr>
        <w:tc>
          <w:tcPr>
            <w:tcW w:w="340" w:type="dxa"/>
            <w:vMerge/>
            <w:shd w:val="clear" w:color="auto" w:fill="auto"/>
          </w:tcPr>
          <w:p w14:paraId="5D27D435" w14:textId="77777777" w:rsidR="00FD2DA7" w:rsidRPr="009B6C02" w:rsidRDefault="00FD2DA7" w:rsidP="00733135">
            <w:pPr>
              <w:jc w:val="center"/>
              <w:rPr>
                <w:color w:val="000000" w:themeColor="text1"/>
              </w:rPr>
            </w:pPr>
          </w:p>
        </w:tc>
        <w:tc>
          <w:tcPr>
            <w:tcW w:w="397" w:type="dxa"/>
            <w:shd w:val="clear" w:color="auto" w:fill="auto"/>
          </w:tcPr>
          <w:p w14:paraId="5D27D436" w14:textId="77777777" w:rsidR="00FD2DA7" w:rsidRPr="009B6C02" w:rsidRDefault="00FD2DA7" w:rsidP="00733135">
            <w:pPr>
              <w:jc w:val="center"/>
              <w:rPr>
                <w:rFonts w:cs="Arial"/>
                <w:color w:val="000000" w:themeColor="text1"/>
                <w:sz w:val="18"/>
                <w:szCs w:val="18"/>
              </w:rPr>
            </w:pPr>
            <w:r w:rsidRPr="009B6C02">
              <w:rPr>
                <w:color w:val="000000" w:themeColor="text1"/>
                <w:sz w:val="18"/>
              </w:rPr>
              <w:t>2</w:t>
            </w:r>
          </w:p>
        </w:tc>
        <w:tc>
          <w:tcPr>
            <w:tcW w:w="2835" w:type="dxa"/>
            <w:shd w:val="clear" w:color="auto" w:fill="auto"/>
          </w:tcPr>
          <w:p w14:paraId="5D27D437" w14:textId="77777777" w:rsidR="00FD2DA7" w:rsidRPr="009B6C02" w:rsidRDefault="00FD2DA7" w:rsidP="00733135">
            <w:pPr>
              <w:jc w:val="left"/>
              <w:rPr>
                <w:rFonts w:cs="Arial"/>
                <w:color w:val="000000" w:themeColor="text1"/>
                <w:sz w:val="18"/>
                <w:szCs w:val="18"/>
              </w:rPr>
            </w:pPr>
            <w:r w:rsidRPr="009B6C02">
              <w:rPr>
                <w:color w:val="000000" w:themeColor="text1"/>
                <w:sz w:val="18"/>
              </w:rPr>
              <w:t>Destinazione d'uso/Applicazione</w:t>
            </w:r>
          </w:p>
          <w:p w14:paraId="5D27D438"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(Application)</w:t>
            </w:r>
          </w:p>
        </w:tc>
        <w:tc>
          <w:tcPr>
            <w:tcW w:w="3799" w:type="dxa"/>
            <w:shd w:val="clear" w:color="auto" w:fill="auto"/>
          </w:tcPr>
          <w:p w14:paraId="5D27D439" w14:textId="489A1A47" w:rsidR="00FD2DA7" w:rsidRPr="009B6C02" w:rsidRDefault="00F11518" w:rsidP="00F11518">
            <w:pPr>
              <w:jc w:val="left"/>
              <w:rPr>
                <w:rFonts w:cs="Arial"/>
                <w:color w:val="000000" w:themeColor="text1"/>
                <w:sz w:val="20"/>
              </w:rPr>
            </w:pPr>
            <w:r w:rsidRPr="009B6C02">
              <w:rPr>
                <w:color w:val="000000" w:themeColor="text1"/>
                <w:sz w:val="20"/>
              </w:rPr>
              <w:t xml:space="preserve">Collegamento radio punto-punto </w:t>
            </w:r>
          </w:p>
        </w:tc>
        <w:tc>
          <w:tcPr>
            <w:tcW w:w="2268" w:type="dxa"/>
            <w:shd w:val="clear" w:color="auto" w:fill="auto"/>
          </w:tcPr>
          <w:p w14:paraId="5D27D43A" w14:textId="0406F747" w:rsidR="00FD2DA7" w:rsidRPr="009B6C02" w:rsidRDefault="00FD2DA7" w:rsidP="009B6A9A">
            <w:pPr>
              <w:jc w:val="left"/>
              <w:rPr>
                <w:rFonts w:cs="Arial"/>
                <w:color w:val="000000" w:themeColor="text1"/>
                <w:sz w:val="20"/>
              </w:rPr>
            </w:pPr>
          </w:p>
        </w:tc>
      </w:tr>
      <w:tr w:rsidR="00FD2DA7" w:rsidRPr="009B6C02" w14:paraId="5D27D442" w14:textId="77777777" w:rsidTr="00733135">
        <w:trPr>
          <w:cantSplit/>
          <w:trHeight w:val="454"/>
          <w:jc w:val="center"/>
        </w:trPr>
        <w:tc>
          <w:tcPr>
            <w:tcW w:w="340" w:type="dxa"/>
            <w:vMerge/>
            <w:shd w:val="clear" w:color="auto" w:fill="auto"/>
          </w:tcPr>
          <w:p w14:paraId="5D27D43C" w14:textId="77777777" w:rsidR="00FD2DA7" w:rsidRPr="009B6C02" w:rsidRDefault="00FD2DA7" w:rsidP="00733135">
            <w:pPr>
              <w:jc w:val="center"/>
              <w:rPr>
                <w:color w:val="000000" w:themeColor="text1"/>
              </w:rPr>
            </w:pPr>
          </w:p>
        </w:tc>
        <w:tc>
          <w:tcPr>
            <w:tcW w:w="397" w:type="dxa"/>
            <w:shd w:val="clear" w:color="auto" w:fill="auto"/>
          </w:tcPr>
          <w:p w14:paraId="5D27D43D" w14:textId="77777777" w:rsidR="00FD2DA7" w:rsidRPr="009B6C02" w:rsidRDefault="00FD2DA7" w:rsidP="00733135">
            <w:pPr>
              <w:jc w:val="center"/>
              <w:rPr>
                <w:rFonts w:cs="Arial"/>
                <w:color w:val="000000" w:themeColor="text1"/>
                <w:sz w:val="18"/>
                <w:szCs w:val="18"/>
              </w:rPr>
            </w:pPr>
            <w:r w:rsidRPr="009B6C02">
              <w:rPr>
                <w:color w:val="000000" w:themeColor="text1"/>
                <w:sz w:val="18"/>
              </w:rPr>
              <w:t>3</w:t>
            </w:r>
          </w:p>
        </w:tc>
        <w:tc>
          <w:tcPr>
            <w:tcW w:w="2835" w:type="dxa"/>
            <w:shd w:val="clear" w:color="auto" w:fill="auto"/>
          </w:tcPr>
          <w:p w14:paraId="5D27D43E" w14:textId="77777777" w:rsidR="00FD2DA7" w:rsidRPr="009B6C02" w:rsidRDefault="00FD2DA7" w:rsidP="00733135">
            <w:pPr>
              <w:jc w:val="left"/>
              <w:rPr>
                <w:rFonts w:cs="Arial"/>
                <w:color w:val="000000" w:themeColor="text1"/>
                <w:sz w:val="18"/>
                <w:szCs w:val="18"/>
              </w:rPr>
            </w:pPr>
            <w:r w:rsidRPr="009B6C02">
              <w:rPr>
                <w:color w:val="000000" w:themeColor="text1"/>
                <w:sz w:val="18"/>
              </w:rPr>
              <w:t>Banda di frequenze</w:t>
            </w:r>
          </w:p>
          <w:p w14:paraId="5D27D43F"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(Frequency band)</w:t>
            </w:r>
          </w:p>
        </w:tc>
        <w:tc>
          <w:tcPr>
            <w:tcW w:w="3799" w:type="dxa"/>
            <w:shd w:val="clear" w:color="auto" w:fill="auto"/>
          </w:tcPr>
          <w:p w14:paraId="5D27D440" w14:textId="5B9B5059" w:rsidR="00FD2DA7" w:rsidRPr="009B6C02" w:rsidRDefault="00272A68" w:rsidP="00272A68">
            <w:pPr>
              <w:jc w:val="left"/>
              <w:rPr>
                <w:rFonts w:cs="Arial"/>
                <w:color w:val="000000" w:themeColor="text1"/>
                <w:sz w:val="20"/>
              </w:rPr>
            </w:pPr>
            <w:r w:rsidRPr="009B6C02">
              <w:rPr>
                <w:color w:val="000000" w:themeColor="text1"/>
                <w:sz w:val="20"/>
              </w:rPr>
              <w:t>5925 -6168 MHz</w:t>
            </w:r>
            <w:r w:rsidRPr="009B6C02">
              <w:rPr>
                <w:color w:val="000000" w:themeColor="text1"/>
                <w:sz w:val="20"/>
              </w:rPr>
              <w:br/>
              <w:t>6182–6425 MHz</w:t>
            </w:r>
          </w:p>
        </w:tc>
        <w:tc>
          <w:tcPr>
            <w:tcW w:w="2268" w:type="dxa"/>
            <w:shd w:val="clear" w:color="auto" w:fill="auto"/>
          </w:tcPr>
          <w:p w14:paraId="5D27D441" w14:textId="72C5261A" w:rsidR="00FD2DA7" w:rsidRPr="009B6C02" w:rsidRDefault="00272A68" w:rsidP="009B6A9A">
            <w:pPr>
              <w:jc w:val="left"/>
              <w:rPr>
                <w:rFonts w:cs="Arial"/>
                <w:color w:val="000000" w:themeColor="text1"/>
                <w:sz w:val="20"/>
              </w:rPr>
            </w:pPr>
            <w:r w:rsidRPr="009B6C02">
              <w:rPr>
                <w:color w:val="000000" w:themeColor="text1"/>
                <w:sz w:val="20"/>
              </w:rPr>
              <w:t>Banda inferiore</w:t>
            </w:r>
            <w:r w:rsidRPr="009B6C02">
              <w:rPr>
                <w:color w:val="000000" w:themeColor="text1"/>
                <w:sz w:val="20"/>
              </w:rPr>
              <w:br/>
              <w:t>Banda superiore</w:t>
            </w:r>
          </w:p>
        </w:tc>
      </w:tr>
      <w:tr w:rsidR="00FD2DA7" w:rsidRPr="009B6C02" w14:paraId="5D27D449" w14:textId="77777777" w:rsidTr="00733135">
        <w:trPr>
          <w:cantSplit/>
          <w:trHeight w:val="454"/>
          <w:jc w:val="center"/>
        </w:trPr>
        <w:tc>
          <w:tcPr>
            <w:tcW w:w="340" w:type="dxa"/>
            <w:vMerge/>
            <w:shd w:val="clear" w:color="auto" w:fill="auto"/>
          </w:tcPr>
          <w:p w14:paraId="5D27D443" w14:textId="77777777" w:rsidR="00FD2DA7" w:rsidRPr="009B6C02" w:rsidRDefault="00FD2DA7" w:rsidP="00733135">
            <w:pPr>
              <w:jc w:val="center"/>
              <w:rPr>
                <w:color w:val="000000" w:themeColor="text1"/>
              </w:rPr>
            </w:pPr>
          </w:p>
        </w:tc>
        <w:tc>
          <w:tcPr>
            <w:tcW w:w="397" w:type="dxa"/>
            <w:shd w:val="clear" w:color="auto" w:fill="auto"/>
          </w:tcPr>
          <w:p w14:paraId="5D27D444" w14:textId="77777777" w:rsidR="00FD2DA7" w:rsidRPr="009B6C02" w:rsidRDefault="00FD2DA7" w:rsidP="00733135">
            <w:pPr>
              <w:jc w:val="center"/>
              <w:rPr>
                <w:rFonts w:cs="Arial"/>
                <w:color w:val="000000" w:themeColor="text1"/>
                <w:sz w:val="18"/>
                <w:szCs w:val="18"/>
              </w:rPr>
            </w:pPr>
            <w:r w:rsidRPr="009B6C02">
              <w:rPr>
                <w:color w:val="000000" w:themeColor="text1"/>
                <w:sz w:val="18"/>
              </w:rPr>
              <w:t>4</w:t>
            </w:r>
          </w:p>
        </w:tc>
        <w:tc>
          <w:tcPr>
            <w:tcW w:w="2835" w:type="dxa"/>
            <w:shd w:val="clear" w:color="auto" w:fill="auto"/>
          </w:tcPr>
          <w:p w14:paraId="5D27D445" w14:textId="77777777" w:rsidR="00FD2DA7" w:rsidRPr="009B6C02" w:rsidRDefault="00FD2DA7" w:rsidP="00733135">
            <w:pPr>
              <w:jc w:val="left"/>
              <w:rPr>
                <w:rFonts w:cs="Arial"/>
                <w:color w:val="000000" w:themeColor="text1"/>
                <w:sz w:val="18"/>
                <w:szCs w:val="18"/>
              </w:rPr>
            </w:pPr>
            <w:r w:rsidRPr="009B6C02">
              <w:rPr>
                <w:color w:val="000000" w:themeColor="text1"/>
                <w:sz w:val="18"/>
              </w:rPr>
              <w:t>Canalizzazione</w:t>
            </w:r>
          </w:p>
          <w:p w14:paraId="5D27D446"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(Channelling)</w:t>
            </w:r>
          </w:p>
        </w:tc>
        <w:tc>
          <w:tcPr>
            <w:tcW w:w="3799" w:type="dxa"/>
            <w:shd w:val="clear" w:color="auto" w:fill="auto"/>
          </w:tcPr>
          <w:p w14:paraId="5D27D447" w14:textId="0ED58D98" w:rsidR="00FD2DA7" w:rsidRPr="009B6C02" w:rsidRDefault="00272A68" w:rsidP="00272A68">
            <w:pPr>
              <w:jc w:val="left"/>
              <w:rPr>
                <w:rFonts w:cs="Arial"/>
                <w:color w:val="000000" w:themeColor="text1"/>
                <w:sz w:val="20"/>
              </w:rPr>
            </w:pPr>
            <w:r w:rsidRPr="009B6C02">
              <w:rPr>
                <w:color w:val="000000" w:themeColor="text1"/>
                <w:sz w:val="20"/>
              </w:rPr>
              <w:t>29.65 Distanza tra i canali MHz/59,30 MHz</w:t>
            </w:r>
          </w:p>
        </w:tc>
        <w:tc>
          <w:tcPr>
            <w:tcW w:w="2268" w:type="dxa"/>
            <w:shd w:val="clear" w:color="auto" w:fill="auto"/>
          </w:tcPr>
          <w:p w14:paraId="5D27D448" w14:textId="4DBCE32A" w:rsidR="00FD2DA7" w:rsidRPr="009B6C02" w:rsidRDefault="00272A68" w:rsidP="00457ECD">
            <w:pPr>
              <w:jc w:val="left"/>
              <w:rPr>
                <w:rFonts w:cs="Arial"/>
                <w:color w:val="000000" w:themeColor="text1"/>
                <w:sz w:val="20"/>
              </w:rPr>
            </w:pPr>
            <w:r w:rsidRPr="009B6C02">
              <w:rPr>
                <w:color w:val="000000" w:themeColor="text1"/>
                <w:sz w:val="20"/>
              </w:rPr>
              <w:t>Per larghezze di banda di 59,30 MHz, è necessario realizzare il funzionamento CCDP.</w:t>
            </w:r>
            <w:r w:rsidRPr="009B6C02">
              <w:rPr>
                <w:color w:val="000000" w:themeColor="text1"/>
                <w:sz w:val="20"/>
              </w:rPr>
              <w:br/>
              <w:t>Secondo CEPT ERC/REC 14-01 o ITU-R F.383-10 e CEPT ERC/REC 74-01</w:t>
            </w:r>
          </w:p>
        </w:tc>
      </w:tr>
      <w:tr w:rsidR="00FD2DA7" w:rsidRPr="009B6C02" w14:paraId="5D27D450" w14:textId="77777777" w:rsidTr="00733135">
        <w:trPr>
          <w:cantSplit/>
          <w:trHeight w:val="454"/>
          <w:jc w:val="center"/>
        </w:trPr>
        <w:tc>
          <w:tcPr>
            <w:tcW w:w="340" w:type="dxa"/>
            <w:vMerge/>
            <w:shd w:val="clear" w:color="auto" w:fill="auto"/>
          </w:tcPr>
          <w:p w14:paraId="5D27D44A" w14:textId="77777777" w:rsidR="00FD2DA7" w:rsidRPr="009B6C02" w:rsidRDefault="00FD2DA7" w:rsidP="00733135">
            <w:pPr>
              <w:jc w:val="center"/>
              <w:rPr>
                <w:color w:val="000000" w:themeColor="text1"/>
              </w:rPr>
            </w:pPr>
          </w:p>
        </w:tc>
        <w:tc>
          <w:tcPr>
            <w:tcW w:w="397" w:type="dxa"/>
            <w:shd w:val="clear" w:color="auto" w:fill="auto"/>
          </w:tcPr>
          <w:p w14:paraId="5D27D44B" w14:textId="77777777" w:rsidR="00FD2DA7" w:rsidRPr="009B6C02" w:rsidRDefault="00FD2DA7" w:rsidP="00733135">
            <w:pPr>
              <w:jc w:val="center"/>
              <w:rPr>
                <w:rFonts w:cs="Arial"/>
                <w:color w:val="000000" w:themeColor="text1"/>
                <w:sz w:val="18"/>
                <w:szCs w:val="18"/>
              </w:rPr>
            </w:pPr>
            <w:r w:rsidRPr="009B6C02">
              <w:rPr>
                <w:color w:val="000000" w:themeColor="text1"/>
                <w:sz w:val="18"/>
              </w:rPr>
              <w:t>5</w:t>
            </w:r>
          </w:p>
        </w:tc>
        <w:tc>
          <w:tcPr>
            <w:tcW w:w="2835" w:type="dxa"/>
            <w:shd w:val="clear" w:color="auto" w:fill="auto"/>
          </w:tcPr>
          <w:p w14:paraId="5D27D44C" w14:textId="77777777" w:rsidR="00FD2DA7" w:rsidRPr="009B6C02" w:rsidRDefault="00FD2DA7" w:rsidP="00733135">
            <w:pPr>
              <w:jc w:val="left"/>
              <w:rPr>
                <w:rFonts w:cs="Arial"/>
                <w:color w:val="000000" w:themeColor="text1"/>
                <w:sz w:val="18"/>
                <w:szCs w:val="18"/>
              </w:rPr>
            </w:pPr>
            <w:r w:rsidRPr="009B6C02">
              <w:rPr>
                <w:color w:val="000000" w:themeColor="text1"/>
                <w:sz w:val="18"/>
              </w:rPr>
              <w:t>Modulazione/larghezza di banda occupata</w:t>
            </w:r>
          </w:p>
          <w:p w14:paraId="5D27D44D"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(Modulation/Occupied bandwidth)</w:t>
            </w:r>
          </w:p>
        </w:tc>
        <w:tc>
          <w:tcPr>
            <w:tcW w:w="3799" w:type="dxa"/>
            <w:shd w:val="clear" w:color="auto" w:fill="auto"/>
          </w:tcPr>
          <w:p w14:paraId="5D27D44E" w14:textId="1BAB0A61" w:rsidR="00FD2DA7" w:rsidRPr="009B6C02" w:rsidRDefault="00272A68" w:rsidP="00733135">
            <w:pPr>
              <w:jc w:val="left"/>
              <w:rPr>
                <w:rFonts w:cs="Arial"/>
                <w:color w:val="000000" w:themeColor="text1"/>
                <w:sz w:val="20"/>
              </w:rPr>
            </w:pPr>
            <w:r w:rsidRPr="009B6C02">
              <w:rPr>
                <w:color w:val="000000" w:themeColor="text1"/>
                <w:sz w:val="20"/>
              </w:rPr>
              <w:t>Modalità ACCP e CCDP</w:t>
            </w:r>
          </w:p>
        </w:tc>
        <w:tc>
          <w:tcPr>
            <w:tcW w:w="2268" w:type="dxa"/>
            <w:shd w:val="clear" w:color="auto" w:fill="auto"/>
          </w:tcPr>
          <w:p w14:paraId="5D27D44F" w14:textId="77777777" w:rsidR="00FD2DA7" w:rsidRPr="009B6C02" w:rsidRDefault="00FD2DA7" w:rsidP="009B6A9A">
            <w:pPr>
              <w:jc w:val="left"/>
              <w:rPr>
                <w:rFonts w:cs="Arial"/>
                <w:color w:val="000000" w:themeColor="text1"/>
                <w:sz w:val="20"/>
              </w:rPr>
            </w:pPr>
          </w:p>
        </w:tc>
      </w:tr>
      <w:tr w:rsidR="00FD2DA7" w:rsidRPr="009B6C02" w14:paraId="5D27D457" w14:textId="77777777" w:rsidTr="00733135">
        <w:trPr>
          <w:cantSplit/>
          <w:trHeight w:val="454"/>
          <w:jc w:val="center"/>
        </w:trPr>
        <w:tc>
          <w:tcPr>
            <w:tcW w:w="340" w:type="dxa"/>
            <w:vMerge/>
            <w:shd w:val="clear" w:color="auto" w:fill="auto"/>
          </w:tcPr>
          <w:p w14:paraId="5D27D451" w14:textId="77777777" w:rsidR="00FD2DA7" w:rsidRPr="009B6C02" w:rsidRDefault="00FD2DA7" w:rsidP="00733135">
            <w:pPr>
              <w:jc w:val="center"/>
              <w:rPr>
                <w:color w:val="000000" w:themeColor="text1"/>
              </w:rPr>
            </w:pPr>
          </w:p>
        </w:tc>
        <w:tc>
          <w:tcPr>
            <w:tcW w:w="397" w:type="dxa"/>
            <w:shd w:val="clear" w:color="auto" w:fill="auto"/>
          </w:tcPr>
          <w:p w14:paraId="5D27D452" w14:textId="77777777" w:rsidR="00FD2DA7" w:rsidRPr="009B6C02" w:rsidRDefault="00FD2DA7" w:rsidP="00733135">
            <w:pPr>
              <w:jc w:val="center"/>
              <w:rPr>
                <w:rFonts w:cs="Arial"/>
                <w:color w:val="000000" w:themeColor="text1"/>
                <w:sz w:val="18"/>
                <w:szCs w:val="18"/>
              </w:rPr>
            </w:pPr>
            <w:r w:rsidRPr="009B6C02">
              <w:rPr>
                <w:color w:val="000000" w:themeColor="text1"/>
                <w:sz w:val="18"/>
              </w:rPr>
              <w:t>6</w:t>
            </w:r>
          </w:p>
        </w:tc>
        <w:tc>
          <w:tcPr>
            <w:tcW w:w="2835" w:type="dxa"/>
            <w:shd w:val="clear" w:color="auto" w:fill="auto"/>
          </w:tcPr>
          <w:p w14:paraId="5D27D453" w14:textId="77777777" w:rsidR="00FD2DA7" w:rsidRPr="009B6C02" w:rsidRDefault="00FD2DA7" w:rsidP="00733135">
            <w:pPr>
              <w:jc w:val="left"/>
              <w:rPr>
                <w:rFonts w:cs="Arial"/>
                <w:color w:val="000000" w:themeColor="text1"/>
                <w:sz w:val="18"/>
                <w:szCs w:val="18"/>
              </w:rPr>
            </w:pPr>
            <w:r w:rsidRPr="009B6C02">
              <w:rPr>
                <w:color w:val="000000" w:themeColor="text1"/>
                <w:sz w:val="18"/>
              </w:rPr>
              <w:t>Direzione/separazione</w:t>
            </w:r>
          </w:p>
          <w:p w14:paraId="5D27D454"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(Direction/Separation)</w:t>
            </w:r>
          </w:p>
        </w:tc>
        <w:tc>
          <w:tcPr>
            <w:tcW w:w="3799" w:type="dxa"/>
            <w:shd w:val="clear" w:color="auto" w:fill="auto"/>
          </w:tcPr>
          <w:p w14:paraId="5D27D455" w14:textId="235C57F9" w:rsidR="00FD2DA7" w:rsidRPr="009B6C02" w:rsidRDefault="00272A68" w:rsidP="00733135">
            <w:pPr>
              <w:jc w:val="left"/>
              <w:rPr>
                <w:rFonts w:cs="Arial"/>
                <w:color w:val="000000" w:themeColor="text1"/>
                <w:sz w:val="20"/>
              </w:rPr>
            </w:pPr>
            <w:r w:rsidRPr="009B6C02">
              <w:rPr>
                <w:color w:val="000000" w:themeColor="text1"/>
                <w:sz w:val="20"/>
              </w:rPr>
              <w:t>252,04 MHz</w:t>
            </w:r>
          </w:p>
        </w:tc>
        <w:tc>
          <w:tcPr>
            <w:tcW w:w="2268" w:type="dxa"/>
            <w:shd w:val="clear" w:color="auto" w:fill="auto"/>
          </w:tcPr>
          <w:p w14:paraId="5D27D456" w14:textId="2D65ADF3" w:rsidR="00FD2DA7" w:rsidRPr="009B6C02" w:rsidRDefault="00272A68" w:rsidP="009B6A9A">
            <w:pPr>
              <w:jc w:val="left"/>
              <w:rPr>
                <w:rFonts w:cs="Arial"/>
                <w:color w:val="000000" w:themeColor="text1"/>
                <w:sz w:val="20"/>
              </w:rPr>
            </w:pPr>
            <w:r w:rsidRPr="009B6C02">
              <w:rPr>
                <w:color w:val="000000" w:themeColor="text1"/>
                <w:sz w:val="20"/>
              </w:rPr>
              <w:t>Separazione duplex</w:t>
            </w:r>
          </w:p>
        </w:tc>
      </w:tr>
      <w:tr w:rsidR="00FD2DA7" w:rsidRPr="009B6C02" w14:paraId="5D27D45E" w14:textId="77777777" w:rsidTr="00733135">
        <w:trPr>
          <w:cantSplit/>
          <w:trHeight w:val="454"/>
          <w:jc w:val="center"/>
        </w:trPr>
        <w:tc>
          <w:tcPr>
            <w:tcW w:w="340" w:type="dxa"/>
            <w:vMerge/>
            <w:shd w:val="clear" w:color="auto" w:fill="auto"/>
          </w:tcPr>
          <w:p w14:paraId="5D27D458" w14:textId="77777777" w:rsidR="00FD2DA7" w:rsidRPr="009B6C02" w:rsidRDefault="00FD2DA7" w:rsidP="00733135">
            <w:pPr>
              <w:jc w:val="center"/>
              <w:rPr>
                <w:color w:val="000000" w:themeColor="text1"/>
              </w:rPr>
            </w:pPr>
          </w:p>
        </w:tc>
        <w:tc>
          <w:tcPr>
            <w:tcW w:w="397" w:type="dxa"/>
            <w:shd w:val="clear" w:color="auto" w:fill="auto"/>
          </w:tcPr>
          <w:p w14:paraId="5D27D459" w14:textId="77777777" w:rsidR="00FD2DA7" w:rsidRPr="009B6C02" w:rsidRDefault="00FD2DA7" w:rsidP="00733135">
            <w:pPr>
              <w:jc w:val="center"/>
              <w:rPr>
                <w:rFonts w:cs="Arial"/>
                <w:color w:val="000000" w:themeColor="text1"/>
                <w:sz w:val="18"/>
                <w:szCs w:val="18"/>
              </w:rPr>
            </w:pPr>
            <w:r w:rsidRPr="009B6C02">
              <w:rPr>
                <w:color w:val="000000" w:themeColor="text1"/>
                <w:sz w:val="18"/>
              </w:rPr>
              <w:t>7</w:t>
            </w:r>
          </w:p>
        </w:tc>
        <w:tc>
          <w:tcPr>
            <w:tcW w:w="2835" w:type="dxa"/>
            <w:shd w:val="clear" w:color="auto" w:fill="auto"/>
          </w:tcPr>
          <w:p w14:paraId="5D27D45A" w14:textId="77777777" w:rsidR="00FD2DA7" w:rsidRPr="009B6C02" w:rsidRDefault="00FD2DA7" w:rsidP="00733135">
            <w:pPr>
              <w:jc w:val="left"/>
              <w:rPr>
                <w:rFonts w:cs="Arial"/>
                <w:color w:val="000000" w:themeColor="text1"/>
                <w:sz w:val="18"/>
                <w:szCs w:val="18"/>
              </w:rPr>
            </w:pPr>
            <w:r w:rsidRPr="009B6C02">
              <w:rPr>
                <w:color w:val="000000" w:themeColor="text1"/>
                <w:sz w:val="18"/>
              </w:rPr>
              <w:t>Potenza di trasmissione/densità di potenza</w:t>
            </w:r>
          </w:p>
          <w:p w14:paraId="5D27D45B"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(Transmit power/Power density)</w:t>
            </w:r>
          </w:p>
        </w:tc>
        <w:tc>
          <w:tcPr>
            <w:tcW w:w="3799" w:type="dxa"/>
            <w:shd w:val="clear" w:color="auto" w:fill="auto"/>
          </w:tcPr>
          <w:p w14:paraId="5D27D45C" w14:textId="5FA40F08" w:rsidR="00FD2DA7" w:rsidRPr="009B6C02" w:rsidRDefault="00B81BBD" w:rsidP="00627039">
            <w:pPr>
              <w:jc w:val="left"/>
              <w:rPr>
                <w:rFonts w:cs="Arial"/>
                <w:color w:val="000000" w:themeColor="text1"/>
                <w:sz w:val="20"/>
              </w:rPr>
            </w:pPr>
            <w:r w:rsidRPr="009B6C02">
              <w:rPr>
                <w:color w:val="000000" w:themeColor="text1"/>
                <w:sz w:val="20"/>
              </w:rPr>
              <w:t>Max. 316 KW (55 dBW) EIRP</w:t>
            </w:r>
          </w:p>
        </w:tc>
        <w:tc>
          <w:tcPr>
            <w:tcW w:w="2268" w:type="dxa"/>
            <w:shd w:val="clear" w:color="auto" w:fill="auto"/>
          </w:tcPr>
          <w:p w14:paraId="5D27D45D" w14:textId="64755955" w:rsidR="00FD2DA7" w:rsidRPr="009B6C02" w:rsidRDefault="00B81BBD" w:rsidP="00B81BBD">
            <w:pPr>
              <w:jc w:val="left"/>
              <w:rPr>
                <w:rFonts w:cs="Arial"/>
                <w:color w:val="000000" w:themeColor="text1"/>
                <w:sz w:val="20"/>
              </w:rPr>
            </w:pPr>
            <w:r w:rsidRPr="009B6C02">
              <w:rPr>
                <w:sz w:val="20"/>
              </w:rPr>
              <w:t>Il valore specifico è stabilito con l'allocazione della frequenza.</w:t>
            </w:r>
          </w:p>
        </w:tc>
      </w:tr>
      <w:tr w:rsidR="00FD2DA7" w:rsidRPr="009B6C02" w14:paraId="5D27D465" w14:textId="77777777" w:rsidTr="00733135">
        <w:trPr>
          <w:cantSplit/>
          <w:trHeight w:val="454"/>
          <w:jc w:val="center"/>
        </w:trPr>
        <w:tc>
          <w:tcPr>
            <w:tcW w:w="340" w:type="dxa"/>
            <w:vMerge/>
            <w:shd w:val="clear" w:color="auto" w:fill="auto"/>
          </w:tcPr>
          <w:p w14:paraId="5D27D45F" w14:textId="77777777" w:rsidR="00FD2DA7" w:rsidRPr="009B6C02" w:rsidRDefault="00FD2DA7" w:rsidP="00733135">
            <w:pPr>
              <w:jc w:val="center"/>
              <w:rPr>
                <w:color w:val="000000" w:themeColor="text1"/>
              </w:rPr>
            </w:pPr>
          </w:p>
        </w:tc>
        <w:tc>
          <w:tcPr>
            <w:tcW w:w="397" w:type="dxa"/>
            <w:shd w:val="clear" w:color="auto" w:fill="auto"/>
          </w:tcPr>
          <w:p w14:paraId="5D27D460" w14:textId="77777777" w:rsidR="00FD2DA7" w:rsidRPr="009B6C02" w:rsidRDefault="00FD2DA7" w:rsidP="00733135">
            <w:pPr>
              <w:jc w:val="center"/>
              <w:rPr>
                <w:rFonts w:cs="Arial"/>
                <w:color w:val="000000" w:themeColor="text1"/>
                <w:sz w:val="18"/>
                <w:szCs w:val="18"/>
              </w:rPr>
            </w:pPr>
            <w:r w:rsidRPr="009B6C02">
              <w:rPr>
                <w:color w:val="000000" w:themeColor="text1"/>
                <w:sz w:val="18"/>
              </w:rPr>
              <w:t>8</w:t>
            </w:r>
          </w:p>
        </w:tc>
        <w:tc>
          <w:tcPr>
            <w:tcW w:w="2835" w:type="dxa"/>
            <w:shd w:val="clear" w:color="auto" w:fill="auto"/>
          </w:tcPr>
          <w:p w14:paraId="5D27D461" w14:textId="77777777" w:rsidR="00FD2DA7" w:rsidRPr="009B6C02" w:rsidRDefault="00FD2DA7" w:rsidP="00733135">
            <w:pPr>
              <w:jc w:val="left"/>
              <w:rPr>
                <w:rFonts w:cs="Arial"/>
                <w:color w:val="000000" w:themeColor="text1"/>
                <w:sz w:val="18"/>
                <w:szCs w:val="18"/>
              </w:rPr>
            </w:pPr>
            <w:r w:rsidRPr="009B6C02">
              <w:rPr>
                <w:color w:val="000000" w:themeColor="text1"/>
                <w:sz w:val="18"/>
              </w:rPr>
              <w:t>Norme di accesso e occupazione dei canali</w:t>
            </w:r>
          </w:p>
          <w:p w14:paraId="5D27D462"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(Channel access and occupation rules)</w:t>
            </w:r>
          </w:p>
        </w:tc>
        <w:tc>
          <w:tcPr>
            <w:tcW w:w="3799" w:type="dxa"/>
            <w:shd w:val="clear" w:color="auto" w:fill="auto"/>
          </w:tcPr>
          <w:p w14:paraId="5D27D463" w14:textId="77777777" w:rsidR="00FD2DA7" w:rsidRPr="009B6C02" w:rsidRDefault="00FD2DA7" w:rsidP="00733135">
            <w:pPr>
              <w:jc w:val="left"/>
              <w:rPr>
                <w:rFonts w:cs="Arial"/>
                <w:color w:val="000000" w:themeColor="text1"/>
                <w:sz w:val="20"/>
              </w:rPr>
            </w:pPr>
          </w:p>
        </w:tc>
        <w:tc>
          <w:tcPr>
            <w:tcW w:w="2268" w:type="dxa"/>
            <w:shd w:val="clear" w:color="auto" w:fill="auto"/>
          </w:tcPr>
          <w:p w14:paraId="5D27D464" w14:textId="0104D5B4" w:rsidR="00FD2DA7" w:rsidRPr="009B6C02" w:rsidRDefault="00FD2DA7" w:rsidP="002B1465">
            <w:pPr>
              <w:jc w:val="left"/>
              <w:rPr>
                <w:rFonts w:cs="Arial"/>
                <w:strike/>
                <w:color w:val="000000" w:themeColor="text1"/>
                <w:sz w:val="20"/>
              </w:rPr>
            </w:pPr>
          </w:p>
        </w:tc>
      </w:tr>
      <w:tr w:rsidR="00FD2DA7" w:rsidRPr="009B6C02" w14:paraId="5D27D46C" w14:textId="77777777" w:rsidTr="00733135">
        <w:trPr>
          <w:cantSplit/>
          <w:trHeight w:val="454"/>
          <w:jc w:val="center"/>
        </w:trPr>
        <w:tc>
          <w:tcPr>
            <w:tcW w:w="340" w:type="dxa"/>
            <w:vMerge/>
            <w:shd w:val="clear" w:color="auto" w:fill="auto"/>
          </w:tcPr>
          <w:p w14:paraId="5D27D466" w14:textId="77777777" w:rsidR="00FD2DA7" w:rsidRPr="009B6C02" w:rsidRDefault="00FD2DA7" w:rsidP="00733135">
            <w:pPr>
              <w:jc w:val="center"/>
              <w:rPr>
                <w:color w:val="000000" w:themeColor="text1"/>
              </w:rPr>
            </w:pPr>
          </w:p>
        </w:tc>
        <w:tc>
          <w:tcPr>
            <w:tcW w:w="397" w:type="dxa"/>
            <w:shd w:val="clear" w:color="auto" w:fill="auto"/>
          </w:tcPr>
          <w:p w14:paraId="5D27D467" w14:textId="77777777" w:rsidR="00FD2DA7" w:rsidRPr="009B6C02" w:rsidRDefault="00FD2DA7" w:rsidP="00733135">
            <w:pPr>
              <w:jc w:val="center"/>
              <w:rPr>
                <w:rFonts w:cs="Arial"/>
                <w:color w:val="000000" w:themeColor="text1"/>
                <w:sz w:val="18"/>
                <w:szCs w:val="18"/>
              </w:rPr>
            </w:pPr>
            <w:r w:rsidRPr="009B6C02">
              <w:rPr>
                <w:color w:val="000000" w:themeColor="text1"/>
                <w:sz w:val="18"/>
              </w:rPr>
              <w:t>9</w:t>
            </w:r>
          </w:p>
        </w:tc>
        <w:tc>
          <w:tcPr>
            <w:tcW w:w="2835" w:type="dxa"/>
            <w:shd w:val="clear" w:color="auto" w:fill="auto"/>
          </w:tcPr>
          <w:p w14:paraId="5D27D468" w14:textId="77777777" w:rsidR="00FD2DA7" w:rsidRPr="009B6C02" w:rsidRDefault="00FD2DA7" w:rsidP="00733135">
            <w:pPr>
              <w:jc w:val="left"/>
              <w:rPr>
                <w:rFonts w:cs="Arial"/>
                <w:color w:val="000000" w:themeColor="text1"/>
                <w:sz w:val="18"/>
                <w:szCs w:val="18"/>
              </w:rPr>
            </w:pPr>
            <w:r w:rsidRPr="009B6C02">
              <w:rPr>
                <w:color w:val="000000" w:themeColor="text1"/>
                <w:sz w:val="18"/>
              </w:rPr>
              <w:t>Condizioni di autorizzazione</w:t>
            </w:r>
          </w:p>
          <w:p w14:paraId="5D27D469"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(Authorisation regime)</w:t>
            </w:r>
          </w:p>
        </w:tc>
        <w:tc>
          <w:tcPr>
            <w:tcW w:w="3799" w:type="dxa"/>
            <w:shd w:val="clear" w:color="auto" w:fill="auto"/>
          </w:tcPr>
          <w:p w14:paraId="5D27D46A" w14:textId="4CDDCB92" w:rsidR="00FD2DA7" w:rsidRPr="009B6C02" w:rsidRDefault="00B81BBD" w:rsidP="00733135">
            <w:pPr>
              <w:jc w:val="left"/>
              <w:rPr>
                <w:rFonts w:cs="Arial"/>
                <w:color w:val="000000" w:themeColor="text1"/>
                <w:sz w:val="20"/>
              </w:rPr>
            </w:pPr>
            <w:r w:rsidRPr="009B6C02">
              <w:rPr>
                <w:color w:val="000000" w:themeColor="text1"/>
                <w:sz w:val="20"/>
              </w:rPr>
              <w:t>Assegnazione singola</w:t>
            </w:r>
          </w:p>
        </w:tc>
        <w:tc>
          <w:tcPr>
            <w:tcW w:w="2268" w:type="dxa"/>
            <w:shd w:val="clear" w:color="auto" w:fill="auto"/>
          </w:tcPr>
          <w:p w14:paraId="5D27D46B" w14:textId="77777777" w:rsidR="00FD2DA7" w:rsidRPr="009B6C02" w:rsidRDefault="00FD2DA7" w:rsidP="009B6A9A">
            <w:pPr>
              <w:jc w:val="left"/>
              <w:rPr>
                <w:rFonts w:cs="Arial"/>
                <w:color w:val="000000" w:themeColor="text1"/>
                <w:sz w:val="20"/>
              </w:rPr>
            </w:pPr>
          </w:p>
        </w:tc>
      </w:tr>
      <w:tr w:rsidR="00FD2DA7" w:rsidRPr="009B6C02" w14:paraId="5D27D473" w14:textId="77777777" w:rsidTr="00733135">
        <w:trPr>
          <w:cantSplit/>
          <w:trHeight w:val="454"/>
          <w:jc w:val="center"/>
        </w:trPr>
        <w:tc>
          <w:tcPr>
            <w:tcW w:w="340" w:type="dxa"/>
            <w:vMerge/>
            <w:shd w:val="clear" w:color="auto" w:fill="auto"/>
          </w:tcPr>
          <w:p w14:paraId="5D27D46D" w14:textId="77777777" w:rsidR="00FD2DA7" w:rsidRPr="009B6C02" w:rsidRDefault="00FD2DA7" w:rsidP="00733135">
            <w:pPr>
              <w:jc w:val="center"/>
              <w:rPr>
                <w:color w:val="000000" w:themeColor="text1"/>
              </w:rPr>
            </w:pPr>
          </w:p>
        </w:tc>
        <w:tc>
          <w:tcPr>
            <w:tcW w:w="397" w:type="dxa"/>
            <w:shd w:val="clear" w:color="auto" w:fill="auto"/>
          </w:tcPr>
          <w:p w14:paraId="5D27D46E" w14:textId="77777777" w:rsidR="00FD2DA7" w:rsidRPr="009B6C02" w:rsidRDefault="00FD2DA7" w:rsidP="00733135">
            <w:pPr>
              <w:jc w:val="center"/>
              <w:rPr>
                <w:rFonts w:cs="Arial"/>
                <w:color w:val="000000" w:themeColor="text1"/>
                <w:sz w:val="18"/>
                <w:szCs w:val="18"/>
              </w:rPr>
            </w:pPr>
            <w:r w:rsidRPr="009B6C02">
              <w:rPr>
                <w:color w:val="000000" w:themeColor="text1"/>
                <w:sz w:val="18"/>
              </w:rPr>
              <w:t>10</w:t>
            </w:r>
          </w:p>
        </w:tc>
        <w:tc>
          <w:tcPr>
            <w:tcW w:w="2835" w:type="dxa"/>
            <w:shd w:val="clear" w:color="auto" w:fill="auto"/>
          </w:tcPr>
          <w:p w14:paraId="5D27D46F" w14:textId="77777777" w:rsidR="00FD2DA7" w:rsidRPr="009B6C02" w:rsidRDefault="00FD2DA7" w:rsidP="00733135">
            <w:pPr>
              <w:jc w:val="left"/>
              <w:rPr>
                <w:rFonts w:cs="Arial"/>
                <w:color w:val="000000" w:themeColor="text1"/>
                <w:sz w:val="18"/>
                <w:szCs w:val="18"/>
              </w:rPr>
            </w:pPr>
            <w:r w:rsidRPr="009B6C02">
              <w:rPr>
                <w:color w:val="000000" w:themeColor="text1"/>
                <w:sz w:val="18"/>
              </w:rPr>
              <w:t>Requisiti essenziali aggiuntivi</w:t>
            </w:r>
          </w:p>
          <w:p w14:paraId="5D27D470"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(Additional essential requirements)</w:t>
            </w:r>
          </w:p>
        </w:tc>
        <w:tc>
          <w:tcPr>
            <w:tcW w:w="3799" w:type="dxa"/>
            <w:shd w:val="clear" w:color="auto" w:fill="auto"/>
          </w:tcPr>
          <w:p w14:paraId="333A8934" w14:textId="1A161E5B" w:rsidR="004F4D76" w:rsidRPr="009B6C02" w:rsidRDefault="004F4D76" w:rsidP="00733135">
            <w:pPr>
              <w:jc w:val="left"/>
              <w:rPr>
                <w:rFonts w:cs="Arial"/>
                <w:color w:val="000000" w:themeColor="text1"/>
                <w:sz w:val="20"/>
              </w:rPr>
            </w:pPr>
            <w:r w:rsidRPr="009B6C02">
              <w:rPr>
                <w:color w:val="000000" w:themeColor="text1"/>
                <w:sz w:val="20"/>
              </w:rPr>
              <w:t>Applicazione estesa:</w:t>
            </w:r>
          </w:p>
          <w:p w14:paraId="5D9745D3" w14:textId="5EEC4889" w:rsidR="004F4D76" w:rsidRPr="009B6C02" w:rsidRDefault="004F4D76" w:rsidP="00733135">
            <w:pPr>
              <w:jc w:val="left"/>
              <w:rPr>
                <w:rFonts w:cs="Arial"/>
                <w:color w:val="000000" w:themeColor="text1"/>
                <w:sz w:val="20"/>
              </w:rPr>
            </w:pPr>
            <w:r w:rsidRPr="009B6C02">
              <w:rPr>
                <w:color w:val="000000" w:themeColor="text1"/>
                <w:sz w:val="20"/>
              </w:rPr>
              <w:t>Larghezza di banda del canale: 59,30 MHz</w:t>
            </w:r>
          </w:p>
          <w:p w14:paraId="43ECA1F0" w14:textId="77777777" w:rsidR="004F4D76" w:rsidRPr="009B6C02" w:rsidRDefault="004F4D76" w:rsidP="00733135">
            <w:pPr>
              <w:jc w:val="left"/>
              <w:rPr>
                <w:rFonts w:cs="Arial"/>
                <w:color w:val="000000" w:themeColor="text1"/>
                <w:sz w:val="20"/>
              </w:rPr>
            </w:pPr>
          </w:p>
          <w:p w14:paraId="0D327DA0" w14:textId="77777777" w:rsidR="00FD2DA7" w:rsidRPr="009B6C02" w:rsidRDefault="004F1EC3" w:rsidP="004F1EC3">
            <w:pPr>
              <w:jc w:val="left"/>
              <w:rPr>
                <w:rFonts w:cs="Arial"/>
                <w:color w:val="000000" w:themeColor="text1"/>
                <w:sz w:val="20"/>
              </w:rPr>
            </w:pPr>
            <w:r w:rsidRPr="009B6C02">
              <w:rPr>
                <w:color w:val="000000" w:themeColor="text1"/>
                <w:sz w:val="20"/>
              </w:rPr>
              <w:t>Condizioni restrittive d'uso:</w:t>
            </w:r>
          </w:p>
          <w:p w14:paraId="5D27D471" w14:textId="2C980DF0" w:rsidR="004F1EC3" w:rsidRPr="009B6C02" w:rsidRDefault="004F1EC3" w:rsidP="004F1EC3">
            <w:pPr>
              <w:jc w:val="left"/>
              <w:rPr>
                <w:rFonts w:cs="Arial"/>
                <w:color w:val="000000" w:themeColor="text1"/>
                <w:sz w:val="20"/>
              </w:rPr>
            </w:pPr>
            <w:r w:rsidRPr="009B6C02">
              <w:rPr>
                <w:color w:val="000000" w:themeColor="text1"/>
                <w:sz w:val="20"/>
              </w:rPr>
              <w:t xml:space="preserve">capacità di trasmissione di almeno 622 Mbit/s e utilizzo di polarizzazione orizzontale e verticale </w:t>
            </w:r>
          </w:p>
        </w:tc>
        <w:tc>
          <w:tcPr>
            <w:tcW w:w="2268" w:type="dxa"/>
            <w:shd w:val="clear" w:color="auto" w:fill="auto"/>
          </w:tcPr>
          <w:p w14:paraId="3691C010" w14:textId="35D5CF9F" w:rsidR="004F4D76" w:rsidRPr="009B6C02" w:rsidRDefault="004F4D76" w:rsidP="004F4D76">
            <w:pPr>
              <w:jc w:val="left"/>
              <w:rPr>
                <w:rFonts w:cs="Arial"/>
                <w:color w:val="000000" w:themeColor="text1"/>
                <w:sz w:val="20"/>
              </w:rPr>
            </w:pPr>
            <w:r w:rsidRPr="009B6C02">
              <w:rPr>
                <w:color w:val="000000" w:themeColor="text1"/>
                <w:sz w:val="20"/>
              </w:rPr>
              <w:t>CEPT/ERC/REC 14-01</w:t>
            </w:r>
          </w:p>
          <w:p w14:paraId="1F47AFF1" w14:textId="0C72261E" w:rsidR="00FD2DA7" w:rsidRPr="009B6C02" w:rsidRDefault="00D51F96" w:rsidP="004F1EC3">
            <w:pPr>
              <w:jc w:val="left"/>
              <w:rPr>
                <w:rFonts w:cs="Arial"/>
                <w:color w:val="000000" w:themeColor="text1"/>
                <w:sz w:val="20"/>
              </w:rPr>
            </w:pPr>
            <w:r w:rsidRPr="009B6C02">
              <w:rPr>
                <w:color w:val="000000" w:themeColor="text1"/>
                <w:sz w:val="20"/>
              </w:rPr>
              <w:t>Numero 10/2010</w:t>
            </w:r>
          </w:p>
          <w:p w14:paraId="127EEBF8" w14:textId="77777777" w:rsidR="004F1EC3" w:rsidRPr="009B6C02" w:rsidRDefault="004F1EC3" w:rsidP="004F1EC3">
            <w:pPr>
              <w:jc w:val="left"/>
              <w:rPr>
                <w:rFonts w:cs="Arial"/>
                <w:color w:val="000000" w:themeColor="text1"/>
                <w:sz w:val="20"/>
              </w:rPr>
            </w:pPr>
          </w:p>
          <w:p w14:paraId="5D27D472" w14:textId="7C66A3D9" w:rsidR="004F1EC3" w:rsidRPr="009B6C02" w:rsidRDefault="004F1EC3" w:rsidP="008D5EA0">
            <w:pPr>
              <w:jc w:val="left"/>
              <w:rPr>
                <w:rFonts w:cs="Arial"/>
                <w:color w:val="000000" w:themeColor="text1"/>
                <w:sz w:val="20"/>
              </w:rPr>
            </w:pPr>
            <w:r w:rsidRPr="009B6C02">
              <w:rPr>
                <w:color w:val="000000" w:themeColor="text1"/>
                <w:sz w:val="20"/>
              </w:rPr>
              <w:t>Numero 10/2010</w:t>
            </w:r>
          </w:p>
        </w:tc>
      </w:tr>
      <w:tr w:rsidR="00FD2DA7" w:rsidRPr="009B6C02" w14:paraId="5D27D47A" w14:textId="77777777" w:rsidTr="00733135">
        <w:trPr>
          <w:cantSplit/>
          <w:trHeight w:val="454"/>
          <w:jc w:val="center"/>
        </w:trPr>
        <w:tc>
          <w:tcPr>
            <w:tcW w:w="340" w:type="dxa"/>
            <w:vMerge/>
            <w:tcBorders>
              <w:bottom w:val="single" w:sz="4" w:space="0" w:color="auto"/>
            </w:tcBorders>
            <w:shd w:val="clear" w:color="auto" w:fill="auto"/>
          </w:tcPr>
          <w:p w14:paraId="5D27D474" w14:textId="77777777" w:rsidR="00FD2DA7" w:rsidRPr="009B6C02" w:rsidRDefault="00FD2DA7" w:rsidP="00733135">
            <w:pPr>
              <w:jc w:val="center"/>
              <w:rPr>
                <w:color w:val="000000" w:themeColor="text1"/>
              </w:rPr>
            </w:pPr>
          </w:p>
        </w:tc>
        <w:tc>
          <w:tcPr>
            <w:tcW w:w="397" w:type="dxa"/>
            <w:tcBorders>
              <w:bottom w:val="single" w:sz="4" w:space="0" w:color="auto"/>
            </w:tcBorders>
            <w:shd w:val="clear" w:color="auto" w:fill="auto"/>
          </w:tcPr>
          <w:p w14:paraId="5D27D475" w14:textId="77777777" w:rsidR="00FD2DA7" w:rsidRPr="009B6C02" w:rsidRDefault="00FD2DA7" w:rsidP="00733135">
            <w:pPr>
              <w:jc w:val="center"/>
              <w:rPr>
                <w:rFonts w:cs="Arial"/>
                <w:color w:val="000000" w:themeColor="text1"/>
                <w:sz w:val="18"/>
                <w:szCs w:val="18"/>
              </w:rPr>
            </w:pPr>
            <w:r w:rsidRPr="009B6C02">
              <w:rPr>
                <w:color w:val="000000" w:themeColor="text1"/>
                <w:sz w:val="18"/>
              </w:rPr>
              <w:t>11</w:t>
            </w:r>
          </w:p>
        </w:tc>
        <w:tc>
          <w:tcPr>
            <w:tcW w:w="2835" w:type="dxa"/>
            <w:tcBorders>
              <w:bottom w:val="single" w:sz="4" w:space="0" w:color="auto"/>
            </w:tcBorders>
            <w:shd w:val="clear" w:color="auto" w:fill="auto"/>
          </w:tcPr>
          <w:p w14:paraId="5D27D476" w14:textId="77777777" w:rsidR="00FD2DA7" w:rsidRPr="009B6C02" w:rsidRDefault="00FD2DA7" w:rsidP="00733135">
            <w:pPr>
              <w:jc w:val="left"/>
              <w:rPr>
                <w:rFonts w:cs="Arial"/>
                <w:color w:val="000000" w:themeColor="text1"/>
                <w:sz w:val="18"/>
                <w:szCs w:val="18"/>
              </w:rPr>
            </w:pPr>
            <w:r w:rsidRPr="009B6C02">
              <w:rPr>
                <w:color w:val="000000" w:themeColor="text1"/>
                <w:sz w:val="18"/>
              </w:rPr>
              <w:t>Ipotesi per la pianificazione delle frequenze</w:t>
            </w:r>
          </w:p>
          <w:p w14:paraId="5D27D477"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(Frequency planning assumptions)</w:t>
            </w:r>
          </w:p>
        </w:tc>
        <w:tc>
          <w:tcPr>
            <w:tcW w:w="3799" w:type="dxa"/>
            <w:tcBorders>
              <w:bottom w:val="single" w:sz="4" w:space="0" w:color="auto"/>
            </w:tcBorders>
            <w:shd w:val="clear" w:color="auto" w:fill="auto"/>
          </w:tcPr>
          <w:p w14:paraId="53227688" w14:textId="779CCB6C" w:rsidR="006F6EDD" w:rsidRPr="009B6C02" w:rsidRDefault="006F6EDD" w:rsidP="006F6EDD">
            <w:pPr>
              <w:jc w:val="left"/>
              <w:rPr>
                <w:rFonts w:cs="Arial"/>
                <w:color w:val="000000" w:themeColor="text1"/>
                <w:sz w:val="20"/>
              </w:rPr>
            </w:pPr>
            <w:r w:rsidRPr="009B6C02">
              <w:rPr>
                <w:color w:val="000000" w:themeColor="text1"/>
                <w:sz w:val="20"/>
              </w:rPr>
              <w:t xml:space="preserve">Classe di efficienza spettrale ≥5x(y) </w:t>
            </w:r>
          </w:p>
          <w:p w14:paraId="5534E213" w14:textId="77777777" w:rsidR="00DC7FAB" w:rsidRPr="009B6C02" w:rsidRDefault="00DC7FAB" w:rsidP="006F6EDD">
            <w:pPr>
              <w:jc w:val="left"/>
              <w:rPr>
                <w:rFonts w:cs="Arial"/>
                <w:color w:val="000000" w:themeColor="text1"/>
                <w:sz w:val="20"/>
              </w:rPr>
            </w:pPr>
          </w:p>
          <w:p w14:paraId="5D27D478" w14:textId="28BC1947" w:rsidR="00FD2DA7" w:rsidRPr="009B6C02" w:rsidRDefault="006F6EDD" w:rsidP="006F6EDD">
            <w:pPr>
              <w:jc w:val="left"/>
              <w:rPr>
                <w:rFonts w:cs="Arial"/>
                <w:color w:val="000000" w:themeColor="text1"/>
                <w:sz w:val="20"/>
              </w:rPr>
            </w:pPr>
            <w:r w:rsidRPr="009B6C02">
              <w:rPr>
                <w:color w:val="000000" w:themeColor="text1"/>
                <w:sz w:val="20"/>
              </w:rPr>
              <w:t>Classi antenna 3 e 4</w:t>
            </w:r>
          </w:p>
        </w:tc>
        <w:tc>
          <w:tcPr>
            <w:tcW w:w="2268" w:type="dxa"/>
            <w:tcBorders>
              <w:bottom w:val="single" w:sz="4" w:space="0" w:color="auto"/>
            </w:tcBorders>
            <w:shd w:val="clear" w:color="auto" w:fill="auto"/>
          </w:tcPr>
          <w:p w14:paraId="75E5599C" w14:textId="2BC2A0D1" w:rsidR="006F6EDD" w:rsidRPr="009B6C02" w:rsidRDefault="002B1465" w:rsidP="006F6EDD">
            <w:pPr>
              <w:jc w:val="left"/>
              <w:rPr>
                <w:rFonts w:cs="Arial"/>
                <w:color w:val="000000" w:themeColor="text1"/>
                <w:sz w:val="20"/>
              </w:rPr>
            </w:pPr>
            <w:r w:rsidRPr="009B6C02">
              <w:rPr>
                <w:color w:val="000000" w:themeColor="text1"/>
                <w:sz w:val="20"/>
              </w:rPr>
              <w:t>EN 302 217-2</w:t>
            </w:r>
          </w:p>
          <w:p w14:paraId="64A04E76" w14:textId="77777777" w:rsidR="00DC7FAB" w:rsidRPr="009B6C02" w:rsidRDefault="00DC7FAB" w:rsidP="006F6EDD">
            <w:pPr>
              <w:jc w:val="left"/>
              <w:rPr>
                <w:rFonts w:cs="Arial"/>
                <w:color w:val="000000" w:themeColor="text1"/>
                <w:sz w:val="20"/>
              </w:rPr>
            </w:pPr>
          </w:p>
          <w:p w14:paraId="5D27D479" w14:textId="431E225B" w:rsidR="00FD2DA7" w:rsidRPr="009B6C02" w:rsidRDefault="002B1465" w:rsidP="006F6EDD">
            <w:pPr>
              <w:jc w:val="left"/>
              <w:rPr>
                <w:rFonts w:cs="Arial"/>
                <w:color w:val="000000" w:themeColor="text1"/>
                <w:sz w:val="20"/>
              </w:rPr>
            </w:pPr>
            <w:r w:rsidRPr="009B6C02">
              <w:rPr>
                <w:color w:val="000000" w:themeColor="text1"/>
                <w:sz w:val="20"/>
              </w:rPr>
              <w:t xml:space="preserve">EN 302 217-4 </w:t>
            </w:r>
          </w:p>
        </w:tc>
      </w:tr>
      <w:tr w:rsidR="00FD2DA7" w:rsidRPr="009B6C02" w14:paraId="5D27D481" w14:textId="77777777" w:rsidTr="00733135">
        <w:trPr>
          <w:cantSplit/>
          <w:trHeight w:val="454"/>
          <w:jc w:val="center"/>
        </w:trPr>
        <w:tc>
          <w:tcPr>
            <w:tcW w:w="340" w:type="dxa"/>
            <w:vMerge w:val="restart"/>
            <w:tcBorders>
              <w:top w:val="single" w:sz="8" w:space="0" w:color="auto"/>
            </w:tcBorders>
            <w:shd w:val="clear" w:color="auto" w:fill="auto"/>
            <w:textDirection w:val="btLr"/>
            <w:vAlign w:val="center"/>
          </w:tcPr>
          <w:p w14:paraId="5D27D47B" w14:textId="77777777" w:rsidR="00FD2DA7" w:rsidRPr="009B6C02" w:rsidRDefault="00FD2DA7" w:rsidP="00733135">
            <w:pPr>
              <w:ind w:left="113" w:right="113"/>
              <w:jc w:val="center"/>
              <w:rPr>
                <w:color w:val="000000" w:themeColor="text1"/>
              </w:rPr>
            </w:pPr>
            <w:r w:rsidRPr="009B6C02">
              <w:rPr>
                <w:color w:val="000000" w:themeColor="text1"/>
              </w:rPr>
              <w:t>Sezione informazioni</w:t>
            </w:r>
          </w:p>
        </w:tc>
        <w:tc>
          <w:tcPr>
            <w:tcW w:w="397" w:type="dxa"/>
            <w:tcBorders>
              <w:top w:val="single" w:sz="8" w:space="0" w:color="auto"/>
            </w:tcBorders>
            <w:shd w:val="clear" w:color="auto" w:fill="auto"/>
          </w:tcPr>
          <w:p w14:paraId="5D27D47C" w14:textId="77777777" w:rsidR="00FD2DA7" w:rsidRPr="009B6C02" w:rsidRDefault="00FD2DA7" w:rsidP="00733135">
            <w:pPr>
              <w:jc w:val="center"/>
              <w:rPr>
                <w:rFonts w:cs="Arial"/>
                <w:color w:val="000000" w:themeColor="text1"/>
                <w:sz w:val="18"/>
                <w:szCs w:val="18"/>
              </w:rPr>
            </w:pPr>
            <w:r w:rsidRPr="009B6C02">
              <w:rPr>
                <w:color w:val="000000" w:themeColor="text1"/>
                <w:sz w:val="18"/>
              </w:rPr>
              <w:t>12</w:t>
            </w:r>
          </w:p>
        </w:tc>
        <w:tc>
          <w:tcPr>
            <w:tcW w:w="2835" w:type="dxa"/>
            <w:tcBorders>
              <w:top w:val="single" w:sz="8" w:space="0" w:color="auto"/>
            </w:tcBorders>
            <w:shd w:val="clear" w:color="auto" w:fill="auto"/>
          </w:tcPr>
          <w:p w14:paraId="5D27D47D" w14:textId="77777777" w:rsidR="00FD2DA7" w:rsidRPr="009B6C02" w:rsidRDefault="00FD2DA7" w:rsidP="00733135">
            <w:pPr>
              <w:jc w:val="left"/>
              <w:rPr>
                <w:rFonts w:cs="Arial"/>
                <w:color w:val="000000" w:themeColor="text1"/>
                <w:sz w:val="18"/>
                <w:szCs w:val="18"/>
              </w:rPr>
            </w:pPr>
            <w:r w:rsidRPr="009B6C02">
              <w:rPr>
                <w:color w:val="000000" w:themeColor="text1"/>
                <w:sz w:val="18"/>
              </w:rPr>
              <w:t>Modifiche previste</w:t>
            </w:r>
          </w:p>
          <w:p w14:paraId="5D27D47E" w14:textId="57691D4A" w:rsidR="00FD2DA7" w:rsidRPr="009B6C02" w:rsidRDefault="00D16C0D" w:rsidP="00D16C0D">
            <w:pPr>
              <w:spacing w:before="60"/>
              <w:jc w:val="left"/>
              <w:rPr>
                <w:rFonts w:cs="Arial"/>
                <w:color w:val="000000" w:themeColor="text1"/>
                <w:sz w:val="18"/>
                <w:szCs w:val="18"/>
              </w:rPr>
            </w:pPr>
            <w:r w:rsidRPr="009B6C02">
              <w:rPr>
                <w:rFonts w:ascii="Tahoma" w:hAnsi="Tahoma"/>
                <w:i/>
                <w:color w:val="000000" w:themeColor="text1"/>
                <w:sz w:val="14"/>
              </w:rPr>
              <w:t>(Planned changes)</w:t>
            </w:r>
          </w:p>
        </w:tc>
        <w:tc>
          <w:tcPr>
            <w:tcW w:w="3799" w:type="dxa"/>
            <w:tcBorders>
              <w:top w:val="single" w:sz="8" w:space="0" w:color="auto"/>
            </w:tcBorders>
            <w:shd w:val="clear" w:color="auto" w:fill="auto"/>
          </w:tcPr>
          <w:p w14:paraId="5D27D47F" w14:textId="77777777" w:rsidR="00FD2DA7" w:rsidRPr="009B6C02" w:rsidRDefault="00FD2DA7" w:rsidP="00733135">
            <w:pPr>
              <w:jc w:val="left"/>
              <w:rPr>
                <w:rFonts w:cs="Arial"/>
                <w:color w:val="000000" w:themeColor="text1"/>
                <w:sz w:val="20"/>
              </w:rPr>
            </w:pPr>
          </w:p>
        </w:tc>
        <w:tc>
          <w:tcPr>
            <w:tcW w:w="2268" w:type="dxa"/>
            <w:tcBorders>
              <w:top w:val="single" w:sz="8" w:space="0" w:color="auto"/>
            </w:tcBorders>
            <w:shd w:val="clear" w:color="auto" w:fill="auto"/>
          </w:tcPr>
          <w:p w14:paraId="5D27D480" w14:textId="77777777" w:rsidR="00FD2DA7" w:rsidRPr="009B6C02" w:rsidRDefault="00FD2DA7" w:rsidP="009B6A9A">
            <w:pPr>
              <w:jc w:val="left"/>
              <w:rPr>
                <w:rFonts w:cs="Arial"/>
                <w:color w:val="000000" w:themeColor="text1"/>
                <w:sz w:val="20"/>
              </w:rPr>
            </w:pPr>
          </w:p>
        </w:tc>
      </w:tr>
      <w:tr w:rsidR="00FD2DA7" w:rsidRPr="009B6C02" w14:paraId="5D27D488" w14:textId="77777777" w:rsidTr="00733135">
        <w:trPr>
          <w:cantSplit/>
          <w:trHeight w:val="454"/>
          <w:jc w:val="center"/>
        </w:trPr>
        <w:tc>
          <w:tcPr>
            <w:tcW w:w="340" w:type="dxa"/>
            <w:vMerge/>
            <w:shd w:val="clear" w:color="auto" w:fill="auto"/>
          </w:tcPr>
          <w:p w14:paraId="5D27D482" w14:textId="77777777" w:rsidR="00FD2DA7" w:rsidRPr="009B6C02" w:rsidRDefault="00FD2DA7" w:rsidP="00733135">
            <w:pPr>
              <w:jc w:val="center"/>
              <w:rPr>
                <w:color w:val="000000" w:themeColor="text1"/>
              </w:rPr>
            </w:pPr>
          </w:p>
        </w:tc>
        <w:tc>
          <w:tcPr>
            <w:tcW w:w="397" w:type="dxa"/>
            <w:shd w:val="clear" w:color="auto" w:fill="auto"/>
          </w:tcPr>
          <w:p w14:paraId="5D27D483" w14:textId="77777777" w:rsidR="00FD2DA7" w:rsidRPr="009B6C02" w:rsidRDefault="00FD2DA7" w:rsidP="00733135">
            <w:pPr>
              <w:jc w:val="center"/>
              <w:rPr>
                <w:rFonts w:cs="Arial"/>
                <w:color w:val="000000" w:themeColor="text1"/>
                <w:sz w:val="18"/>
                <w:szCs w:val="18"/>
              </w:rPr>
            </w:pPr>
            <w:r w:rsidRPr="009B6C02">
              <w:rPr>
                <w:color w:val="000000" w:themeColor="text1"/>
                <w:sz w:val="18"/>
              </w:rPr>
              <w:t>13</w:t>
            </w:r>
          </w:p>
        </w:tc>
        <w:tc>
          <w:tcPr>
            <w:tcW w:w="2835" w:type="dxa"/>
            <w:shd w:val="clear" w:color="auto" w:fill="auto"/>
          </w:tcPr>
          <w:p w14:paraId="5D27D484" w14:textId="77777777" w:rsidR="00FD2DA7" w:rsidRPr="009B6C02" w:rsidRDefault="00FD2DA7" w:rsidP="00733135">
            <w:pPr>
              <w:jc w:val="left"/>
              <w:rPr>
                <w:rFonts w:cs="Arial"/>
                <w:color w:val="000000" w:themeColor="text1"/>
                <w:sz w:val="18"/>
                <w:szCs w:val="18"/>
              </w:rPr>
            </w:pPr>
            <w:r w:rsidRPr="009B6C02">
              <w:rPr>
                <w:color w:val="000000" w:themeColor="text1"/>
                <w:sz w:val="18"/>
              </w:rPr>
              <w:t>Testi di riferimento</w:t>
            </w:r>
          </w:p>
          <w:p w14:paraId="5D27D485"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(References)</w:t>
            </w:r>
          </w:p>
        </w:tc>
        <w:tc>
          <w:tcPr>
            <w:tcW w:w="3799" w:type="dxa"/>
            <w:shd w:val="clear" w:color="auto" w:fill="auto"/>
          </w:tcPr>
          <w:p w14:paraId="0ADB1DB0" w14:textId="77777777" w:rsidR="00FD2DA7" w:rsidRPr="009B6C02" w:rsidRDefault="00E87A8D" w:rsidP="00733135">
            <w:pPr>
              <w:jc w:val="left"/>
              <w:rPr>
                <w:rFonts w:cs="Arial"/>
                <w:color w:val="000000" w:themeColor="text1"/>
                <w:sz w:val="20"/>
              </w:rPr>
            </w:pPr>
            <w:r w:rsidRPr="009B6C02">
              <w:rPr>
                <w:color w:val="000000" w:themeColor="text1"/>
                <w:sz w:val="20"/>
              </w:rPr>
              <w:t xml:space="preserve">CEPT ERC/14-01; </w:t>
            </w:r>
            <w:r w:rsidRPr="009B6C02">
              <w:rPr>
                <w:color w:val="000000" w:themeColor="text1"/>
                <w:sz w:val="20"/>
              </w:rPr>
              <w:br/>
              <w:t>CEPT/ERC/REC 74-01; ITU-R F.383-10</w:t>
            </w:r>
          </w:p>
          <w:p w14:paraId="5D27D486" w14:textId="48AE2C1A" w:rsidR="002923BE" w:rsidRPr="009B6C02" w:rsidRDefault="002923BE" w:rsidP="002923BE">
            <w:pPr>
              <w:jc w:val="left"/>
              <w:rPr>
                <w:rFonts w:cs="Arial"/>
                <w:color w:val="000000" w:themeColor="text1"/>
                <w:sz w:val="20"/>
              </w:rPr>
            </w:pPr>
            <w:r w:rsidRPr="009B6C02">
              <w:rPr>
                <w:color w:val="000000" w:themeColor="text1"/>
                <w:sz w:val="20"/>
              </w:rPr>
              <w:t xml:space="preserve">EN 302 217-1; EN 302 217-2; </w:t>
            </w:r>
            <w:r w:rsidRPr="009B6C02">
              <w:rPr>
                <w:color w:val="000000" w:themeColor="text1"/>
                <w:sz w:val="20"/>
              </w:rPr>
              <w:br/>
              <w:t xml:space="preserve">EN 302 217-4 </w:t>
            </w:r>
          </w:p>
        </w:tc>
        <w:tc>
          <w:tcPr>
            <w:tcW w:w="2268" w:type="dxa"/>
            <w:shd w:val="clear" w:color="auto" w:fill="auto"/>
          </w:tcPr>
          <w:p w14:paraId="5D27D487" w14:textId="06522F1F" w:rsidR="00FD2DA7" w:rsidRPr="009B6C02" w:rsidRDefault="00FD2DA7" w:rsidP="009B6A9A">
            <w:pPr>
              <w:jc w:val="left"/>
              <w:rPr>
                <w:rFonts w:cs="Arial"/>
                <w:color w:val="000000" w:themeColor="text1"/>
                <w:sz w:val="20"/>
              </w:rPr>
            </w:pPr>
          </w:p>
        </w:tc>
      </w:tr>
      <w:tr w:rsidR="00FD2DA7" w:rsidRPr="009B6C02" w14:paraId="5D27D48F" w14:textId="77777777" w:rsidTr="00733135">
        <w:trPr>
          <w:cantSplit/>
          <w:trHeight w:val="454"/>
          <w:jc w:val="center"/>
        </w:trPr>
        <w:tc>
          <w:tcPr>
            <w:tcW w:w="340" w:type="dxa"/>
            <w:vMerge/>
            <w:shd w:val="clear" w:color="auto" w:fill="auto"/>
          </w:tcPr>
          <w:p w14:paraId="5D27D489" w14:textId="77777777" w:rsidR="00FD2DA7" w:rsidRPr="009B6C02" w:rsidRDefault="00FD2DA7" w:rsidP="00733135">
            <w:pPr>
              <w:jc w:val="center"/>
              <w:rPr>
                <w:color w:val="000000" w:themeColor="text1"/>
              </w:rPr>
            </w:pPr>
          </w:p>
        </w:tc>
        <w:tc>
          <w:tcPr>
            <w:tcW w:w="397" w:type="dxa"/>
            <w:shd w:val="clear" w:color="auto" w:fill="auto"/>
          </w:tcPr>
          <w:p w14:paraId="5D27D48A" w14:textId="77777777" w:rsidR="00FD2DA7" w:rsidRPr="009B6C02" w:rsidRDefault="00FD2DA7" w:rsidP="00733135">
            <w:pPr>
              <w:jc w:val="center"/>
              <w:rPr>
                <w:rFonts w:cs="Arial"/>
                <w:color w:val="000000" w:themeColor="text1"/>
                <w:sz w:val="18"/>
                <w:szCs w:val="18"/>
              </w:rPr>
            </w:pPr>
            <w:r w:rsidRPr="009B6C02">
              <w:rPr>
                <w:color w:val="000000" w:themeColor="text1"/>
                <w:sz w:val="18"/>
              </w:rPr>
              <w:t>14</w:t>
            </w:r>
          </w:p>
        </w:tc>
        <w:tc>
          <w:tcPr>
            <w:tcW w:w="2835" w:type="dxa"/>
            <w:shd w:val="clear" w:color="auto" w:fill="auto"/>
          </w:tcPr>
          <w:p w14:paraId="5D27D48B" w14:textId="77777777" w:rsidR="00FD2DA7" w:rsidRPr="009B6C02" w:rsidRDefault="00FD2DA7" w:rsidP="00733135">
            <w:pPr>
              <w:jc w:val="left"/>
              <w:rPr>
                <w:rFonts w:cs="Arial"/>
                <w:color w:val="000000" w:themeColor="text1"/>
                <w:sz w:val="18"/>
                <w:szCs w:val="18"/>
              </w:rPr>
            </w:pPr>
            <w:r w:rsidRPr="009B6C02">
              <w:rPr>
                <w:color w:val="000000" w:themeColor="text1"/>
                <w:sz w:val="18"/>
              </w:rPr>
              <w:t>Numero di notifica</w:t>
            </w:r>
          </w:p>
          <w:p w14:paraId="5D27D48C"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(Notification number)</w:t>
            </w:r>
          </w:p>
        </w:tc>
        <w:tc>
          <w:tcPr>
            <w:tcW w:w="3799" w:type="dxa"/>
            <w:shd w:val="clear" w:color="auto" w:fill="auto"/>
          </w:tcPr>
          <w:p w14:paraId="5D27D48D" w14:textId="77777777" w:rsidR="00FD2DA7" w:rsidRPr="009B6C02" w:rsidRDefault="00FD2DA7" w:rsidP="00733135">
            <w:pPr>
              <w:jc w:val="left"/>
              <w:rPr>
                <w:rFonts w:cs="Arial"/>
                <w:color w:val="000000" w:themeColor="text1"/>
                <w:sz w:val="20"/>
              </w:rPr>
            </w:pPr>
          </w:p>
        </w:tc>
        <w:tc>
          <w:tcPr>
            <w:tcW w:w="2268" w:type="dxa"/>
            <w:shd w:val="clear" w:color="auto" w:fill="auto"/>
          </w:tcPr>
          <w:p w14:paraId="5D27D48E" w14:textId="77777777" w:rsidR="00FD2DA7" w:rsidRPr="009B6C02" w:rsidRDefault="00FD2DA7" w:rsidP="009B6A9A">
            <w:pPr>
              <w:jc w:val="left"/>
              <w:rPr>
                <w:rFonts w:cs="Arial"/>
                <w:color w:val="000000" w:themeColor="text1"/>
                <w:sz w:val="20"/>
              </w:rPr>
            </w:pPr>
          </w:p>
        </w:tc>
      </w:tr>
      <w:tr w:rsidR="00FD2DA7" w:rsidRPr="009B6C02" w14:paraId="5D27D496" w14:textId="77777777" w:rsidTr="00733135">
        <w:trPr>
          <w:cantSplit/>
          <w:trHeight w:val="454"/>
          <w:jc w:val="center"/>
        </w:trPr>
        <w:tc>
          <w:tcPr>
            <w:tcW w:w="340" w:type="dxa"/>
            <w:vMerge/>
            <w:shd w:val="clear" w:color="auto" w:fill="auto"/>
          </w:tcPr>
          <w:p w14:paraId="5D27D490" w14:textId="77777777" w:rsidR="00FD2DA7" w:rsidRPr="009B6C02" w:rsidRDefault="00FD2DA7" w:rsidP="00733135">
            <w:pPr>
              <w:jc w:val="center"/>
              <w:rPr>
                <w:color w:val="000000" w:themeColor="text1"/>
              </w:rPr>
            </w:pPr>
          </w:p>
        </w:tc>
        <w:tc>
          <w:tcPr>
            <w:tcW w:w="397" w:type="dxa"/>
            <w:shd w:val="clear" w:color="auto" w:fill="auto"/>
          </w:tcPr>
          <w:p w14:paraId="5D27D491" w14:textId="77777777" w:rsidR="00FD2DA7" w:rsidRPr="009B6C02" w:rsidRDefault="00FD2DA7" w:rsidP="00733135">
            <w:pPr>
              <w:jc w:val="center"/>
              <w:rPr>
                <w:rFonts w:cs="Arial"/>
                <w:color w:val="000000" w:themeColor="text1"/>
                <w:sz w:val="18"/>
                <w:szCs w:val="18"/>
              </w:rPr>
            </w:pPr>
            <w:r w:rsidRPr="009B6C02">
              <w:rPr>
                <w:color w:val="000000" w:themeColor="text1"/>
                <w:sz w:val="18"/>
              </w:rPr>
              <w:t>15</w:t>
            </w:r>
          </w:p>
        </w:tc>
        <w:tc>
          <w:tcPr>
            <w:tcW w:w="2835" w:type="dxa"/>
            <w:shd w:val="clear" w:color="auto" w:fill="auto"/>
          </w:tcPr>
          <w:p w14:paraId="5D27D492" w14:textId="77777777" w:rsidR="00FD2DA7" w:rsidRPr="009B6C02" w:rsidRDefault="00FD2DA7" w:rsidP="00733135">
            <w:pPr>
              <w:jc w:val="left"/>
              <w:rPr>
                <w:rFonts w:cs="Arial"/>
                <w:color w:val="000000" w:themeColor="text1"/>
                <w:sz w:val="18"/>
                <w:szCs w:val="18"/>
              </w:rPr>
            </w:pPr>
            <w:r w:rsidRPr="009B6C02">
              <w:rPr>
                <w:color w:val="000000" w:themeColor="text1"/>
                <w:sz w:val="18"/>
              </w:rPr>
              <w:t>Commenti</w:t>
            </w:r>
          </w:p>
          <w:p w14:paraId="5D27D493" w14:textId="77777777" w:rsidR="00FD2DA7" w:rsidRPr="009B6C02" w:rsidRDefault="00FD2DA7" w:rsidP="00733135">
            <w:pPr>
              <w:spacing w:before="60"/>
              <w:jc w:val="left"/>
              <w:rPr>
                <w:rFonts w:cs="Arial"/>
                <w:color w:val="000000" w:themeColor="text1"/>
                <w:sz w:val="18"/>
                <w:szCs w:val="18"/>
              </w:rPr>
            </w:pPr>
            <w:r w:rsidRPr="009B6C02">
              <w:rPr>
                <w:rFonts w:ascii="Tahoma" w:hAnsi="Tahoma"/>
                <w:i/>
                <w:color w:val="000000" w:themeColor="text1"/>
                <w:sz w:val="14"/>
              </w:rPr>
              <w:t>(Remarks)</w:t>
            </w:r>
          </w:p>
        </w:tc>
        <w:tc>
          <w:tcPr>
            <w:tcW w:w="3799" w:type="dxa"/>
            <w:shd w:val="clear" w:color="auto" w:fill="auto"/>
          </w:tcPr>
          <w:p w14:paraId="5D27D494" w14:textId="77777777" w:rsidR="00FD2DA7" w:rsidRPr="009B6C02" w:rsidRDefault="00FD2DA7" w:rsidP="00733135">
            <w:pPr>
              <w:jc w:val="left"/>
              <w:rPr>
                <w:rFonts w:cs="Arial"/>
                <w:color w:val="000000" w:themeColor="text1"/>
                <w:sz w:val="20"/>
              </w:rPr>
            </w:pPr>
          </w:p>
        </w:tc>
        <w:tc>
          <w:tcPr>
            <w:tcW w:w="2268" w:type="dxa"/>
            <w:shd w:val="clear" w:color="auto" w:fill="auto"/>
          </w:tcPr>
          <w:p w14:paraId="5D27D495" w14:textId="77777777" w:rsidR="00FD2DA7" w:rsidRPr="009B6C02" w:rsidRDefault="00FD2DA7" w:rsidP="009B6A9A">
            <w:pPr>
              <w:jc w:val="left"/>
              <w:rPr>
                <w:rFonts w:cs="Arial"/>
                <w:color w:val="000000" w:themeColor="text1"/>
                <w:sz w:val="20"/>
              </w:rPr>
            </w:pPr>
          </w:p>
        </w:tc>
      </w:tr>
    </w:tbl>
    <w:p w14:paraId="5D27D4A8" w14:textId="2682C789" w:rsidR="00260C39" w:rsidRDefault="00260C39">
      <w:pPr>
        <w:pStyle w:val="Header"/>
        <w:tabs>
          <w:tab w:val="clear" w:pos="4536"/>
          <w:tab w:val="clear" w:pos="9072"/>
        </w:tabs>
        <w:rPr>
          <w:rFonts w:cs="Arial"/>
        </w:rPr>
      </w:pPr>
    </w:p>
    <w:sectPr w:rsidR="00260C39" w:rsidSect="0053074E">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F758" w14:textId="77777777" w:rsidR="0070642D" w:rsidRDefault="0070642D">
      <w:r>
        <w:separator/>
      </w:r>
    </w:p>
  </w:endnote>
  <w:endnote w:type="continuationSeparator" w:id="0">
    <w:p w14:paraId="272CB5EC" w14:textId="77777777" w:rsidR="0070642D" w:rsidRDefault="0070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4" w14:textId="526F781A"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Stato </w:t>
    </w:r>
    <w:r>
      <w:rPr>
        <w:rFonts w:ascii="Verdana" w:hAnsi="Verdana"/>
        <w:b w:val="0"/>
        <w:vanish w:val="0"/>
        <w:color w:val="000000" w:themeColor="text1"/>
        <w:sz w:val="14"/>
      </w:rPr>
      <w:t>di elaborazione: 2 Febbraio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3</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9" w14:textId="77777777" w:rsidR="009C3D7A" w:rsidRPr="00206B7E" w:rsidRDefault="009C3D7A">
    <w:pPr>
      <w:pStyle w:val="Footer"/>
      <w:rPr>
        <w:rFonts w:ascii="Verdana" w:hAnsi="Verdana"/>
        <w:b w:val="0"/>
        <w:bCs w:val="0"/>
        <w:sz w:val="14"/>
        <w:szCs w:val="14"/>
      </w:rPr>
    </w:pPr>
  </w:p>
  <w:p w14:paraId="5D27D4BA" w14:textId="77777777" w:rsidR="009C3D7A" w:rsidRPr="00CB55BF" w:rsidRDefault="009C3D7A" w:rsidP="001778D0">
    <w:pPr>
      <w:pStyle w:val="NotifizierungNr"/>
      <w:rPr>
        <w:rFonts w:ascii="Verdana" w:hAnsi="Verdana" w:cs="Tahoma"/>
        <w:color w:val="FFFFFF"/>
        <w:sz w:val="22"/>
        <w:szCs w:val="22"/>
      </w:rPr>
    </w:pPr>
    <w:r w:rsidRPr="00DF77E6">
      <w:rPr>
        <w:rFonts w:ascii="Verdana" w:hAnsi="Verdana" w:cs="Tahoma"/>
        <w:color w:val="FFFFFF"/>
        <w:sz w:val="22"/>
        <w:szCs w:val="22"/>
        <w:lang w:val="de-DE"/>
      </w:rPr>
      <w:t xml:space="preserve">Die Notifizierung ist bei der Kommission unter der Nr.  </w:t>
    </w:r>
    <w:r w:rsidRPr="00CB55BF">
      <w:rPr>
        <w:rFonts w:ascii="Verdana" w:hAnsi="Verdana" w:cs="Tahoma"/>
        <w:color w:val="FFFFFF"/>
        <w:sz w:val="22"/>
        <w:szCs w:val="22"/>
      </w:rPr>
      <w:t>xxxx/xxxx/D  registriert.</w:t>
    </w:r>
  </w:p>
  <w:p w14:paraId="5D27D4BB" w14:textId="77777777" w:rsidR="009C3D7A" w:rsidRPr="00206B7E" w:rsidRDefault="009C3D7A">
    <w:pPr>
      <w:pStyle w:val="Footer"/>
      <w:rPr>
        <w:rFonts w:ascii="Verdana" w:hAnsi="Verdana"/>
        <w:b w:val="0"/>
        <w:bCs w:val="0"/>
        <w:vanish w:val="0"/>
        <w:sz w:val="14"/>
        <w:szCs w:val="14"/>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142" w:type="dxa"/>
        <w:bottom w:w="57" w:type="dxa"/>
        <w:right w:w="142" w:type="dxa"/>
      </w:tblCellMar>
      <w:tblLook w:val="0000" w:firstRow="0" w:lastRow="0" w:firstColumn="0" w:lastColumn="0" w:noHBand="0" w:noVBand="0"/>
    </w:tblPr>
    <w:tblGrid>
      <w:gridCol w:w="9639"/>
    </w:tblGrid>
    <w:tr w:rsidR="009C3D7A" w14:paraId="5D27D4BD" w14:textId="77777777" w:rsidTr="005D0E3B">
      <w:trPr>
        <w:cantSplit/>
        <w:jc w:val="center"/>
      </w:trPr>
      <w:tc>
        <w:tcPr>
          <w:tcW w:w="8505" w:type="dxa"/>
          <w:vAlign w:val="center"/>
        </w:tcPr>
        <w:p w14:paraId="5D27D4BC" w14:textId="05C148C8" w:rsidR="009C3D7A" w:rsidRPr="00823F89" w:rsidRDefault="005D0E3B" w:rsidP="005D0E3B">
          <w:pPr>
            <w:pStyle w:val="Fuzeile2"/>
            <w:rPr>
              <w:rFonts w:ascii="Verdana" w:hAnsi="Verdana"/>
              <w:color w:val="000000" w:themeColor="text1"/>
              <w:sz w:val="14"/>
              <w:szCs w:val="14"/>
            </w:rPr>
          </w:pPr>
          <w:r>
            <w:rPr>
              <w:rFonts w:ascii="Verdana" w:hAnsi="Verdana"/>
              <w:color w:val="000000" w:themeColor="text1"/>
              <w:sz w:val="14"/>
            </w:rPr>
            <w:t>Notificato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tc>
    </w:tr>
  </w:tbl>
  <w:p w14:paraId="5D27D4BE" w14:textId="77777777" w:rsidR="009C3D7A" w:rsidRPr="00206B7E" w:rsidRDefault="009C3D7A">
    <w:pPr>
      <w:pStyle w:val="Footer"/>
      <w:rPr>
        <w:rFonts w:ascii="Verdana" w:hAnsi="Verdana"/>
        <w:b w:val="0"/>
        <w:bCs w:val="0"/>
        <w:vanish w:val="0"/>
        <w:sz w:val="14"/>
        <w:szCs w:val="14"/>
      </w:rPr>
    </w:pPr>
  </w:p>
  <w:p w14:paraId="5D27D4BF" w14:textId="77777777" w:rsidR="009C3D7A" w:rsidRPr="00206B7E" w:rsidRDefault="009C3D7A">
    <w:pPr>
      <w:pStyle w:val="Footer"/>
      <w:rPr>
        <w:rFonts w:ascii="Verdana" w:hAnsi="Verdana"/>
        <w:b w:val="0"/>
        <w:bCs w:val="0"/>
        <w:vanish w:val="0"/>
        <w:sz w:val="14"/>
        <w:szCs w:val="14"/>
      </w:rPr>
    </w:pPr>
  </w:p>
  <w:p w14:paraId="5D27D4C0" w14:textId="77777777" w:rsidR="009C3D7A" w:rsidRPr="00206B7E" w:rsidRDefault="009C3D7A">
    <w:pPr>
      <w:pStyle w:val="Footer"/>
      <w:rPr>
        <w:rFonts w:ascii="Verdana" w:hAnsi="Verdana"/>
        <w:b w:val="0"/>
        <w:bCs w:val="0"/>
        <w:vanish w:val="0"/>
        <w:sz w:val="14"/>
        <w:szCs w:val="14"/>
      </w:rPr>
    </w:pPr>
  </w:p>
  <w:p w14:paraId="5D27D4C1" w14:textId="602DCDA7"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Stato di elaborazione: 2 Febbraio 2022</w:t>
    </w:r>
    <w:r>
      <w:rPr>
        <w:rFonts w:ascii="Verdana" w:hAnsi="Verdana"/>
        <w:b w:val="0"/>
        <w:vanish w:val="0"/>
        <w:color w:val="000000" w:themeColor="text1"/>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C9" w14:textId="55CA963E"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Stato </w:t>
    </w:r>
    <w:r>
      <w:rPr>
        <w:rFonts w:ascii="Verdana" w:hAnsi="Verdana"/>
        <w:b w:val="0"/>
        <w:vanish w:val="0"/>
        <w:color w:val="000000" w:themeColor="text1"/>
        <w:sz w:val="14"/>
      </w:rPr>
      <w:t>di elaborazione: 2 Febbraio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2</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AEA5" w14:textId="77777777" w:rsidR="0070642D" w:rsidRDefault="0070642D">
      <w:r>
        <w:separator/>
      </w:r>
    </w:p>
  </w:footnote>
  <w:footnote w:type="continuationSeparator" w:id="0">
    <w:p w14:paraId="45321E21" w14:textId="77777777" w:rsidR="0070642D" w:rsidRDefault="0070642D">
      <w:r>
        <w:continuationSeparator/>
      </w:r>
    </w:p>
  </w:footnote>
  <w:footnote w:id="1">
    <w:p w14:paraId="5D27D4CF" w14:textId="77777777" w:rsidR="009C3D7A" w:rsidRDefault="009C3D7A" w:rsidP="004A212D">
      <w:pPr>
        <w:pStyle w:val="FootnoteText"/>
      </w:pPr>
      <w:r>
        <w:rPr>
          <w:rStyle w:val="FootnoteReference"/>
          <w:szCs w:val="18"/>
        </w:rPr>
        <w:footnoteRef/>
      </w:r>
      <w:r>
        <w:tab/>
      </w:r>
      <w:r>
        <w:rPr>
          <w:color w:val="000000"/>
        </w:rPr>
        <w:t>Le regolamentazioni radio sono disponibili in lingua araba, cinese, inglese, francese, russa e spagnola. In qualsivoglia caso di controversia o di dubbio, prevale il testo francese.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B2" w14:textId="77777777" w:rsidTr="00733135">
      <w:trPr>
        <w:cantSplit/>
        <w:trHeight w:val="113"/>
      </w:trPr>
      <w:tc>
        <w:tcPr>
          <w:tcW w:w="397" w:type="dxa"/>
          <w:shd w:val="clear" w:color="auto" w:fill="auto"/>
          <w:vAlign w:val="center"/>
        </w:tcPr>
        <w:p w14:paraId="5D27D4AD"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IT</w:t>
          </w:r>
        </w:p>
      </w:tc>
      <w:tc>
        <w:tcPr>
          <w:tcW w:w="1701" w:type="dxa"/>
          <w:shd w:val="clear" w:color="auto" w:fill="auto"/>
          <w:vAlign w:val="center"/>
        </w:tcPr>
        <w:p w14:paraId="5D27D4AE"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Specifica dell'interfaccia</w:t>
          </w:r>
        </w:p>
      </w:tc>
      <w:tc>
        <w:tcPr>
          <w:tcW w:w="5160" w:type="dxa"/>
          <w:shd w:val="clear" w:color="auto" w:fill="auto"/>
          <w:vAlign w:val="center"/>
        </w:tcPr>
        <w:p w14:paraId="5D27D4AF" w14:textId="6558BD2D"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Apparecchiature di radiotrasmissione nell'intervallo 6,2 GHz (P-P)</w:t>
          </w:r>
        </w:p>
      </w:tc>
      <w:tc>
        <w:tcPr>
          <w:tcW w:w="1247" w:type="dxa"/>
          <w:shd w:val="clear" w:color="auto" w:fill="auto"/>
          <w:vAlign w:val="center"/>
        </w:tcPr>
        <w:p w14:paraId="5D27D4B0" w14:textId="10FE496A"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B1" w14:textId="704F1E79" w:rsidR="009C3D7A" w:rsidRPr="00823F89" w:rsidRDefault="00300659" w:rsidP="00300659">
          <w:pPr>
            <w:pStyle w:val="Header"/>
            <w:jc w:val="center"/>
            <w:rPr>
              <w:rFonts w:ascii="Arial Narrow" w:hAnsi="Arial Narrow"/>
              <w:color w:val="000000" w:themeColor="text1"/>
              <w:sz w:val="16"/>
              <w:szCs w:val="16"/>
            </w:rPr>
          </w:pPr>
          <w:r>
            <w:rPr>
              <w:rFonts w:ascii="Arial Narrow" w:hAnsi="Arial Narrow"/>
              <w:color w:val="000000" w:themeColor="text1"/>
              <w:sz w:val="16"/>
            </w:rPr>
            <w:t>Febbraio 2022</w:t>
          </w:r>
        </w:p>
      </w:tc>
    </w:tr>
  </w:tbl>
  <w:p w14:paraId="5D27D4B3" w14:textId="7BB166FB" w:rsidR="009C3D7A" w:rsidRPr="0013052E" w:rsidRDefault="000F4A2F" w:rsidP="00445475">
    <w:pPr>
      <w:pStyle w:val="Header"/>
      <w:rPr>
        <w:sz w:val="12"/>
        <w:szCs w:val="12"/>
      </w:rPr>
    </w:pPr>
    <w:r>
      <w:rPr>
        <w:noProof/>
        <w:sz w:val="12"/>
      </w:rPr>
      <mc:AlternateContent>
        <mc:Choice Requires="wps">
          <w:drawing>
            <wp:anchor distT="0" distB="0" distL="114300" distR="114300" simplePos="0" relativeHeight="251658752" behindDoc="1" locked="1" layoutInCell="1" allowOverlap="1" wp14:anchorId="5D27D4CA" wp14:editId="1399507C">
              <wp:simplePos x="0" y="0"/>
              <wp:positionH relativeFrom="margin">
                <wp:posOffset>360045</wp:posOffset>
              </wp:positionH>
              <wp:positionV relativeFrom="margin">
                <wp:posOffset>3780790</wp:posOffset>
              </wp:positionV>
              <wp:extent cx="6047740" cy="1473200"/>
              <wp:effectExtent l="1390015" t="0" r="1270635" b="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A" id="_x0000_t202" coordsize="21600,21600" o:spt="202" path="m,l,21600r21600,l21600,xe">
              <v:stroke joinstyle="miter"/>
              <v:path gradientshapeok="t" o:connecttype="rect"/>
            </v:shapetype>
            <v:shape id="WordArt 9" o:spid="_x0000_s1026" type="#_x0000_t202" style="position:absolute;left:0;text-align:left;margin-left:28.35pt;margin-top:297.7pt;width:476.2pt;height:116pt;rotation:-3961170fd;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" filled="f" fillcolor="silver" stroked="f">
              <v:fill opacity="16448f"/>
              <o:lock v:ext="edit" shapetype="t"/>
              <v:textbox style="mso-fit-shape-to-text:t">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top w:w="28" w:type="dxa"/>
        <w:left w:w="0" w:type="dxa"/>
        <w:right w:w="0" w:type="dxa"/>
      </w:tblCellMar>
      <w:tblLook w:val="0000" w:firstRow="0" w:lastRow="0" w:firstColumn="0" w:lastColumn="0" w:noHBand="0" w:noVBand="0"/>
    </w:tblPr>
    <w:tblGrid>
      <w:gridCol w:w="3969"/>
      <w:gridCol w:w="5670"/>
    </w:tblGrid>
    <w:tr w:rsidR="009C3D7A" w14:paraId="5D27D4B7" w14:textId="77777777">
      <w:trPr>
        <w:cantSplit/>
        <w:trHeight w:val="1843"/>
        <w:jc w:val="center"/>
      </w:trPr>
      <w:tc>
        <w:tcPr>
          <w:tcW w:w="3969" w:type="dxa"/>
        </w:tcPr>
        <w:p w14:paraId="5D27D4B5" w14:textId="52EEFDF6" w:rsidR="009C3D7A" w:rsidRDefault="009F6793" w:rsidP="00BB5F61">
          <w:pPr>
            <w:pStyle w:val="Header"/>
            <w:spacing w:before="20"/>
            <w:jc w:val="left"/>
          </w:pPr>
          <w:r>
            <w:rPr>
              <w:noProof/>
            </w:rPr>
            <mc:AlternateContent>
              <mc:Choice Requires="wps">
                <w:drawing>
                  <wp:anchor distT="0" distB="0" distL="114300" distR="114300" simplePos="0" relativeHeight="251659776" behindDoc="0" locked="0" layoutInCell="1" allowOverlap="1" wp14:anchorId="5C6ACCAF" wp14:editId="00F7A6EB">
                    <wp:simplePos x="0" y="0"/>
                    <wp:positionH relativeFrom="column">
                      <wp:posOffset>720187</wp:posOffset>
                    </wp:positionH>
                    <wp:positionV relativeFrom="paragraph">
                      <wp:posOffset>10746</wp:posOffset>
                    </wp:positionV>
                    <wp:extent cx="1740877"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40877" cy="762000"/>
                            </a:xfrm>
                            <a:prstGeom prst="rect">
                              <a:avLst/>
                            </a:prstGeom>
                            <a:solidFill>
                              <a:schemeClr val="lt1"/>
                            </a:solidFill>
                            <a:ln w="6350">
                              <a:noFill/>
                            </a:ln>
                          </wps:spPr>
                          <wps:txbx>
                            <w:txbxContent>
                              <w:p w14:paraId="40B9AFC9" w14:textId="571CBADB" w:rsidR="009F6793" w:rsidRPr="009F6793" w:rsidRDefault="009F6793">
                                <w:pPr>
                                  <w:rPr>
                                    <w:b/>
                                    <w:bCs/>
                                  </w:rPr>
                                </w:pPr>
                                <w:r>
                                  <w:rPr>
                                    <w:b/>
                                  </w:rPr>
                                  <w:t xml:space="preserve">Agenzia </w:t>
                                </w:r>
                                <w:r>
                                  <w:rPr>
                                    <w:b/>
                                  </w:rPr>
                                  <w:t xml:space="preserve">federale </w:t>
                                </w:r>
                                <w:r>
                                  <w:rPr>
                                    <w:b/>
                                  </w:rPr>
                                  <w:br/>
                                  <w:t>tedesca delle reti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6ACCAF" id="_x0000_t202" coordsize="21600,21600" o:spt="202" path="m,l,21600r21600,l21600,xe">
                    <v:stroke joinstyle="miter"/>
                    <v:path gradientshapeok="t" o:connecttype="rect"/>
                  </v:shapetype>
                  <v:shape id="Text Box 5" o:spid="_x0000_s1027" type="#_x0000_t202" style="position:absolute;margin-left:56.7pt;margin-top:.85pt;width:137.1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" fillcolor="white [3201]" stroked="f" strokeweight=".5pt">
                    <v:textbox>
                      <w:txbxContent>
                        <w:p w14:paraId="40B9AFC9" w14:textId="571CBADB" w:rsidR="009F6793" w:rsidRPr="009F6793" w:rsidRDefault="009F6793">
                          <w:pPr>
                            <w:rPr>
                              <w:b/>
                              <w:bCs/>
                            </w:rPr>
                          </w:pPr>
                          <w:r>
                            <w:rPr>
                              <w:b/>
                            </w:rPr>
                            <w:t xml:space="preserve">Agenzia </w:t>
                          </w:r>
                          <w:r>
                            <w:rPr>
                              <w:b/>
                            </w:rPr>
                            <w:t xml:space="preserve">federale </w:t>
                          </w:r>
                          <w:r>
                            <w:rPr>
                              <w:b/>
                            </w:rPr>
                            <w:br/>
                            <w:t>tedesca delle reti</w:t>
                          </w:r>
                        </w:p>
                      </w:txbxContent>
                    </v:textbox>
                  </v:shape>
                </w:pict>
              </mc:Fallback>
            </mc:AlternateContent>
          </w:r>
          <w:r>
            <w:t xml:space="preserve">  </w:t>
          </w:r>
          <w:r>
            <w:rPr>
              <w:noProof/>
            </w:rPr>
            <w:drawing>
              <wp:inline distT="0" distB="0" distL="0" distR="0" wp14:anchorId="5D27D4CB" wp14:editId="2E99924E">
                <wp:extent cx="2246630" cy="1125855"/>
                <wp:effectExtent l="0" t="0" r="127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630" cy="1125855"/>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56704" behindDoc="1" locked="1" layoutInCell="1" allowOverlap="1" wp14:anchorId="5D27D4CD" wp14:editId="091A6066">
                    <wp:simplePos x="0" y="0"/>
                    <wp:positionH relativeFrom="margin">
                      <wp:posOffset>360045</wp:posOffset>
                    </wp:positionH>
                    <wp:positionV relativeFrom="margin">
                      <wp:posOffset>3780790</wp:posOffset>
                    </wp:positionV>
                    <wp:extent cx="6047740" cy="1473200"/>
                    <wp:effectExtent l="1390015" t="0" r="1270635"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27D4CD" id="WordArt 1" o:spid="_x0000_s1028" type="#_x0000_t202" style="position:absolute;margin-left:28.35pt;margin-top:297.7pt;width:476.2pt;height:116pt;rotation:-3961170fd;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" filled="f" fillcolor="silver" stroked="f">
                    <v:fill opacity="16448f"/>
                    <o:lock v:ext="edit" shapetype="t"/>
                    <v:textbox style="mso-fit-shape-to-text:t">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v:textbox>
                    <w10:wrap anchorx="margin" anchory="margin"/>
                    <w10:anchorlock/>
                  </v:shape>
                </w:pict>
              </mc:Fallback>
            </mc:AlternateContent>
          </w:r>
        </w:p>
      </w:tc>
      <w:tc>
        <w:tcPr>
          <w:tcW w:w="5670" w:type="dxa"/>
        </w:tcPr>
        <w:p w14:paraId="5D27D4B6" w14:textId="77777777" w:rsidR="009C3D7A" w:rsidRPr="00823F89" w:rsidRDefault="009C3D7A" w:rsidP="00386B9F">
          <w:pPr>
            <w:pStyle w:val="Header"/>
            <w:suppressAutoHyphens/>
            <w:spacing w:before="500"/>
            <w:jc w:val="center"/>
            <w:rPr>
              <w:rFonts w:ascii="Verdana" w:hAnsi="Verdana" w:cs="Arial"/>
              <w:color w:val="000000" w:themeColor="text1"/>
              <w:w w:val="110"/>
              <w:kern w:val="24"/>
              <w:szCs w:val="22"/>
            </w:rPr>
          </w:pPr>
          <w:r>
            <w:rPr>
              <w:rFonts w:ascii="Verdana" w:hAnsi="Verdana"/>
              <w:color w:val="000000" w:themeColor="text1"/>
            </w:rPr>
            <w:t>Agenzia federale tedesca delle reti per l'energia elettrica, il gas, le telecomunicazioni, le poste e le ferrovie</w:t>
          </w:r>
        </w:p>
      </w:tc>
    </w:tr>
  </w:tbl>
  <w:p w14:paraId="5D27D4B8" w14:textId="0EC5BCF7" w:rsidR="009C3D7A" w:rsidRDefault="009C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C7" w14:textId="77777777" w:rsidTr="00733135">
      <w:trPr>
        <w:cantSplit/>
        <w:trHeight w:val="113"/>
      </w:trPr>
      <w:tc>
        <w:tcPr>
          <w:tcW w:w="397" w:type="dxa"/>
          <w:shd w:val="clear" w:color="auto" w:fill="auto"/>
          <w:vAlign w:val="center"/>
        </w:tcPr>
        <w:p w14:paraId="5D27D4C2"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IT</w:t>
          </w:r>
        </w:p>
      </w:tc>
      <w:tc>
        <w:tcPr>
          <w:tcW w:w="1701" w:type="dxa"/>
          <w:shd w:val="clear" w:color="auto" w:fill="auto"/>
          <w:vAlign w:val="center"/>
        </w:tcPr>
        <w:p w14:paraId="5D27D4C3"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Specifica dell'interfaccia</w:t>
          </w:r>
        </w:p>
      </w:tc>
      <w:tc>
        <w:tcPr>
          <w:tcW w:w="5160" w:type="dxa"/>
          <w:shd w:val="clear" w:color="auto" w:fill="auto"/>
          <w:vAlign w:val="center"/>
        </w:tcPr>
        <w:p w14:paraId="5D27D4C4" w14:textId="6BC24BC9"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Apparecchiature di radiotrasmissione nell'intervallo 6,2 GHz (P-P)</w:t>
          </w:r>
        </w:p>
      </w:tc>
      <w:tc>
        <w:tcPr>
          <w:tcW w:w="1247" w:type="dxa"/>
          <w:shd w:val="clear" w:color="auto" w:fill="auto"/>
          <w:vAlign w:val="center"/>
        </w:tcPr>
        <w:p w14:paraId="5D27D4C5" w14:textId="43B8FD08"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C6" w14:textId="39C951A7" w:rsidR="009C3D7A" w:rsidRPr="00823F89" w:rsidRDefault="00300659"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Febbraio 2022</w:t>
          </w:r>
        </w:p>
      </w:tc>
    </w:tr>
  </w:tbl>
  <w:p w14:paraId="5D27D4C8" w14:textId="28622EE0" w:rsidR="009C3D7A" w:rsidRPr="0013052E" w:rsidRDefault="000F4A2F" w:rsidP="0013052E">
    <w:pPr>
      <w:pStyle w:val="Header"/>
      <w:rPr>
        <w:sz w:val="12"/>
        <w:szCs w:val="12"/>
      </w:rPr>
    </w:pPr>
    <w:r>
      <w:rPr>
        <w:noProof/>
        <w:sz w:val="12"/>
      </w:rPr>
      <mc:AlternateContent>
        <mc:Choice Requires="wps">
          <w:drawing>
            <wp:anchor distT="0" distB="0" distL="114300" distR="114300" simplePos="0" relativeHeight="251657728" behindDoc="1" locked="1" layoutInCell="1" allowOverlap="1" wp14:anchorId="5D27D4CE" wp14:editId="628BCDC7">
              <wp:simplePos x="0" y="0"/>
              <wp:positionH relativeFrom="margin">
                <wp:posOffset>360045</wp:posOffset>
              </wp:positionH>
              <wp:positionV relativeFrom="margin">
                <wp:posOffset>3780790</wp:posOffset>
              </wp:positionV>
              <wp:extent cx="6047740" cy="1473200"/>
              <wp:effectExtent l="1390015" t="0" r="127063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E" id="_x0000_t202" coordsize="21600,21600" o:spt="202" path="m,l,21600r21600,l21600,xe">
              <v:stroke joinstyle="miter"/>
              <v:path gradientshapeok="t" o:connecttype="rect"/>
            </v:shapetype>
            <v:shape id="WordArt 7" o:spid="_x0000_s1029" type="#_x0000_t202" style="position:absolute;left:0;text-align:left;margin-left:28.35pt;margin-top:297.7pt;width:476.2pt;height:116pt;rotation:-3961170fd;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" filled="f" fillcolor="silver" stroked="f">
              <v:fill opacity="16448f"/>
              <o:lock v:ext="edit" shapetype="t"/>
              <v:textbox style="mso-fit-shape-to-text:t">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Progetto</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D9"/>
    <w:multiLevelType w:val="hybridMultilevel"/>
    <w:tmpl w:val="CA5849F6"/>
    <w:lvl w:ilvl="0" w:tplc="CDCCC89C">
      <w:start w:val="1"/>
      <w:numFmt w:val="bullet"/>
      <w:pStyle w:val="AufzDokumente"/>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20A90"/>
    <w:multiLevelType w:val="hybridMultilevel"/>
    <w:tmpl w:val="BBE2453C"/>
    <w:lvl w:ilvl="0" w:tplc="1E68ED7C">
      <w:start w:val="1"/>
      <w:numFmt w:val="bullet"/>
      <w:lvlText w:val=""/>
      <w:lvlJc w:val="left"/>
      <w:pPr>
        <w:tabs>
          <w:tab w:val="num" w:pos="709"/>
        </w:tabs>
        <w:ind w:left="720" w:hanging="32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012D7"/>
    <w:multiLevelType w:val="hybridMultilevel"/>
    <w:tmpl w:val="D972A784"/>
    <w:lvl w:ilvl="0" w:tplc="E65283B6">
      <w:start w:val="1"/>
      <w:numFmt w:val="bullet"/>
      <w:pStyle w:val="AufzSonstDoku"/>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787EC2"/>
    <w:multiLevelType w:val="hybridMultilevel"/>
    <w:tmpl w:val="70280FA4"/>
    <w:lvl w:ilvl="0" w:tplc="04070001">
      <w:start w:val="1"/>
      <w:numFmt w:val="bullet"/>
      <w:lvlText w:val=""/>
      <w:lvlJc w:val="left"/>
      <w:pPr>
        <w:tabs>
          <w:tab w:val="num" w:pos="1288"/>
        </w:tabs>
        <w:ind w:left="1288" w:hanging="360"/>
      </w:pPr>
      <w:rPr>
        <w:rFonts w:ascii="Symbol" w:hAnsi="Symbol" w:hint="default"/>
      </w:rPr>
    </w:lvl>
    <w:lvl w:ilvl="1" w:tplc="04070003" w:tentative="1">
      <w:start w:val="1"/>
      <w:numFmt w:val="bullet"/>
      <w:lvlText w:val="o"/>
      <w:lvlJc w:val="left"/>
      <w:pPr>
        <w:tabs>
          <w:tab w:val="num" w:pos="2008"/>
        </w:tabs>
        <w:ind w:left="2008" w:hanging="360"/>
      </w:pPr>
      <w:rPr>
        <w:rFonts w:ascii="Courier New" w:hAnsi="Courier New" w:cs="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cs="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cs="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4" w15:restartNumberingAfterBreak="0">
    <w:nsid w:val="617807E4"/>
    <w:multiLevelType w:val="hybridMultilevel"/>
    <w:tmpl w:val="5F78F1F2"/>
    <w:lvl w:ilvl="0" w:tplc="C6A674F6">
      <w:start w:val="4"/>
      <w:numFmt w:val="decimal"/>
      <w:lvlText w:val="%1"/>
      <w:lvlJc w:val="left"/>
      <w:pPr>
        <w:tabs>
          <w:tab w:val="num" w:pos="1215"/>
        </w:tabs>
        <w:ind w:left="1215" w:hanging="85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DC3E69"/>
    <w:multiLevelType w:val="multilevel"/>
    <w:tmpl w:val="5F20D43A"/>
    <w:lvl w:ilvl="0">
      <w:start w:val="1"/>
      <w:numFmt w:val="decimal"/>
      <w:isLgl/>
      <w:lvlText w:val="%1"/>
      <w:lvlJc w:val="left"/>
      <w:pPr>
        <w:tabs>
          <w:tab w:val="num" w:pos="1134"/>
        </w:tabs>
        <w:ind w:left="1134" w:hanging="1134"/>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800"/>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0F371C7"/>
    <w:multiLevelType w:val="multilevel"/>
    <w:tmpl w:val="5F20D43A"/>
    <w:lvl w:ilvl="0">
      <w:start w:val="1"/>
      <w:numFmt w:val="decimal"/>
      <w:isLgl/>
      <w:lvlText w:val="%1"/>
      <w:lvlJc w:val="left"/>
      <w:pPr>
        <w:tabs>
          <w:tab w:val="num" w:pos="1134"/>
        </w:tabs>
        <w:ind w:left="1134" w:hanging="113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31D6BF7"/>
    <w:multiLevelType w:val="hybridMultilevel"/>
    <w:tmpl w:val="CB96C69C"/>
    <w:lvl w:ilvl="0" w:tplc="F648D50C">
      <w:start w:val="1"/>
      <w:numFmt w:val="bullet"/>
      <w:pStyle w:val="AufzPunk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A10EB6"/>
    <w:multiLevelType w:val="hybridMultilevel"/>
    <w:tmpl w:val="4B288EBE"/>
    <w:lvl w:ilvl="0" w:tplc="842AC1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8601419">
    <w:abstractNumId w:val="5"/>
  </w:num>
  <w:num w:numId="2" w16cid:durableId="1389381659">
    <w:abstractNumId w:val="5"/>
  </w:num>
  <w:num w:numId="3" w16cid:durableId="912086691">
    <w:abstractNumId w:val="5"/>
  </w:num>
  <w:num w:numId="4" w16cid:durableId="245313286">
    <w:abstractNumId w:val="5"/>
  </w:num>
  <w:num w:numId="5" w16cid:durableId="2038843826">
    <w:abstractNumId w:val="5"/>
  </w:num>
  <w:num w:numId="6" w16cid:durableId="1573349531">
    <w:abstractNumId w:val="5"/>
  </w:num>
  <w:num w:numId="7" w16cid:durableId="1381440427">
    <w:abstractNumId w:val="5"/>
  </w:num>
  <w:num w:numId="8" w16cid:durableId="1276868272">
    <w:abstractNumId w:val="5"/>
  </w:num>
  <w:num w:numId="9" w16cid:durableId="1471559769">
    <w:abstractNumId w:val="5"/>
  </w:num>
  <w:num w:numId="10" w16cid:durableId="1793553954">
    <w:abstractNumId w:val="2"/>
  </w:num>
  <w:num w:numId="11" w16cid:durableId="1418209285">
    <w:abstractNumId w:val="7"/>
  </w:num>
  <w:num w:numId="12" w16cid:durableId="70660043">
    <w:abstractNumId w:val="3"/>
  </w:num>
  <w:num w:numId="13" w16cid:durableId="1950552387">
    <w:abstractNumId w:val="0"/>
  </w:num>
  <w:num w:numId="14" w16cid:durableId="628512237">
    <w:abstractNumId w:val="1"/>
  </w:num>
  <w:num w:numId="15" w16cid:durableId="424807502">
    <w:abstractNumId w:val="6"/>
  </w:num>
  <w:num w:numId="16" w16cid:durableId="1666007582">
    <w:abstractNumId w:val="4"/>
  </w:num>
  <w:num w:numId="17" w16cid:durableId="600720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6F"/>
    <w:rsid w:val="00007ABA"/>
    <w:rsid w:val="00020AE1"/>
    <w:rsid w:val="00021D7B"/>
    <w:rsid w:val="00022406"/>
    <w:rsid w:val="00022D74"/>
    <w:rsid w:val="000308FE"/>
    <w:rsid w:val="00031C1D"/>
    <w:rsid w:val="00044334"/>
    <w:rsid w:val="00050A92"/>
    <w:rsid w:val="00052E9A"/>
    <w:rsid w:val="00057623"/>
    <w:rsid w:val="000620AF"/>
    <w:rsid w:val="0006783B"/>
    <w:rsid w:val="00071881"/>
    <w:rsid w:val="00072236"/>
    <w:rsid w:val="00073A07"/>
    <w:rsid w:val="000764DA"/>
    <w:rsid w:val="00081894"/>
    <w:rsid w:val="000A152B"/>
    <w:rsid w:val="000A6B1E"/>
    <w:rsid w:val="000B29BC"/>
    <w:rsid w:val="000B4360"/>
    <w:rsid w:val="000B5AF4"/>
    <w:rsid w:val="000C4CA0"/>
    <w:rsid w:val="000C5D86"/>
    <w:rsid w:val="000C6F36"/>
    <w:rsid w:val="000D1030"/>
    <w:rsid w:val="000E4F09"/>
    <w:rsid w:val="000F4A2F"/>
    <w:rsid w:val="000F6C9A"/>
    <w:rsid w:val="00111A32"/>
    <w:rsid w:val="00115FE7"/>
    <w:rsid w:val="00126D18"/>
    <w:rsid w:val="00127977"/>
    <w:rsid w:val="0013052E"/>
    <w:rsid w:val="00133CE4"/>
    <w:rsid w:val="00141D5A"/>
    <w:rsid w:val="00150229"/>
    <w:rsid w:val="00153CDE"/>
    <w:rsid w:val="00162073"/>
    <w:rsid w:val="00164BF0"/>
    <w:rsid w:val="001651AB"/>
    <w:rsid w:val="001671D3"/>
    <w:rsid w:val="001778D0"/>
    <w:rsid w:val="001852BF"/>
    <w:rsid w:val="001A3007"/>
    <w:rsid w:val="001A3F63"/>
    <w:rsid w:val="001B36E0"/>
    <w:rsid w:val="001B69C9"/>
    <w:rsid w:val="001C54E4"/>
    <w:rsid w:val="001D0DBD"/>
    <w:rsid w:val="001D3270"/>
    <w:rsid w:val="001D5044"/>
    <w:rsid w:val="001D7BDA"/>
    <w:rsid w:val="001E0B6B"/>
    <w:rsid w:val="001E3760"/>
    <w:rsid w:val="001F0496"/>
    <w:rsid w:val="001F1A97"/>
    <w:rsid w:val="0020117C"/>
    <w:rsid w:val="002042FB"/>
    <w:rsid w:val="002059A7"/>
    <w:rsid w:val="00206B7E"/>
    <w:rsid w:val="00221F77"/>
    <w:rsid w:val="00234456"/>
    <w:rsid w:val="00235C2E"/>
    <w:rsid w:val="0024253A"/>
    <w:rsid w:val="00243A64"/>
    <w:rsid w:val="00251893"/>
    <w:rsid w:val="00253E8E"/>
    <w:rsid w:val="00254813"/>
    <w:rsid w:val="00254DA1"/>
    <w:rsid w:val="002576F0"/>
    <w:rsid w:val="002577A0"/>
    <w:rsid w:val="00260C39"/>
    <w:rsid w:val="002708EC"/>
    <w:rsid w:val="00272A68"/>
    <w:rsid w:val="00274E8B"/>
    <w:rsid w:val="00277B66"/>
    <w:rsid w:val="00283BA1"/>
    <w:rsid w:val="002923BE"/>
    <w:rsid w:val="00293B41"/>
    <w:rsid w:val="0029404A"/>
    <w:rsid w:val="002941E5"/>
    <w:rsid w:val="002B0C2B"/>
    <w:rsid w:val="002B1465"/>
    <w:rsid w:val="002B4688"/>
    <w:rsid w:val="002C0240"/>
    <w:rsid w:val="002C0F8E"/>
    <w:rsid w:val="002C732C"/>
    <w:rsid w:val="002D7D87"/>
    <w:rsid w:val="002E3536"/>
    <w:rsid w:val="002E7B1D"/>
    <w:rsid w:val="00300659"/>
    <w:rsid w:val="00306065"/>
    <w:rsid w:val="00313156"/>
    <w:rsid w:val="00331634"/>
    <w:rsid w:val="00335953"/>
    <w:rsid w:val="00336A2D"/>
    <w:rsid w:val="00346081"/>
    <w:rsid w:val="0035141B"/>
    <w:rsid w:val="00363A44"/>
    <w:rsid w:val="00364BC2"/>
    <w:rsid w:val="0037662B"/>
    <w:rsid w:val="0037774B"/>
    <w:rsid w:val="00381B7A"/>
    <w:rsid w:val="0038577C"/>
    <w:rsid w:val="00386B9F"/>
    <w:rsid w:val="00391B26"/>
    <w:rsid w:val="003A12FA"/>
    <w:rsid w:val="003B2E13"/>
    <w:rsid w:val="003C0E56"/>
    <w:rsid w:val="003C38F2"/>
    <w:rsid w:val="003C54C5"/>
    <w:rsid w:val="003C7CBE"/>
    <w:rsid w:val="003E5965"/>
    <w:rsid w:val="003E72C7"/>
    <w:rsid w:val="003F5625"/>
    <w:rsid w:val="003F6241"/>
    <w:rsid w:val="004036CB"/>
    <w:rsid w:val="00404C8C"/>
    <w:rsid w:val="00420F40"/>
    <w:rsid w:val="00435C3B"/>
    <w:rsid w:val="00444FEB"/>
    <w:rsid w:val="004451DC"/>
    <w:rsid w:val="00445475"/>
    <w:rsid w:val="004459C5"/>
    <w:rsid w:val="00447506"/>
    <w:rsid w:val="004511DD"/>
    <w:rsid w:val="00455AEA"/>
    <w:rsid w:val="004576DD"/>
    <w:rsid w:val="00457ECD"/>
    <w:rsid w:val="00474396"/>
    <w:rsid w:val="00484F2D"/>
    <w:rsid w:val="00491AC1"/>
    <w:rsid w:val="00496B3C"/>
    <w:rsid w:val="00496FAA"/>
    <w:rsid w:val="004A0A0B"/>
    <w:rsid w:val="004A212D"/>
    <w:rsid w:val="004B1CA4"/>
    <w:rsid w:val="004B2043"/>
    <w:rsid w:val="004D130D"/>
    <w:rsid w:val="004D3D05"/>
    <w:rsid w:val="004D540F"/>
    <w:rsid w:val="004D6FFE"/>
    <w:rsid w:val="004E235B"/>
    <w:rsid w:val="004E5B45"/>
    <w:rsid w:val="004F1EC3"/>
    <w:rsid w:val="004F1EF4"/>
    <w:rsid w:val="004F4D76"/>
    <w:rsid w:val="004F6BEE"/>
    <w:rsid w:val="0051062F"/>
    <w:rsid w:val="00515625"/>
    <w:rsid w:val="0053074E"/>
    <w:rsid w:val="00530926"/>
    <w:rsid w:val="005311E0"/>
    <w:rsid w:val="00532280"/>
    <w:rsid w:val="005340EA"/>
    <w:rsid w:val="005413D3"/>
    <w:rsid w:val="00551317"/>
    <w:rsid w:val="005525FD"/>
    <w:rsid w:val="00564C37"/>
    <w:rsid w:val="00571FA8"/>
    <w:rsid w:val="005843DA"/>
    <w:rsid w:val="00586393"/>
    <w:rsid w:val="0059521D"/>
    <w:rsid w:val="005A214F"/>
    <w:rsid w:val="005A29DA"/>
    <w:rsid w:val="005A4233"/>
    <w:rsid w:val="005B098D"/>
    <w:rsid w:val="005B3478"/>
    <w:rsid w:val="005B513C"/>
    <w:rsid w:val="005B6205"/>
    <w:rsid w:val="005C09FD"/>
    <w:rsid w:val="005C2459"/>
    <w:rsid w:val="005C4406"/>
    <w:rsid w:val="005D0E3B"/>
    <w:rsid w:val="005E06AD"/>
    <w:rsid w:val="005F149A"/>
    <w:rsid w:val="005F75ED"/>
    <w:rsid w:val="00602EF8"/>
    <w:rsid w:val="006123DD"/>
    <w:rsid w:val="006156B9"/>
    <w:rsid w:val="00627039"/>
    <w:rsid w:val="006327DA"/>
    <w:rsid w:val="00656A0D"/>
    <w:rsid w:val="00661AC1"/>
    <w:rsid w:val="00663106"/>
    <w:rsid w:val="00665EC0"/>
    <w:rsid w:val="006664ED"/>
    <w:rsid w:val="006670FB"/>
    <w:rsid w:val="0067482D"/>
    <w:rsid w:val="00677CD0"/>
    <w:rsid w:val="00681445"/>
    <w:rsid w:val="00692A69"/>
    <w:rsid w:val="00694981"/>
    <w:rsid w:val="006972BC"/>
    <w:rsid w:val="006A6DCC"/>
    <w:rsid w:val="006B5B95"/>
    <w:rsid w:val="006C44CC"/>
    <w:rsid w:val="006D383E"/>
    <w:rsid w:val="006D6BFF"/>
    <w:rsid w:val="006D7C76"/>
    <w:rsid w:val="006D7FA8"/>
    <w:rsid w:val="006E1DAD"/>
    <w:rsid w:val="006E33A6"/>
    <w:rsid w:val="006E5F3A"/>
    <w:rsid w:val="006F0908"/>
    <w:rsid w:val="006F6EDD"/>
    <w:rsid w:val="0070027B"/>
    <w:rsid w:val="00701BE3"/>
    <w:rsid w:val="0070642D"/>
    <w:rsid w:val="007074BB"/>
    <w:rsid w:val="00707FD3"/>
    <w:rsid w:val="00720A3F"/>
    <w:rsid w:val="00731948"/>
    <w:rsid w:val="00731E34"/>
    <w:rsid w:val="007320D5"/>
    <w:rsid w:val="00733135"/>
    <w:rsid w:val="0073481E"/>
    <w:rsid w:val="007454E0"/>
    <w:rsid w:val="00751E6F"/>
    <w:rsid w:val="007615D0"/>
    <w:rsid w:val="0076261E"/>
    <w:rsid w:val="00767778"/>
    <w:rsid w:val="0077281B"/>
    <w:rsid w:val="00772B2F"/>
    <w:rsid w:val="00777190"/>
    <w:rsid w:val="00784731"/>
    <w:rsid w:val="00787F9B"/>
    <w:rsid w:val="007979DE"/>
    <w:rsid w:val="007A7600"/>
    <w:rsid w:val="007B0108"/>
    <w:rsid w:val="007B163D"/>
    <w:rsid w:val="007D42D2"/>
    <w:rsid w:val="007D7F5E"/>
    <w:rsid w:val="007E7706"/>
    <w:rsid w:val="007F67F0"/>
    <w:rsid w:val="00823F89"/>
    <w:rsid w:val="00833377"/>
    <w:rsid w:val="00833ED6"/>
    <w:rsid w:val="00841CDC"/>
    <w:rsid w:val="00844484"/>
    <w:rsid w:val="00844F5D"/>
    <w:rsid w:val="008479A4"/>
    <w:rsid w:val="008543D8"/>
    <w:rsid w:val="00874EC9"/>
    <w:rsid w:val="00880ABE"/>
    <w:rsid w:val="00882122"/>
    <w:rsid w:val="00885299"/>
    <w:rsid w:val="0089380B"/>
    <w:rsid w:val="0089445D"/>
    <w:rsid w:val="008952C3"/>
    <w:rsid w:val="00896574"/>
    <w:rsid w:val="008A188D"/>
    <w:rsid w:val="008A2903"/>
    <w:rsid w:val="008A4D11"/>
    <w:rsid w:val="008A4F55"/>
    <w:rsid w:val="008A5965"/>
    <w:rsid w:val="008D1EAC"/>
    <w:rsid w:val="008D5EA0"/>
    <w:rsid w:val="008D79F8"/>
    <w:rsid w:val="008E3918"/>
    <w:rsid w:val="008F3BF6"/>
    <w:rsid w:val="008F75CC"/>
    <w:rsid w:val="00903BFC"/>
    <w:rsid w:val="00907FFB"/>
    <w:rsid w:val="009224C9"/>
    <w:rsid w:val="0093089E"/>
    <w:rsid w:val="009343D0"/>
    <w:rsid w:val="00936CF0"/>
    <w:rsid w:val="009402BF"/>
    <w:rsid w:val="009414CE"/>
    <w:rsid w:val="00943FEA"/>
    <w:rsid w:val="009453C2"/>
    <w:rsid w:val="00945A87"/>
    <w:rsid w:val="00946662"/>
    <w:rsid w:val="00965555"/>
    <w:rsid w:val="00976F73"/>
    <w:rsid w:val="009B23F4"/>
    <w:rsid w:val="009B689B"/>
    <w:rsid w:val="009B6A9A"/>
    <w:rsid w:val="009B6C02"/>
    <w:rsid w:val="009C3D7A"/>
    <w:rsid w:val="009C41EF"/>
    <w:rsid w:val="009D0752"/>
    <w:rsid w:val="009D29B2"/>
    <w:rsid w:val="009E13A5"/>
    <w:rsid w:val="009F3A41"/>
    <w:rsid w:val="009F4FE4"/>
    <w:rsid w:val="009F6793"/>
    <w:rsid w:val="00A00A97"/>
    <w:rsid w:val="00A01AF5"/>
    <w:rsid w:val="00A02A4D"/>
    <w:rsid w:val="00A1083A"/>
    <w:rsid w:val="00A14FBA"/>
    <w:rsid w:val="00A25EC4"/>
    <w:rsid w:val="00A32928"/>
    <w:rsid w:val="00A3511E"/>
    <w:rsid w:val="00A40F00"/>
    <w:rsid w:val="00A517D3"/>
    <w:rsid w:val="00A5286E"/>
    <w:rsid w:val="00A55CAF"/>
    <w:rsid w:val="00A561A5"/>
    <w:rsid w:val="00A60899"/>
    <w:rsid w:val="00A62B80"/>
    <w:rsid w:val="00A67646"/>
    <w:rsid w:val="00A705C9"/>
    <w:rsid w:val="00A71AE6"/>
    <w:rsid w:val="00A744F1"/>
    <w:rsid w:val="00A75F21"/>
    <w:rsid w:val="00A80A10"/>
    <w:rsid w:val="00AA3C1C"/>
    <w:rsid w:val="00AA64CB"/>
    <w:rsid w:val="00AB1AA0"/>
    <w:rsid w:val="00AB47A2"/>
    <w:rsid w:val="00AB5E22"/>
    <w:rsid w:val="00AB60C7"/>
    <w:rsid w:val="00AB63D2"/>
    <w:rsid w:val="00AB77F4"/>
    <w:rsid w:val="00AC0B1F"/>
    <w:rsid w:val="00AC0F70"/>
    <w:rsid w:val="00AC159C"/>
    <w:rsid w:val="00AD5627"/>
    <w:rsid w:val="00AE531F"/>
    <w:rsid w:val="00AF4BC1"/>
    <w:rsid w:val="00B03779"/>
    <w:rsid w:val="00B07D5E"/>
    <w:rsid w:val="00B210A9"/>
    <w:rsid w:val="00B21221"/>
    <w:rsid w:val="00B27BF2"/>
    <w:rsid w:val="00B3095D"/>
    <w:rsid w:val="00B316A0"/>
    <w:rsid w:val="00B3175D"/>
    <w:rsid w:val="00B34B8D"/>
    <w:rsid w:val="00B3581B"/>
    <w:rsid w:val="00B4128C"/>
    <w:rsid w:val="00B41D5B"/>
    <w:rsid w:val="00B5001A"/>
    <w:rsid w:val="00B73187"/>
    <w:rsid w:val="00B80892"/>
    <w:rsid w:val="00B8128B"/>
    <w:rsid w:val="00B81BBD"/>
    <w:rsid w:val="00B854D9"/>
    <w:rsid w:val="00B87DBA"/>
    <w:rsid w:val="00B92E22"/>
    <w:rsid w:val="00BB1EC3"/>
    <w:rsid w:val="00BB2BA8"/>
    <w:rsid w:val="00BB5F61"/>
    <w:rsid w:val="00BC6BFF"/>
    <w:rsid w:val="00BD34B2"/>
    <w:rsid w:val="00BD64E5"/>
    <w:rsid w:val="00BE7E8B"/>
    <w:rsid w:val="00BF32D0"/>
    <w:rsid w:val="00C004EA"/>
    <w:rsid w:val="00C053BF"/>
    <w:rsid w:val="00C0669A"/>
    <w:rsid w:val="00C1089E"/>
    <w:rsid w:val="00C12261"/>
    <w:rsid w:val="00C33649"/>
    <w:rsid w:val="00C3416A"/>
    <w:rsid w:val="00C3586F"/>
    <w:rsid w:val="00C423A7"/>
    <w:rsid w:val="00C55182"/>
    <w:rsid w:val="00C55DF3"/>
    <w:rsid w:val="00C713E5"/>
    <w:rsid w:val="00C717F4"/>
    <w:rsid w:val="00C71C91"/>
    <w:rsid w:val="00C82459"/>
    <w:rsid w:val="00C872AA"/>
    <w:rsid w:val="00C92C9A"/>
    <w:rsid w:val="00CB215A"/>
    <w:rsid w:val="00CB3D46"/>
    <w:rsid w:val="00CB55BF"/>
    <w:rsid w:val="00CC0984"/>
    <w:rsid w:val="00CC11BC"/>
    <w:rsid w:val="00CC2F52"/>
    <w:rsid w:val="00CE6375"/>
    <w:rsid w:val="00CE6429"/>
    <w:rsid w:val="00D01B97"/>
    <w:rsid w:val="00D03DCA"/>
    <w:rsid w:val="00D14F57"/>
    <w:rsid w:val="00D1554A"/>
    <w:rsid w:val="00D16C0D"/>
    <w:rsid w:val="00D17AB7"/>
    <w:rsid w:val="00D22A1C"/>
    <w:rsid w:val="00D26A2B"/>
    <w:rsid w:val="00D30822"/>
    <w:rsid w:val="00D32095"/>
    <w:rsid w:val="00D36D4E"/>
    <w:rsid w:val="00D45990"/>
    <w:rsid w:val="00D46DF8"/>
    <w:rsid w:val="00D50BF1"/>
    <w:rsid w:val="00D51177"/>
    <w:rsid w:val="00D51F96"/>
    <w:rsid w:val="00D77E00"/>
    <w:rsid w:val="00D96BCE"/>
    <w:rsid w:val="00DB4DA1"/>
    <w:rsid w:val="00DB5D7B"/>
    <w:rsid w:val="00DC6A8E"/>
    <w:rsid w:val="00DC7FAB"/>
    <w:rsid w:val="00DD759C"/>
    <w:rsid w:val="00DF32B7"/>
    <w:rsid w:val="00DF763B"/>
    <w:rsid w:val="00DF77E6"/>
    <w:rsid w:val="00E01F39"/>
    <w:rsid w:val="00E06CA8"/>
    <w:rsid w:val="00E116C6"/>
    <w:rsid w:val="00E14299"/>
    <w:rsid w:val="00E16AA5"/>
    <w:rsid w:val="00E17E83"/>
    <w:rsid w:val="00E200F0"/>
    <w:rsid w:val="00E30575"/>
    <w:rsid w:val="00E31DD2"/>
    <w:rsid w:val="00E31FF6"/>
    <w:rsid w:val="00E330CB"/>
    <w:rsid w:val="00E35583"/>
    <w:rsid w:val="00E35A6B"/>
    <w:rsid w:val="00E47F27"/>
    <w:rsid w:val="00E50DFB"/>
    <w:rsid w:val="00E524CB"/>
    <w:rsid w:val="00E5791B"/>
    <w:rsid w:val="00E60CB3"/>
    <w:rsid w:val="00E60EF8"/>
    <w:rsid w:val="00E70E11"/>
    <w:rsid w:val="00E80824"/>
    <w:rsid w:val="00E84013"/>
    <w:rsid w:val="00E87A8D"/>
    <w:rsid w:val="00E907ED"/>
    <w:rsid w:val="00E939BB"/>
    <w:rsid w:val="00EA5A4B"/>
    <w:rsid w:val="00EB62B7"/>
    <w:rsid w:val="00EC1F02"/>
    <w:rsid w:val="00EC4534"/>
    <w:rsid w:val="00ED35D8"/>
    <w:rsid w:val="00EE1543"/>
    <w:rsid w:val="00EF03E3"/>
    <w:rsid w:val="00EF23F1"/>
    <w:rsid w:val="00EF2590"/>
    <w:rsid w:val="00F03C7E"/>
    <w:rsid w:val="00F11518"/>
    <w:rsid w:val="00F22B65"/>
    <w:rsid w:val="00F36617"/>
    <w:rsid w:val="00F4429F"/>
    <w:rsid w:val="00F44DE1"/>
    <w:rsid w:val="00F503BD"/>
    <w:rsid w:val="00F533FE"/>
    <w:rsid w:val="00F66DF8"/>
    <w:rsid w:val="00F76E98"/>
    <w:rsid w:val="00F779BA"/>
    <w:rsid w:val="00F855F4"/>
    <w:rsid w:val="00F86533"/>
    <w:rsid w:val="00F8689D"/>
    <w:rsid w:val="00F927C3"/>
    <w:rsid w:val="00FA1AC6"/>
    <w:rsid w:val="00FB2D03"/>
    <w:rsid w:val="00FC18F0"/>
    <w:rsid w:val="00FC718A"/>
    <w:rsid w:val="00FD0614"/>
    <w:rsid w:val="00FD2DA7"/>
    <w:rsid w:val="00FD3035"/>
    <w:rsid w:val="00FE1C09"/>
    <w:rsid w:val="00FE1F9D"/>
    <w:rsid w:val="00FE565F"/>
    <w:rsid w:val="00FF24C8"/>
    <w:rsid w:val="00FF3CA3"/>
    <w:rsid w:val="00FF4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D3DB"/>
  <w15:docId w15:val="{F2F3774A-A866-46E2-8866-9241C3F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2708EC"/>
    <w:pPr>
      <w:keepNext/>
      <w:keepLines/>
      <w:tabs>
        <w:tab w:val="left" w:pos="851"/>
      </w:tabs>
      <w:overflowPunct/>
      <w:autoSpaceDE/>
      <w:autoSpaceDN/>
      <w:adjustRightInd/>
      <w:spacing w:after="240"/>
      <w:textAlignment w:val="auto"/>
      <w:outlineLvl w:val="0"/>
    </w:pPr>
    <w:rPr>
      <w:b/>
      <w:kern w:val="28"/>
    </w:rPr>
  </w:style>
  <w:style w:type="paragraph" w:styleId="Heading2">
    <w:name w:val="heading 2"/>
    <w:basedOn w:val="Heading1"/>
    <w:next w:val="Normal"/>
    <w:qFormat/>
    <w:pPr>
      <w:numPr>
        <w:ilvl w:val="1"/>
        <w:numId w:val="3"/>
      </w:numPr>
      <w:tabs>
        <w:tab w:val="clear" w:pos="576"/>
      </w:tabs>
      <w:ind w:left="1418" w:hanging="1418"/>
      <w:outlineLvl w:val="1"/>
    </w:pPr>
    <w:rPr>
      <w:color w:val="000000"/>
    </w:rPr>
  </w:style>
  <w:style w:type="paragraph" w:styleId="Heading3">
    <w:name w:val="heading 3"/>
    <w:basedOn w:val="Heading2"/>
    <w:next w:val="Normal"/>
    <w:qFormat/>
    <w:pPr>
      <w:numPr>
        <w:ilvl w:val="2"/>
        <w:numId w:val="4"/>
      </w:numPr>
      <w:tabs>
        <w:tab w:val="clear" w:pos="720"/>
      </w:tabs>
      <w:ind w:left="1418" w:hanging="1418"/>
      <w:outlineLvl w:val="2"/>
    </w:pPr>
  </w:style>
  <w:style w:type="paragraph" w:styleId="Heading4">
    <w:name w:val="heading 4"/>
    <w:basedOn w:val="Heading3"/>
    <w:next w:val="Normal"/>
    <w:qFormat/>
    <w:pPr>
      <w:numPr>
        <w:ilvl w:val="3"/>
        <w:numId w:val="5"/>
      </w:numPr>
      <w:tabs>
        <w:tab w:val="clear" w:pos="864"/>
      </w:tabs>
      <w:ind w:left="1418" w:hanging="1418"/>
      <w:outlineLvl w:val="3"/>
    </w:pPr>
  </w:style>
  <w:style w:type="paragraph" w:styleId="Heading5">
    <w:name w:val="heading 5"/>
    <w:basedOn w:val="Heading4"/>
    <w:next w:val="Normal"/>
    <w:qFormat/>
    <w:pPr>
      <w:numPr>
        <w:ilvl w:val="4"/>
        <w:numId w:val="6"/>
      </w:numPr>
      <w:tabs>
        <w:tab w:val="clear" w:pos="1008"/>
      </w:tabs>
      <w:ind w:left="1418" w:hanging="1418"/>
      <w:outlineLvl w:val="4"/>
    </w:pPr>
  </w:style>
  <w:style w:type="paragraph" w:styleId="Heading6">
    <w:name w:val="heading 6"/>
    <w:basedOn w:val="Heading5"/>
    <w:next w:val="Normal"/>
    <w:qFormat/>
    <w:pPr>
      <w:numPr>
        <w:ilvl w:val="5"/>
        <w:numId w:val="7"/>
      </w:numPr>
      <w:tabs>
        <w:tab w:val="clear" w:pos="1152"/>
      </w:tabs>
      <w:ind w:left="1418" w:hanging="1418"/>
      <w:outlineLvl w:val="5"/>
    </w:pPr>
  </w:style>
  <w:style w:type="paragraph" w:styleId="Heading7">
    <w:name w:val="heading 7"/>
    <w:basedOn w:val="Heading6"/>
    <w:next w:val="Normal"/>
    <w:qFormat/>
    <w:pPr>
      <w:numPr>
        <w:ilvl w:val="6"/>
        <w:numId w:val="8"/>
      </w:numPr>
      <w:tabs>
        <w:tab w:val="clear" w:pos="1800"/>
      </w:tabs>
      <w:ind w:left="0" w:firstLine="1418"/>
      <w:outlineLvl w:val="6"/>
    </w:pPr>
  </w:style>
  <w:style w:type="paragraph" w:styleId="Heading8">
    <w:name w:val="heading 8"/>
    <w:basedOn w:val="Heading7"/>
    <w:next w:val="Normal"/>
    <w:qFormat/>
    <w:pPr>
      <w:numPr>
        <w:ilvl w:val="7"/>
        <w:numId w:val="9"/>
      </w:numPr>
      <w:tabs>
        <w:tab w:val="clear" w:pos="1440"/>
        <w:tab w:val="left" w:pos="1418"/>
      </w:tabs>
      <w:ind w:left="1418" w:hanging="1418"/>
      <w:outlineLvl w:val="7"/>
    </w:pPr>
  </w:style>
  <w:style w:type="paragraph" w:styleId="Heading9">
    <w:name w:val="heading 9"/>
    <w:basedOn w:val="Normal"/>
    <w:next w:val="Normal"/>
    <w:qFormat/>
    <w:pPr>
      <w:keepNext/>
      <w:keepLines/>
      <w:overflowPunct/>
      <w:autoSpaceDE/>
      <w:autoSpaceDN/>
      <w:adjustRightInd/>
      <w:spacing w:after="240"/>
      <w:textAlignment w:val="auto"/>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820"/>
        <w:tab w:val="right" w:pos="9639"/>
      </w:tabs>
    </w:pPr>
    <w:rPr>
      <w:rFonts w:cs="Arial"/>
      <w:b/>
      <w:bCs/>
      <w:vanish/>
      <w:sz w:val="16"/>
    </w:rPr>
  </w:style>
  <w:style w:type="paragraph" w:styleId="TOC2">
    <w:name w:val="toc 2"/>
    <w:basedOn w:val="Normal"/>
    <w:next w:val="Normal"/>
    <w:autoRedefine/>
    <w:semiHidden/>
    <w:pPr>
      <w:keepNext/>
      <w:keepLines/>
      <w:tabs>
        <w:tab w:val="left" w:pos="1418"/>
        <w:tab w:val="right" w:leader="dot" w:pos="9639"/>
      </w:tabs>
      <w:spacing w:before="120"/>
      <w:ind w:left="1418" w:right="566" w:hanging="1418"/>
    </w:pPr>
    <w:rPr>
      <w:rFonts w:cs="Arial"/>
      <w:noProof/>
      <w:szCs w:val="24"/>
    </w:rPr>
  </w:style>
  <w:style w:type="character" w:styleId="Hyperlink">
    <w:name w:val="Hyperlink"/>
    <w:rsid w:val="00AD5627"/>
    <w:rPr>
      <w:color w:val="0000FF"/>
      <w:u w:val="none"/>
    </w:rPr>
  </w:style>
  <w:style w:type="paragraph" w:customStyle="1" w:styleId="Fuzeile2">
    <w:name w:val="Fußzeile2"/>
    <w:basedOn w:val="Footer"/>
    <w:rPr>
      <w:b w:val="0"/>
      <w:bCs w:val="0"/>
      <w:vanish w:val="0"/>
    </w:rPr>
  </w:style>
  <w:style w:type="paragraph" w:customStyle="1" w:styleId="Fuzeile3">
    <w:name w:val="Fußzeile3"/>
    <w:basedOn w:val="Footer"/>
    <w:pPr>
      <w:jc w:val="center"/>
    </w:pPr>
    <w:rPr>
      <w:vanish w:val="0"/>
      <w:sz w:val="26"/>
    </w:rPr>
  </w:style>
  <w:style w:type="paragraph" w:styleId="TOC1">
    <w:name w:val="toc 1"/>
    <w:basedOn w:val="Normal"/>
    <w:next w:val="Normal"/>
    <w:semiHidden/>
    <w:pPr>
      <w:keepNext/>
      <w:keepLines/>
      <w:tabs>
        <w:tab w:val="left" w:pos="1418"/>
        <w:tab w:val="right" w:leader="dot" w:pos="9638"/>
      </w:tabs>
      <w:overflowPunct/>
      <w:autoSpaceDE/>
      <w:autoSpaceDN/>
      <w:adjustRightInd/>
      <w:spacing w:before="240"/>
      <w:ind w:left="1418" w:right="707" w:hanging="1417"/>
      <w:textAlignment w:val="auto"/>
    </w:pPr>
    <w:rPr>
      <w:noProof/>
    </w:rPr>
  </w:style>
  <w:style w:type="paragraph" w:styleId="TOC3">
    <w:name w:val="toc 3"/>
    <w:basedOn w:val="TOC2"/>
    <w:next w:val="Normal"/>
    <w:semiHidden/>
    <w:pPr>
      <w:spacing w:before="0"/>
    </w:pPr>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style>
  <w:style w:type="paragraph" w:styleId="TOC9">
    <w:name w:val="toc 9"/>
    <w:basedOn w:val="Normal"/>
    <w:next w:val="Normal"/>
    <w:autoRedefine/>
    <w:semiHidden/>
    <w:pPr>
      <w:keepNext/>
      <w:keepLines/>
      <w:tabs>
        <w:tab w:val="left" w:pos="1418"/>
        <w:tab w:val="right" w:leader="dot" w:pos="9639"/>
      </w:tabs>
      <w:overflowPunct/>
      <w:autoSpaceDE/>
      <w:autoSpaceDN/>
      <w:adjustRightInd/>
      <w:spacing w:before="240"/>
      <w:ind w:left="1418" w:right="567" w:hanging="1418"/>
      <w:textAlignment w:val="auto"/>
      <w:outlineLvl w:val="8"/>
    </w:pPr>
    <w:rPr>
      <w:noProof/>
      <w:szCs w:val="24"/>
    </w:rPr>
  </w:style>
  <w:style w:type="paragraph" w:customStyle="1" w:styleId="BeschriftungTabelle">
    <w:name w:val="Beschriftung_Tabelle"/>
    <w:basedOn w:val="Caption"/>
    <w:pPr>
      <w:keepNext/>
      <w:keepLines/>
      <w:spacing w:after="0"/>
      <w:jc w:val="center"/>
    </w:pPr>
    <w:rPr>
      <w:sz w:val="18"/>
    </w:rPr>
  </w:style>
  <w:style w:type="paragraph" w:customStyle="1" w:styleId="BeschriftungBild">
    <w:name w:val="Beschriftung_Bild"/>
    <w:basedOn w:val="BeschriftungTabelle"/>
  </w:style>
  <w:style w:type="paragraph" w:customStyle="1" w:styleId="Bild">
    <w:name w:val="Bild"/>
    <w:basedOn w:val="Normal"/>
    <w:next w:val="BeschriftungBild"/>
    <w:pPr>
      <w:keepNext/>
      <w:keepLines/>
      <w:overflowPunct/>
      <w:autoSpaceDE/>
      <w:autoSpaceDN/>
      <w:adjustRightInd/>
      <w:jc w:val="center"/>
      <w:textAlignment w:val="auto"/>
    </w:pPr>
  </w:style>
  <w:style w:type="paragraph" w:styleId="Caption">
    <w:name w:val="caption"/>
    <w:basedOn w:val="Normal"/>
    <w:next w:val="Normal"/>
    <w:qFormat/>
    <w:pPr>
      <w:spacing w:before="120" w:after="120"/>
    </w:pPr>
    <w:rPr>
      <w:b/>
      <w:bCs/>
      <w:sz w:val="20"/>
    </w:rPr>
  </w:style>
  <w:style w:type="paragraph" w:customStyle="1" w:styleId="HyperlinkSSB">
    <w:name w:val="Hyperlink_SSB"/>
    <w:basedOn w:val="Normal"/>
    <w:pPr>
      <w:keepNext/>
      <w:keepLines/>
      <w:tabs>
        <w:tab w:val="left" w:pos="426"/>
        <w:tab w:val="left" w:pos="851"/>
        <w:tab w:val="left" w:leader="dot" w:pos="7088"/>
      </w:tabs>
    </w:pPr>
    <w:rPr>
      <w:b/>
      <w:bCs/>
      <w:u w:val="single"/>
    </w:rPr>
  </w:style>
  <w:style w:type="paragraph" w:styleId="BodyText">
    <w:name w:val="Body Text"/>
    <w:basedOn w:val="Normal"/>
    <w:pPr>
      <w:jc w:val="center"/>
    </w:pPr>
    <w:rPr>
      <w:i/>
    </w:rPr>
  </w:style>
  <w:style w:type="paragraph" w:customStyle="1" w:styleId="AufzPunkt">
    <w:name w:val="AufzPunkt"/>
    <w:basedOn w:val="Normal"/>
    <w:pPr>
      <w:numPr>
        <w:numId w:val="11"/>
      </w:numPr>
      <w:spacing w:after="120"/>
      <w:ind w:left="568" w:hanging="284"/>
    </w:pPr>
  </w:style>
  <w:style w:type="paragraph" w:customStyle="1" w:styleId="Hinweistext">
    <w:name w:val="Hinweistext"/>
    <w:basedOn w:val="Normal"/>
    <w:pPr>
      <w:tabs>
        <w:tab w:val="left" w:pos="992"/>
      </w:tabs>
      <w:suppressAutoHyphens/>
      <w:ind w:left="992" w:hanging="992"/>
    </w:pPr>
    <w:rPr>
      <w:color w:val="0000FF"/>
      <w:sz w:val="18"/>
    </w:rPr>
  </w:style>
  <w:style w:type="paragraph" w:customStyle="1" w:styleId="AufzDokumente">
    <w:name w:val="AufzDokumente"/>
    <w:basedOn w:val="Normal"/>
    <w:autoRedefine/>
    <w:rsid w:val="00DF32B7"/>
    <w:pPr>
      <w:numPr>
        <w:numId w:val="13"/>
      </w:numPr>
      <w:tabs>
        <w:tab w:val="clear" w:pos="720"/>
      </w:tabs>
      <w:spacing w:after="120"/>
      <w:ind w:left="426" w:hanging="426"/>
      <w:jc w:val="left"/>
    </w:pPr>
    <w:rPr>
      <w:color w:val="000000" w:themeColor="text1"/>
    </w:rPr>
  </w:style>
  <w:style w:type="paragraph" w:customStyle="1" w:styleId="AufzSonstDoku">
    <w:name w:val="AufzSonstDoku"/>
    <w:basedOn w:val="Normal"/>
    <w:pPr>
      <w:numPr>
        <w:numId w:val="10"/>
      </w:numPr>
      <w:tabs>
        <w:tab w:val="clear" w:pos="720"/>
        <w:tab w:val="num" w:pos="284"/>
      </w:tabs>
      <w:spacing w:after="120"/>
      <w:ind w:left="284" w:hanging="284"/>
    </w:pPr>
  </w:style>
  <w:style w:type="character" w:styleId="FollowedHyperlink">
    <w:name w:val="FollowedHyperlink"/>
    <w:rPr>
      <w:color w:val="800080"/>
      <w:u w:val="single"/>
    </w:rPr>
  </w:style>
  <w:style w:type="table" w:styleId="TableGrid">
    <w:name w:val="Table Grid"/>
    <w:basedOn w:val="TableNormal"/>
    <w:rsid w:val="00260C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fizierungNr">
    <w:name w:val="Notifizierung_Nr"/>
    <w:basedOn w:val="Fuzeile3"/>
    <w:rsid w:val="001778D0"/>
    <w:rPr>
      <w:b w:val="0"/>
      <w:bCs w:val="0"/>
      <w:vanish/>
    </w:rPr>
  </w:style>
  <w:style w:type="paragraph" w:styleId="BalloonText">
    <w:name w:val="Balloon Text"/>
    <w:basedOn w:val="Normal"/>
    <w:semiHidden/>
    <w:rsid w:val="001C54E4"/>
    <w:rPr>
      <w:rFonts w:ascii="Tahoma" w:hAnsi="Tahoma" w:cs="Tahoma"/>
      <w:sz w:val="16"/>
      <w:szCs w:val="16"/>
    </w:rPr>
  </w:style>
  <w:style w:type="paragraph" w:styleId="FootnoteText">
    <w:name w:val="footnote text"/>
    <w:basedOn w:val="Normal"/>
    <w:semiHidden/>
    <w:rsid w:val="00206B7E"/>
    <w:pPr>
      <w:ind w:left="142" w:hanging="142"/>
    </w:pPr>
    <w:rPr>
      <w:sz w:val="16"/>
    </w:rPr>
  </w:style>
  <w:style w:type="character" w:styleId="FootnoteReference">
    <w:name w:val="footnote reference"/>
    <w:semiHidden/>
    <w:rsid w:val="00206B7E"/>
    <w:rPr>
      <w:rFonts w:ascii="Tahoma" w:hAnsi="Tahoma"/>
      <w:sz w:val="18"/>
      <w:vertAlign w:val="superscript"/>
    </w:rPr>
  </w:style>
  <w:style w:type="paragraph" w:styleId="NormalWeb">
    <w:name w:val="Normal (Web)"/>
    <w:basedOn w:val="Normal"/>
    <w:uiPriority w:val="99"/>
    <w:semiHidden/>
    <w:unhideWhenUsed/>
    <w:rsid w:val="000F4A2F"/>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rPr>
  </w:style>
  <w:style w:type="paragraph" w:styleId="Revision">
    <w:name w:val="Revision"/>
    <w:hidden/>
    <w:uiPriority w:val="99"/>
    <w:semiHidden/>
    <w:rsid w:val="00C92C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portal.intranet.intern.adns/orge/421/Documents/Dokumentvorlagen/www.bundesnetzagentur.d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b@bnetza.de?subject=Descrizione%20dell'interfacc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E868F0985F24DA2F60A801C8ECF25" ma:contentTypeVersion="1" ma:contentTypeDescription="Ein neues Dokument erstellen." ma:contentTypeScope="" ma:versionID="78bdecbeea2ab5a124998467e97a69c7">
  <xsd:schema xmlns:xsd="http://www.w3.org/2001/XMLSchema" xmlns:p="http://schemas.microsoft.com/office/2006/metadata/properties" xmlns:ns1="http://schemas.microsoft.com/sharepoint/v3" targetNamespace="http://schemas.microsoft.com/office/2006/metadata/properties" ma:root="true" ma:fieldsID="9c6e23c278689328c8d8f644e9394df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Geplantes Startdatum" ma:internalName="PublishingStartDate">
      <xsd:simpleType>
        <xsd:restriction base="dms:Unknown"/>
      </xsd:simpleType>
    </xsd:element>
    <xsd:element name="PublishingExpirationDate" ma:index="9" nillable="true" ma:displayName="Geplantes End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Kurzbezeichnu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CF1B0-C7EA-46D0-A9F1-7FF6F1AD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45A0BF-98F4-4838-9191-7CA318D502AE}">
  <ds:schemaRefs>
    <ds:schemaRef ds:uri="http://schemas.microsoft.com/sharepoint/v3/contenttype/forms"/>
  </ds:schemaRefs>
</ds:datastoreItem>
</file>

<file path=customXml/itemProps3.xml><?xml version="1.0" encoding="utf-8"?>
<ds:datastoreItem xmlns:ds="http://schemas.openxmlformats.org/officeDocument/2006/customXml" ds:itemID="{3658E1C1-69D4-4175-B92A-BAC015E1A9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1143</Words>
  <Characters>7337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SSB FE-OE 058</vt:lpstr>
    </vt:vector>
  </TitlesOfParts>
  <Manager>Oliver Gecke</Manager>
  <Company>Bundesnetzagentur</Company>
  <LinksUpToDate>false</LinksUpToDate>
  <CharactersWithSpaces>8464</CharactersWithSpaces>
  <SharedDoc>false</SharedDoc>
  <HLinks>
    <vt:vector size="12" baseType="variant">
      <vt:variant>
        <vt:i4>2424942</vt:i4>
      </vt:variant>
      <vt:variant>
        <vt:i4>3</vt:i4>
      </vt:variant>
      <vt:variant>
        <vt:i4>0</vt:i4>
      </vt:variant>
      <vt:variant>
        <vt:i4>5</vt:i4>
      </vt:variant>
      <vt:variant>
        <vt:lpwstr>http://sp-portal.intranet.intern.adns/orge/421/Documents/Dokumentvorlagen/www.bundesnetzagentur.de</vt:lpwstr>
      </vt:variant>
      <vt:variant>
        <vt:lpwstr/>
      </vt:variant>
      <vt:variant>
        <vt:i4>1966135</vt:i4>
      </vt:variant>
      <vt:variant>
        <vt:i4>0</vt:i4>
      </vt:variant>
      <vt:variant>
        <vt:i4>0</vt:i4>
      </vt:variant>
      <vt:variant>
        <vt:i4>5</vt:i4>
      </vt:variant>
      <vt:variant>
        <vt:lpwstr>mailto:ssb@bnetza.de?subject=Schnitstellenbeschreibung%20...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 FE-OE 058</dc:title>
  <dc:subject>Schnittstellenbeschreibung für Richtfunkanlagen im 6,2 GHz-Bereich (L6) (Punkt-zu-Punkt)</dc:subject>
  <dc:creator>Bundesnetzagentur</dc:creator>
  <cp:keywords/>
  <dc:description/>
  <cp:lastModifiedBy>Liana Brili</cp:lastModifiedBy>
  <cp:revision>7</cp:revision>
  <cp:lastPrinted>2020-01-16T11:50:00Z</cp:lastPrinted>
  <dcterms:created xsi:type="dcterms:W3CDTF">2022-02-02T08:40:00Z</dcterms:created>
  <dcterms:modified xsi:type="dcterms:W3CDTF">2022-06-23T10:56:00Z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4</vt:lpwstr>
  </property>
  <property fmtid="{D5CDD505-2E9C-101B-9397-08002B2CF9AE}" pid="3" name="Bearbeiter">
    <vt:lpwstr>421-1b</vt:lpwstr>
  </property>
  <property fmtid="{D5CDD505-2E9C-101B-9397-08002B2CF9AE}" pid="4" name="Erstellt von">
    <vt:lpwstr>421-1b</vt:lpwstr>
  </property>
  <property fmtid="{D5CDD505-2E9C-101B-9397-08002B2CF9AE}" pid="5" name="Herausgeber">
    <vt:lpwstr>421-1b</vt:lpwstr>
  </property>
  <property fmtid="{D5CDD505-2E9C-101B-9397-08002B2CF9AE}" pid="6" name="Status">
    <vt:lpwstr>Release</vt:lpwstr>
  </property>
  <property fmtid="{D5CDD505-2E9C-101B-9397-08002B2CF9AE}" pid="7" name="Version">
    <vt:lpwstr>3.0.18.0208</vt:lpwstr>
  </property>
  <property fmtid="{D5CDD505-2E9C-101B-9397-08002B2CF9AE}" pid="8" name="Ausgabedatum">
    <vt:filetime>2011-01-20T23:00:00Z</vt:filetime>
  </property>
  <property fmtid="{D5CDD505-2E9C-101B-9397-08002B2CF9AE}" pid="9" name="ContentTypeId">
    <vt:lpwstr>0x01010010EE868F0985F24DA2F60A801C8ECF25</vt:lpwstr>
  </property>
</Properties>
</file>