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93C" w14:textId="77777777" w:rsidR="00EC22B5" w:rsidRDefault="00EC22B5" w:rsidP="00EC22B5">
      <w:pPr>
        <w:ind w:right="1417"/>
        <w:rPr>
          <w:rFonts w:ascii="Times New Roman" w:hAnsi="Times New Roman" w:cs="Times New Roman"/>
          <w:caps/>
          <w:sz w:val="24"/>
          <w:szCs w:val="24"/>
        </w:rPr>
      </w:pPr>
      <w:r>
        <w:rPr>
          <w:rFonts w:ascii="Times New Roman" w:hAnsi="Times New Roman"/>
          <w:caps/>
          <w:sz w:val="24"/>
        </w:rPr>
        <w:t>Ministeriet for solidaritet</w:t>
      </w:r>
    </w:p>
    <w:p w14:paraId="0BE57393" w14:textId="77777777" w:rsidR="00EC22B5" w:rsidRPr="00EC22B5" w:rsidRDefault="00EC22B5" w:rsidP="00EC22B5">
      <w:pPr>
        <w:ind w:right="1417"/>
        <w:rPr>
          <w:rFonts w:ascii="Times New Roman" w:hAnsi="Times New Roman" w:cs="Times New Roman"/>
          <w:b/>
          <w:caps/>
          <w:sz w:val="24"/>
          <w:szCs w:val="24"/>
        </w:rPr>
      </w:pPr>
      <w:r>
        <w:rPr>
          <w:rFonts w:ascii="Times New Roman" w:hAnsi="Times New Roman"/>
          <w:caps/>
          <w:sz w:val="24"/>
        </w:rPr>
        <w:t>og sundhed</w:t>
      </w:r>
    </w:p>
    <w:p w14:paraId="7C8F7A88" w14:textId="77777777" w:rsidR="00EC22B5" w:rsidRDefault="00EC22B5" w:rsidP="00AB7CED">
      <w:pPr>
        <w:ind w:left="1418" w:right="1417"/>
        <w:jc w:val="center"/>
        <w:rPr>
          <w:rFonts w:ascii="Times New Roman" w:hAnsi="Times New Roman" w:cs="Times New Roman"/>
          <w:b/>
          <w:sz w:val="24"/>
          <w:szCs w:val="24"/>
        </w:rPr>
      </w:pPr>
    </w:p>
    <w:p w14:paraId="275CB316" w14:textId="77777777" w:rsidR="00891D87" w:rsidRPr="00AB7CED" w:rsidRDefault="00891D87" w:rsidP="00AB7CED">
      <w:pPr>
        <w:ind w:left="1418" w:right="1417"/>
        <w:jc w:val="center"/>
        <w:rPr>
          <w:rFonts w:ascii="Times New Roman" w:hAnsi="Times New Roman" w:cs="Times New Roman"/>
          <w:b/>
          <w:sz w:val="24"/>
          <w:szCs w:val="24"/>
        </w:rPr>
      </w:pPr>
      <w:r>
        <w:rPr>
          <w:rFonts w:ascii="Times New Roman" w:hAnsi="Times New Roman"/>
          <w:b/>
          <w:sz w:val="24"/>
        </w:rPr>
        <w:t>Dekret xxx om gennemførelse af artikel R. 5132-86 i lov om offentlig sundhed for cannabis</w:t>
      </w:r>
    </w:p>
    <w:p w14:paraId="2A4F1A40" w14:textId="77777777" w:rsidR="00891D87" w:rsidRPr="00AB7CED" w:rsidRDefault="00FC7100" w:rsidP="00FC7100">
      <w:pPr>
        <w:jc w:val="center"/>
        <w:rPr>
          <w:rFonts w:ascii="Times New Roman" w:hAnsi="Times New Roman" w:cs="Times New Roman"/>
          <w:b/>
          <w:sz w:val="24"/>
          <w:szCs w:val="24"/>
        </w:rPr>
      </w:pPr>
      <w:r>
        <w:rPr>
          <w:rFonts w:ascii="Times New Roman" w:hAnsi="Times New Roman"/>
          <w:b/>
          <w:sz w:val="24"/>
        </w:rPr>
        <w:t>NUMMER:</w:t>
      </w:r>
    </w:p>
    <w:p w14:paraId="37AED920"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Ministeren for solidaritet og sundhed, landbrugs- og fødevareministeren, økonomi-, finans- og genopretningsministeren med ansvar for offentlige regnskaber og økonomi-, finans- og genopretningsministeren med ansvar for industri</w:t>
      </w:r>
    </w:p>
    <w:p w14:paraId="49CC6C3A"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Under henvisning til Europa-Parlamentets og Rådets forordning (EF) nr. 178/2002 af 28. januar 2002 om generelle principper og krav i fødevarelovgivningen, om oprettelse af Den Europæiske Fødevaresikkerhedsautoritet og om procedurer vedrørende fødevaresikkerhed, særlig artikel 14 og 15,</w:t>
      </w:r>
    </w:p>
    <w:p w14:paraId="4260D179"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Under henvisning til Europa-Parlamentets og Rådets forordning (EF) nr. 767/2009 af 13. juli 2009 om markedsføring og anvendelse af foder, ændring af Europa-Parlamentets og Rådets forordning (EF) nr. 1831/2003 og ophævelse af Rådets direktiv 79/373/EØF, Kommissionens direktiv 80/511/EØF, Rådets direktiv 82/471/EØF, 83/228/EØF, 93/74/EØF, 93/113/EF og 96/25/EF og Kommissionens beslutning 2004/217/EF,</w:t>
      </w:r>
    </w:p>
    <w:p w14:paraId="1750F816"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Under henvisning til Rådets direktiv 2002/53/EF af 13. juni 2002 om den fælles sortsliste over landbrugsplantearter,</w:t>
      </w:r>
    </w:p>
    <w:p w14:paraId="184A1167"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under henvisning til Europa-Parlamentets og Rådets direktiv (EU) 2015/1535 af 9. september 2015 om en informationsprocedure med hensyn til tekniske forskrifter samt forskrifter for informationssamfundets tjenester, og særlig notifikation nr. 2020/798/F</w:t>
      </w:r>
    </w:p>
    <w:p w14:paraId="6C8A52BD" w14:textId="77777777" w:rsidR="00FC7100" w:rsidRPr="00AB7CED" w:rsidRDefault="00FC7100" w:rsidP="00542229">
      <w:pPr>
        <w:ind w:firstLine="567"/>
        <w:jc w:val="both"/>
        <w:rPr>
          <w:rFonts w:ascii="Times New Roman" w:hAnsi="Times New Roman" w:cs="Times New Roman"/>
          <w:sz w:val="24"/>
          <w:szCs w:val="24"/>
        </w:rPr>
      </w:pPr>
      <w:r>
        <w:rPr>
          <w:rFonts w:ascii="Times New Roman" w:hAnsi="Times New Roman"/>
          <w:sz w:val="24"/>
        </w:rPr>
        <w:t xml:space="preserve">Under henvisning til den franske folkesundhedslov, særlig artikel L. 5132-8 og R. 5132-86 </w:t>
      </w:r>
    </w:p>
    <w:p w14:paraId="119510F4"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Under henvisning til dekret nr. 81-605 af 18. maj 1981, som ændret, vedtaget til gennemførelse af lov af 1. august 1905 om forebyggelse af overtrædelser i forbindelse med handel med frø og planter,</w:t>
      </w:r>
    </w:p>
    <w:p w14:paraId="1EB81086" w14:textId="77777777" w:rsidR="00FC7100" w:rsidRPr="00AB7CED" w:rsidRDefault="00FC7100" w:rsidP="00AB7CED">
      <w:pPr>
        <w:jc w:val="both"/>
        <w:rPr>
          <w:rFonts w:ascii="Times New Roman" w:hAnsi="Times New Roman" w:cs="Times New Roman"/>
          <w:sz w:val="24"/>
          <w:szCs w:val="24"/>
        </w:rPr>
      </w:pPr>
    </w:p>
    <w:p w14:paraId="165E9AC8" w14:textId="77777777" w:rsidR="00FC7100" w:rsidRPr="00AB7CED" w:rsidRDefault="00FC7100" w:rsidP="00AB7CED">
      <w:pPr>
        <w:jc w:val="both"/>
        <w:rPr>
          <w:rFonts w:ascii="Times New Roman" w:hAnsi="Times New Roman" w:cs="Times New Roman"/>
          <w:sz w:val="24"/>
          <w:szCs w:val="24"/>
        </w:rPr>
      </w:pPr>
      <w:r>
        <w:rPr>
          <w:rFonts w:ascii="Times New Roman" w:hAnsi="Times New Roman"/>
          <w:sz w:val="24"/>
        </w:rPr>
        <w:t>Bestemmes hermed følgende:</w:t>
      </w:r>
    </w:p>
    <w:p w14:paraId="4664A3A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xml:space="preserve">Artikel 1 </w:t>
      </w:r>
    </w:p>
    <w:p w14:paraId="1DE8067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 I henhold til artikel R. 5132-86 i lov om offentlig sundhed er dyrkning, import, eksport samt industriel og kommerciel anvendelse kun tilladt af sorter af Cannabis sativa L., hvis indhold af delta-9-tetrahydrocannabinol ikke overstiger 0,20 %, og som er opført på den fælles sortsliste over landbrugsplantearter eller på den officielle sortsliste over arter og plantesorter, der dyrkes i Frankrig. Bestemmelse af indholdet af delta-9-tetrahydrocannabinol i ovennævnte sorter og udtagning af prøver til denne bestemmelse foretages efter metoden i bilaget.</w:t>
      </w:r>
    </w:p>
    <w:p w14:paraId="694C6B7A"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lastRenderedPageBreak/>
        <w:t xml:space="preserve">Blomster og blade produceres af certificerede frøplanter. Salg af planter og opskæring er forbudt. </w:t>
      </w:r>
    </w:p>
    <w:p w14:paraId="33C4114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Kun aktive landbrugere i henhold til de nuværende europæiske og nationale bestemmelser må dyrke hampeblomster og blade.</w:t>
      </w:r>
    </w:p>
    <w:p w14:paraId="03D757C4"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 Blomster og blade af de sorter, der er nævnt i punkt I, må kun høstes, importeres eller anvendes til industriel produktion af hampeekstrakter. Det er navnlig forbudt at sælge blomster eller rå blade i enhver form, alene eller i kombination med andre ingredienser, til forbrugerne, at de er i besiddelse af dem, og at de indtages.</w:t>
      </w:r>
    </w:p>
    <w:p w14:paraId="774EA98E"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Køb af hampeblomster og blade, der er produceret på fransk område, er genstand for en skriftlig kontrakt mellem producent og køber. Kontrakten indeholder oplysninger om produkternes mængde og pris. Kontrakten kan indeholde oplysninger om produkternes forventede kvalitet. Kontrakten indgås inden produktionsårets begyndelse. </w:t>
      </w:r>
    </w:p>
    <w:p w14:paraId="1FCBA4FF"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III. Indholdet af delta-9-tetrahydrocannabinol i ekstrakter af hamp og produkter, hvori disse indgår, må ikke overstige 0,2 %, jf. dog artikel 14 og 15 i forordning (EF) nr. 178/2002 og artikel 4 i forordning (EF) nr. 767/2009.</w:t>
      </w:r>
    </w:p>
    <w:p w14:paraId="6285A094"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2</w:t>
      </w:r>
    </w:p>
    <w:p w14:paraId="3B6E34B8" w14:textId="77777777" w:rsidR="00891D87" w:rsidRDefault="00891D87" w:rsidP="00AB7CED">
      <w:pPr>
        <w:jc w:val="both"/>
        <w:rPr>
          <w:rFonts w:ascii="Times New Roman" w:hAnsi="Times New Roman" w:cs="Times New Roman"/>
          <w:sz w:val="24"/>
          <w:szCs w:val="24"/>
        </w:rPr>
      </w:pPr>
      <w:r>
        <w:rPr>
          <w:rFonts w:ascii="Times New Roman" w:hAnsi="Times New Roman"/>
          <w:sz w:val="24"/>
        </w:rPr>
        <w:t>Produkter fremstillet af hamp som omhandlet i artikel 1 må kun importeres fra lande uden for Den Europæiske Union eller eksporteres til lande uden for Den Europæiske Union, hvis de er ledsaget af dokumenter, der attesterer, at de er i overensstemmelse med dette dekret.</w:t>
      </w:r>
    </w:p>
    <w:p w14:paraId="0DE9405A" w14:textId="77777777" w:rsidR="00542229" w:rsidRPr="00AB7CED" w:rsidRDefault="00542229" w:rsidP="00542229">
      <w:pPr>
        <w:jc w:val="both"/>
        <w:rPr>
          <w:rFonts w:ascii="Times New Roman" w:hAnsi="Times New Roman" w:cs="Times New Roman"/>
          <w:b/>
          <w:sz w:val="24"/>
          <w:szCs w:val="24"/>
        </w:rPr>
      </w:pPr>
      <w:r>
        <w:rPr>
          <w:rFonts w:ascii="Times New Roman" w:hAnsi="Times New Roman"/>
          <w:b/>
          <w:sz w:val="24"/>
        </w:rPr>
        <w:t>§ 3</w:t>
      </w:r>
    </w:p>
    <w:p w14:paraId="48567770" w14:textId="77777777" w:rsidR="00542229" w:rsidRPr="00AB7CED" w:rsidRDefault="00542229" w:rsidP="00AB7CED">
      <w:pPr>
        <w:jc w:val="both"/>
        <w:rPr>
          <w:rFonts w:ascii="Times New Roman" w:hAnsi="Times New Roman" w:cs="Times New Roman"/>
          <w:sz w:val="24"/>
          <w:szCs w:val="24"/>
        </w:rPr>
      </w:pPr>
      <w:r>
        <w:rPr>
          <w:rFonts w:ascii="Times New Roman" w:hAnsi="Times New Roman"/>
          <w:sz w:val="24"/>
        </w:rPr>
        <w:t>Dekretet af 22. august 1990 om gennemførelse af artikel R. 5132-86 i lov om offentlig sundhed for cannabis ophæves.</w:t>
      </w:r>
    </w:p>
    <w:p w14:paraId="3830ED1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4</w:t>
      </w:r>
    </w:p>
    <w:p w14:paraId="48053AD1"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Generaldirektøren for sundhed, generaldirektøren for fødevarer og generaldirektøren for virksomheder og generaldirektøren for told og indirekte afgifter er hver især ansvarlig for gennemførelsen af dette dekret, som offentliggøres i Journal officiel de la République française.</w:t>
      </w:r>
    </w:p>
    <w:p w14:paraId="0BAE3022" w14:textId="77777777" w:rsidR="00542229" w:rsidRDefault="00542229" w:rsidP="00542229">
      <w:pPr>
        <w:jc w:val="both"/>
        <w:rPr>
          <w:rFonts w:ascii="Times New Roman" w:hAnsi="Times New Roman" w:cs="Times New Roman"/>
          <w:sz w:val="24"/>
          <w:szCs w:val="24"/>
        </w:rPr>
      </w:pPr>
      <w:r>
        <w:rPr>
          <w:rFonts w:ascii="Times New Roman" w:hAnsi="Times New Roman"/>
          <w:sz w:val="24"/>
        </w:rPr>
        <w:t>Ministeren for solidaritet og sundhed har</w:t>
      </w:r>
    </w:p>
    <w:p w14:paraId="3479316A" w14:textId="77777777" w:rsidR="00542229" w:rsidRDefault="00542229" w:rsidP="00542229">
      <w:pPr>
        <w:jc w:val="right"/>
        <w:rPr>
          <w:rFonts w:ascii="Times New Roman" w:hAnsi="Times New Roman" w:cs="Times New Roman"/>
          <w:sz w:val="24"/>
          <w:szCs w:val="24"/>
        </w:rPr>
      </w:pPr>
      <w:r>
        <w:rPr>
          <w:rFonts w:ascii="Times New Roman" w:hAnsi="Times New Roman"/>
          <w:sz w:val="24"/>
        </w:rPr>
        <w:t>Ministeren for landbrug og fødevarer,</w:t>
      </w:r>
    </w:p>
    <w:p w14:paraId="286977AA" w14:textId="77777777" w:rsidR="00542229" w:rsidRDefault="00542229" w:rsidP="00542229">
      <w:pPr>
        <w:ind w:right="5103"/>
        <w:jc w:val="both"/>
        <w:rPr>
          <w:rFonts w:ascii="Times New Roman" w:hAnsi="Times New Roman" w:cs="Times New Roman"/>
          <w:sz w:val="24"/>
          <w:szCs w:val="24"/>
        </w:rPr>
      </w:pPr>
      <w:r>
        <w:rPr>
          <w:rFonts w:ascii="Times New Roman" w:hAnsi="Times New Roman"/>
          <w:sz w:val="24"/>
        </w:rPr>
        <w:t>Minister med ansvar for offentlige regnskaber under økonomi-, finans- og genopretningsministeren</w:t>
      </w:r>
    </w:p>
    <w:p w14:paraId="71208B86" w14:textId="77777777" w:rsidR="00542229" w:rsidRPr="00AB7CED" w:rsidRDefault="00542229" w:rsidP="00542229">
      <w:pPr>
        <w:ind w:left="3540" w:firstLine="708"/>
        <w:jc w:val="center"/>
        <w:rPr>
          <w:rFonts w:ascii="Times New Roman" w:hAnsi="Times New Roman" w:cs="Times New Roman"/>
          <w:sz w:val="24"/>
          <w:szCs w:val="24"/>
        </w:rPr>
      </w:pPr>
      <w:r>
        <w:rPr>
          <w:rFonts w:ascii="Times New Roman" w:hAnsi="Times New Roman"/>
          <w:sz w:val="24"/>
        </w:rPr>
        <w:t>Ministeren delegeret til økonomi-, finans- og genopretningsministeren med ansvar for industri</w:t>
      </w:r>
    </w:p>
    <w:p w14:paraId="08957A8F" w14:textId="77777777" w:rsidR="00AB7CED" w:rsidRDefault="00AB7CED">
      <w:pPr>
        <w:rPr>
          <w:rFonts w:ascii="Times New Roman" w:hAnsi="Times New Roman" w:cs="Times New Roman"/>
          <w:b/>
          <w:sz w:val="24"/>
          <w:szCs w:val="24"/>
        </w:rPr>
      </w:pPr>
      <w:r>
        <w:br w:type="page"/>
      </w:r>
    </w:p>
    <w:p w14:paraId="698B828F" w14:textId="7895619C"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lastRenderedPageBreak/>
        <w:t>BILAG</w:t>
      </w:r>
      <w:r w:rsidR="00D12C09">
        <w:rPr>
          <w:rFonts w:ascii="Times New Roman" w:hAnsi="Times New Roman"/>
          <w:b/>
          <w:sz w:val="24"/>
        </w:rPr>
        <w:t>:</w:t>
      </w:r>
      <w:r>
        <w:rPr>
          <w:rFonts w:ascii="Times New Roman" w:hAnsi="Times New Roman"/>
          <w:b/>
          <w:sz w:val="24"/>
        </w:rPr>
        <w:t xml:space="preserve"> METODE TIL KVANTITATIV BESTEMMELSE AF DELTA-9-TETRAHYDROCANNABINOL (9-THC) I HAMPESORTER</w:t>
      </w:r>
    </w:p>
    <w:p w14:paraId="281C9426" w14:textId="77777777" w:rsidR="00891D87" w:rsidRPr="00891D87" w:rsidRDefault="00891D87" w:rsidP="00AB7CED">
      <w:pPr>
        <w:spacing w:after="0" w:line="240" w:lineRule="auto"/>
        <w:jc w:val="both"/>
        <w:rPr>
          <w:rFonts w:ascii="Times New Roman" w:eastAsia="Times New Roman" w:hAnsi="Times New Roman" w:cs="Times New Roman"/>
          <w:sz w:val="24"/>
          <w:szCs w:val="24"/>
        </w:rPr>
      </w:pPr>
      <w:r>
        <w:rPr>
          <w:rFonts w:ascii="Times New Roman" w:hAnsi="Times New Roman"/>
          <w:color w:val="3C3C3C"/>
          <w:sz w:val="24"/>
          <w:shd w:val="clear" w:color="auto" w:fill="FFFFFF"/>
        </w:rPr>
        <w:t>1. Emne og omfang</w:t>
      </w:r>
    </w:p>
    <w:p w14:paraId="6B6C345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Metoden anvendes til at bestemme indholdet af delta-9-tetrahydrocannabinol (9-THC) i Cannabis sativa L.</w:t>
      </w:r>
    </w:p>
    <w:p w14:paraId="3121ED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Den anvendes i givet fald efter en procedure A eller B, der er beskrevet nedenfor. Denne metode er baseret på den kvantitative bestemmelse ved gaskromatografi (GCP) af 9-THC efter ekstraktion af opløsningsmiddel.</w:t>
      </w:r>
    </w:p>
    <w:p w14:paraId="7DA856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1.1. Fremgangsmåde A</w:t>
      </w:r>
    </w:p>
    <w:p w14:paraId="3E0667C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A anvendes til kontrolformål for de sorter, der er omhandlet i artikel 1 i dekret nr. xxx om gennemførelse af artikel R. 5181 i lov om offentlig sundhed for cannabis.</w:t>
      </w:r>
    </w:p>
    <w:p w14:paraId="16C7510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Hvis resultaterne for et betydeligt antal prøver af en given sort viser et større indhold af 9-THC end det, der er tilladt i henhold til artikel 1 i ovennævnte dekret, kan procedure B anvendes.</w:t>
      </w:r>
    </w:p>
    <w:p w14:paraId="777C1A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1.2. Fremgangsmåde B</w:t>
      </w:r>
    </w:p>
    <w:p w14:paraId="6F2329A7" w14:textId="77777777" w:rsidR="00FC7100" w:rsidRPr="00AB7CED"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anvendes i de tilfælde, der er omhandlet i punkt 1.1, andet afsnit.</w:t>
      </w:r>
    </w:p>
    <w:p w14:paraId="3301E73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 Prøveudtagning</w:t>
      </w:r>
    </w:p>
    <w:p w14:paraId="6B1063C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2.1. Prøver</w:t>
      </w:r>
    </w:p>
    <w:p w14:paraId="6ED09C9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A: I en given population af hamp, vil en 30 cm langt udsnit af mindst én kvindelig blomsterstand blive indsamlet for hver udvalgt plante. Prøveudtagningen finder sted i løbet af dagen mellem tyve dage efter begyndelsen og ti dage efter blomstringens afslutning i henhold til en systematisk rute, der giver mulighed for en repræsentativ indsamling af observationsområdet, bortset fra grænserne.</w:t>
      </w:r>
    </w:p>
    <w:p w14:paraId="54150C4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I en population af en given Cannabis sativa L. sort vil den øverste tredjedel af hver udvalgt plante blive taget. Prøveudtagningen finder sted senest ti dage efter blomstringens afslutning i løbet af dagen efter en systematisk rute, der muliggør en repræsentativ indsamling af observationsområdet og udelukker grænserne. Hvis der er tale om en dioecisk variant, indsamles kun hunplanterne.</w:t>
      </w:r>
    </w:p>
    <w:p w14:paraId="4684C02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2.2. Prøvens størrelse</w:t>
      </w:r>
    </w:p>
    <w:p w14:paraId="6DCC997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A: For hvert observationsområde udtages prøven fra 50 planter.</w:t>
      </w:r>
    </w:p>
    <w:p w14:paraId="5D29643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For hvert observationsområde udtages prøven fra 200 planter.</w:t>
      </w:r>
    </w:p>
    <w:p w14:paraId="17F786E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Hver prøve anbringes uden manipulation i en klud eller papirpose og sendes derefter til det laboratorium, der er ansvarligt for at bestemme indholdet af 9-THC.</w:t>
      </w:r>
    </w:p>
    <w:p w14:paraId="0DFF00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En anden prøve kan udtages med henblik på eventuel modanalyse og opbevares enten af producenten eller af laboratoriet.</w:t>
      </w:r>
    </w:p>
    <w:p w14:paraId="0ABDF5B0" w14:textId="77777777" w:rsidR="00891D87" w:rsidRPr="00891D87" w:rsidRDefault="00891D87" w:rsidP="00F071FC">
      <w:pPr>
        <w:keepNext/>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2.3. Tørring og opbevaring af prøven</w:t>
      </w:r>
    </w:p>
    <w:p w14:paraId="348704C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Tørringen af prøverne påbegyndes så hurtigt som muligt og under alle omstændigheder inden for 48 timer ved en hvilken som helst metode ved en temperatur på under 70 °C. Prøverne tørres op til konstant vægt med en fugtighed på mellem 8 og 13 %.</w:t>
      </w:r>
    </w:p>
    <w:p w14:paraId="3ACE333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Tørre prøver opbevares ikke i mørke og ved temperaturer under 25 °C.</w:t>
      </w:r>
    </w:p>
    <w:p w14:paraId="138F62F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 Indholdsanalyse i 9-THC</w:t>
      </w:r>
    </w:p>
    <w:p w14:paraId="7ED3F74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3.1. Forberedelse af analyseprøven</w:t>
      </w:r>
    </w:p>
    <w:p w14:paraId="24C2CB1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Tørre prøver fjernes fra stængler og frø på over 2 mm.</w:t>
      </w:r>
    </w:p>
    <w:p w14:paraId="5FF713D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De tørrede prøver formales til et halvfint pulver (1 mm maskesigte).</w:t>
      </w:r>
    </w:p>
    <w:p w14:paraId="24C1060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Maksimal opbevaring af pulveret i 10 uger på et tørt, mørkt sted ved temperaturer under 25 °C.</w:t>
      </w:r>
    </w:p>
    <w:p w14:paraId="1C1236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3.2. Reagenser, ekstraktionsopløsning</w:t>
      </w:r>
    </w:p>
    <w:p w14:paraId="01D30FC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Reagenser:</w:t>
      </w:r>
    </w:p>
    <w:p w14:paraId="190FFBD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9-tetrahydrocannabinol kromatografisk ren;</w:t>
      </w:r>
    </w:p>
    <w:p w14:paraId="153C23D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Kromatografisk ren squalane som en intern standard.</w:t>
      </w:r>
    </w:p>
    <w:p w14:paraId="3F37F8A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Ekstraktionsopløsning:</w:t>
      </w:r>
    </w:p>
    <w:p w14:paraId="614BCB3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35 mg squalane pr. 100 ml hexan.</w:t>
      </w:r>
    </w:p>
    <w:p w14:paraId="33BF793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3.3. Udvinding af 9-THC</w:t>
      </w:r>
    </w:p>
    <w:p w14:paraId="539AC97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100 mg af prøvepulveret afvejes og anbringes i et centrifugeglas. der tilsættes 5 ml ekstraktionsopløsning, der indeholder den interne kontrol.</w:t>
      </w:r>
    </w:p>
    <w:p w14:paraId="7430A05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Nedsænk det hele i 20 minutter i et ultralydsbad. Der centrifugeres i 5 minutter ved 3.000 rpm, og supernatanten 9-THC opløses. Det injiceres i kromatografiapparatet, og der foretages en kvantitativ analyse.</w:t>
      </w:r>
    </w:p>
    <w:p w14:paraId="08833073"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3.4. Gaskromatografi</w:t>
      </w:r>
    </w:p>
    <w:p w14:paraId="2BE66A5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 Udstyr:</w:t>
      </w:r>
    </w:p>
    <w:p w14:paraId="418A7F2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gaskromatograf udstyret med flammeioniseringsdetektor og split/splitfri injektor</w:t>
      </w:r>
    </w:p>
    <w:p w14:paraId="793C8BB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kolonne, der muliggør god adskillelse af cannabinoider, f.eks. en 25 m lang og 0,22 mm glaskapillarkolonne imprægneret med en 5 % phenyl-methyl-siloxan-apolær fase.</w:t>
      </w:r>
    </w:p>
    <w:p w14:paraId="22C93DE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b) Kalibreringsintervaller:</w:t>
      </w:r>
    </w:p>
    <w:p w14:paraId="1D57BC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Mindst 3 punkter for procedure A og 5 punkter for procedure B med 0,04 og 0,50 mg/ml 9-THC i ekstraktionsopløsning.</w:t>
      </w:r>
    </w:p>
    <w:p w14:paraId="49E28E55" w14:textId="4CF30BB7" w:rsidR="00891D87" w:rsidRPr="00891D87" w:rsidRDefault="00F071FC"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c</w:t>
      </w:r>
      <w:r w:rsidR="00891D87">
        <w:rPr>
          <w:rFonts w:ascii="Times New Roman" w:hAnsi="Times New Roman"/>
          <w:color w:val="3C3C3C"/>
          <w:sz w:val="24"/>
        </w:rPr>
        <w:t>) Udstyrsbetingelser:</w:t>
      </w:r>
    </w:p>
    <w:p w14:paraId="137B3C7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Følgende betingelser er anført som eksempel på kolonnen i litra a):</w:t>
      </w:r>
    </w:p>
    <w:p w14:paraId="79CB055B"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ovntemperatur: 260 °C</w:t>
      </w:r>
    </w:p>
    <w:p w14:paraId="7C995E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injektortemperatur: 300 °C</w:t>
      </w:r>
    </w:p>
    <w:p w14:paraId="22C6A5D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detektortemperatur: 300 °C.</w:t>
      </w:r>
    </w:p>
    <w:p w14:paraId="39D5645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 injiceret volumen: 1 ml.</w:t>
      </w:r>
    </w:p>
    <w:p w14:paraId="4A77A77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4. Resultater</w:t>
      </w:r>
    </w:p>
    <w:p w14:paraId="6B6040B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Resultatet udtrykkes med to decimaler i gram 9-THC pr. 100 g prøve, tørret op til konstant vægt. Resultatet er underlagt en tolerance på 0,03 % i absolut værdi.</w:t>
      </w:r>
    </w:p>
    <w:p w14:paraId="66A0A1EC" w14:textId="4F95F772"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A: Resultatet svarer til en bestemmelse pr. analyseprøve. Hvis det således opnåede resultat imidlertid overstiger den grænse, der er fastsat i afdeling 1 i dekret nr. xxx om anvendelse af artikel R. 5181 i lov om offentlig sundhed for cannabis, foretages der en anden bestemmelse pr. prøve, og resultatet er gennemsnittet af disse to bestemmelser.</w:t>
      </w:r>
    </w:p>
    <w:p w14:paraId="3B70BFF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Procedure B: Resultatet svarer til gennemsnittet af to bestemmelser pr. prøve.</w:t>
      </w:r>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1C19" w14:textId="77777777" w:rsidR="00D47502" w:rsidRDefault="00D47502" w:rsidP="00AB7CED">
      <w:pPr>
        <w:spacing w:after="0" w:line="240" w:lineRule="auto"/>
      </w:pPr>
      <w:r>
        <w:separator/>
      </w:r>
    </w:p>
  </w:endnote>
  <w:endnote w:type="continuationSeparator" w:id="0">
    <w:p w14:paraId="249ADEC1" w14:textId="77777777" w:rsidR="00D47502" w:rsidRDefault="00D47502"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14530"/>
      <w:docPartObj>
        <w:docPartGallery w:val="Page Numbers (Bottom of Page)"/>
        <w:docPartUnique/>
      </w:docPartObj>
    </w:sdtPr>
    <w:sdtEndPr/>
    <w:sdtContent>
      <w:p w14:paraId="5084F0DF" w14:textId="77777777" w:rsidR="00AB7CED" w:rsidRDefault="00AB7CED">
        <w:pPr>
          <w:pStyle w:val="Footer"/>
          <w:jc w:val="right"/>
        </w:pPr>
        <w:r>
          <w:fldChar w:fldCharType="begin"/>
        </w:r>
        <w:r>
          <w:instrText>PAGE   \* MERGEFORMAT</w:instrText>
        </w:r>
        <w:r>
          <w:fldChar w:fldCharType="separate"/>
        </w:r>
        <w:r w:rsidR="005E4D7F">
          <w:t>5</w:t>
        </w:r>
        <w:r>
          <w:fldChar w:fldCharType="end"/>
        </w:r>
      </w:p>
    </w:sdtContent>
  </w:sdt>
  <w:p w14:paraId="171969FD" w14:textId="77777777" w:rsidR="00AB7CED" w:rsidRDefault="00AB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8512" w14:textId="77777777" w:rsidR="00D47502" w:rsidRDefault="00D47502" w:rsidP="00AB7CED">
      <w:pPr>
        <w:spacing w:after="0" w:line="240" w:lineRule="auto"/>
      </w:pPr>
      <w:r>
        <w:separator/>
      </w:r>
    </w:p>
  </w:footnote>
  <w:footnote w:type="continuationSeparator" w:id="0">
    <w:p w14:paraId="1239C929" w14:textId="77777777" w:rsidR="00D47502" w:rsidRDefault="00D47502"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7"/>
    <w:rsid w:val="001E4B4F"/>
    <w:rsid w:val="00542229"/>
    <w:rsid w:val="005E4D7F"/>
    <w:rsid w:val="006B2BEF"/>
    <w:rsid w:val="006E2CDE"/>
    <w:rsid w:val="00842EA4"/>
    <w:rsid w:val="00891D87"/>
    <w:rsid w:val="008C383B"/>
    <w:rsid w:val="0099467C"/>
    <w:rsid w:val="00A006DB"/>
    <w:rsid w:val="00AB4615"/>
    <w:rsid w:val="00AB7CED"/>
    <w:rsid w:val="00D12C09"/>
    <w:rsid w:val="00D34B61"/>
    <w:rsid w:val="00D47502"/>
    <w:rsid w:val="00EC22B5"/>
    <w:rsid w:val="00F071FC"/>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E2B"/>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B7C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CED"/>
  </w:style>
  <w:style w:type="paragraph" w:styleId="Footer">
    <w:name w:val="footer"/>
    <w:basedOn w:val="Normal"/>
    <w:link w:val="FooterChar"/>
    <w:uiPriority w:val="99"/>
    <w:unhideWhenUsed/>
    <w:rsid w:val="00AB7C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1347</Words>
  <Characters>7679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Liana Brili</cp:lastModifiedBy>
  <cp:revision>11</cp:revision>
  <cp:lastPrinted>2021-07-20T14:42:00Z</cp:lastPrinted>
  <dcterms:created xsi:type="dcterms:W3CDTF">2021-07-20T09:04:00Z</dcterms:created>
  <dcterms:modified xsi:type="dcterms:W3CDTF">2021-07-29T15:31:00Z</dcterms:modified>
</cp:coreProperties>
</file>