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6B54" w14:textId="77777777" w:rsidR="002D1522" w:rsidRPr="002D1522" w:rsidRDefault="002D1522" w:rsidP="002D1522">
      <w:pPr>
        <w:shd w:val="clear" w:color="auto" w:fill="FFFFFF"/>
        <w:spacing w:before="150" w:after="150" w:line="240" w:lineRule="auto"/>
        <w:outlineLvl w:val="0"/>
        <w:rPr>
          <w:b/>
          <w:bCs/>
          <w:color w:val="4A0D17"/>
          <w:kern w:val="36"/>
          <w:sz w:val="35"/>
          <w:szCs w:val="35"/>
          <w:rFonts w:ascii="Helvetica" w:eastAsia="Times New Roman" w:hAnsi="Helvetica" w:cs="Helvetica"/>
        </w:rPr>
      </w:pPr>
      <w:r>
        <w:rPr>
          <w:b/>
          <w:color w:val="4A0D17"/>
          <w:sz w:val="35"/>
          <w:rFonts w:ascii="Helvetica" w:hAnsi="Helvetica"/>
        </w:rPr>
        <w:t xml:space="preserve">Reglementări privind proiectarea universală a autovehiculelor utilizate pentru transportul autorizat etc.</w:t>
      </w:r>
    </w:p>
    <w:p w14:paraId="431BB729" w14:textId="77777777" w:rsidR="00106164" w:rsidRDefault="00106164" w:rsidP="00106164">
      <w:pPr>
        <w:spacing w:after="0" w:line="240" w:lineRule="auto"/>
        <w:rPr>
          <w:rFonts w:ascii="Times New Roman" w:eastAsia="Times New Roman" w:hAnsi="Times New Roman" w:cs="Times New Roman"/>
          <w:b/>
          <w:bCs/>
          <w:szCs w:val="24"/>
          <w:lang w:val="en-US"/>
        </w:rPr>
      </w:pPr>
    </w:p>
    <w:p w14:paraId="5B06AE60" w14:textId="3AC8C433" w:rsidR="00106164" w:rsidRPr="00106164" w:rsidRDefault="00106164" w:rsidP="00106164">
      <w:pPr>
        <w:spacing w:after="0" w:line="240" w:lineRule="auto"/>
        <w:rPr>
          <w:b/>
          <w:bCs/>
          <w:i/>
          <w:iCs/>
          <w:szCs w:val="24"/>
          <w:rFonts w:ascii="Times New Roman" w:eastAsia="Times New Roman" w:hAnsi="Times New Roman" w:cs="Times New Roman"/>
        </w:rPr>
      </w:pPr>
      <w:r>
        <w:rPr>
          <w:b/>
          <w:i/>
          <w:rFonts w:ascii="Times New Roman" w:hAnsi="Times New Roman"/>
        </w:rPr>
        <w:t xml:space="preserve">Modificările propuse sunt evidențiate cu roșu</w:t>
      </w:r>
    </w:p>
    <w:p w14:paraId="2AA45474" w14:textId="7E60E1F7" w:rsidR="002D1522" w:rsidRDefault="002D1522" w:rsidP="002D1522">
      <w:pPr>
        <w:spacing w:after="0" w:line="240" w:lineRule="auto"/>
        <w:rPr>
          <w:rFonts w:ascii="Times New Roman" w:eastAsia="Times New Roman" w:hAnsi="Times New Roman" w:cs="Times New Roman"/>
          <w:b/>
          <w:szCs w:val="24"/>
          <w:lang w:val="en-GB"/>
        </w:rPr>
      </w:pPr>
    </w:p>
    <w:p w14:paraId="65C9B0D2" w14:textId="77777777" w:rsidR="00106164" w:rsidRPr="002D1522" w:rsidRDefault="00106164" w:rsidP="002D1522">
      <w:pPr>
        <w:spacing w:after="0" w:line="240" w:lineRule="auto"/>
        <w:rPr>
          <w:rFonts w:ascii="Times New Roman" w:eastAsia="Times New Roman" w:hAnsi="Times New Roman" w:cs="Times New Roman"/>
          <w:b/>
          <w:szCs w:val="24"/>
          <w:lang w:val="en-GB"/>
        </w:rPr>
      </w:pPr>
    </w:p>
    <w:p w14:paraId="12695058" w14:textId="77777777" w:rsidR="0054005C" w:rsidRPr="0054005C" w:rsidRDefault="0054005C" w:rsidP="0054005C">
      <w:pPr>
        <w:spacing w:after="0" w:line="240" w:lineRule="auto"/>
        <w:rPr>
          <w:b/>
          <w:bCs/>
          <w:i/>
          <w:iCs/>
          <w:szCs w:val="24"/>
          <w:rFonts w:ascii="Times New Roman" w:eastAsia="Times New Roman" w:hAnsi="Times New Roman" w:cs="Times New Roman"/>
        </w:rPr>
      </w:pPr>
      <w:r>
        <w:rPr>
          <w:b/>
          <w:rFonts w:ascii="Times New Roman" w:hAnsi="Times New Roman"/>
        </w:rPr>
        <w:t xml:space="preserve">Articolul 1</w:t>
      </w:r>
      <w:r>
        <w:rPr>
          <w:b/>
          <w:i/>
          <w:rFonts w:ascii="Times New Roman" w:hAnsi="Times New Roman"/>
        </w:rPr>
        <w:t xml:space="preserve"> </w:t>
      </w:r>
      <w:r>
        <w:rPr>
          <w:b/>
          <w:i/>
          <w:rFonts w:ascii="Times New Roman" w:hAnsi="Times New Roman"/>
        </w:rPr>
        <w:t xml:space="preserve">Domeniul de aplicare</w:t>
      </w:r>
    </w:p>
    <w:p w14:paraId="1F3CD3E5" w14:textId="77777777" w:rsidR="0054005C" w:rsidRDefault="0054005C" w:rsidP="0054005C">
      <w:pPr>
        <w:spacing w:after="0" w:line="240" w:lineRule="auto"/>
        <w:rPr>
          <w:rFonts w:ascii="Times New Roman" w:eastAsia="Times New Roman" w:hAnsi="Times New Roman" w:cs="Times New Roman"/>
          <w:bCs/>
          <w:iCs/>
          <w:szCs w:val="24"/>
          <w:lang w:val="en-US"/>
        </w:rPr>
      </w:pPr>
    </w:p>
    <w:p w14:paraId="7D489EEF" w14:textId="5694A2F7" w:rsidR="002D1522" w:rsidRPr="0054005C" w:rsidRDefault="0054005C" w:rsidP="0054005C">
      <w:pPr>
        <w:spacing w:after="0" w:line="240" w:lineRule="auto"/>
        <w:rPr>
          <w:bCs/>
          <w:iCs/>
          <w:szCs w:val="24"/>
          <w:rFonts w:ascii="Times New Roman" w:eastAsia="Times New Roman" w:hAnsi="Times New Roman" w:cs="Times New Roman"/>
        </w:rPr>
      </w:pPr>
      <w:r>
        <w:rPr>
          <w:rFonts w:ascii="Times New Roman" w:hAnsi="Times New Roman"/>
        </w:rPr>
        <w:t xml:space="preserve">Prezentele reglementări se aplică transportului de călători care necesită o licență pentru servicii regulate și pentru transportul care necesită o licență în cazul în care autovehiculul este utilizat pentru transportul persoanelor cu handicap, a se vedea articolele 4, 6 și 9 din Legea privind transportul profesional.</w:t>
      </w:r>
      <w:r>
        <w:rPr>
          <w:rFonts w:ascii="Times New Roman" w:hAnsi="Times New Roman"/>
        </w:rPr>
        <w:t xml:space="preserve"> </w:t>
      </w:r>
      <w:r>
        <w:rPr>
          <w:rFonts w:ascii="Times New Roman" w:hAnsi="Times New Roman"/>
        </w:rPr>
        <w:t xml:space="preserve">Reglementările nu se aplică autobuzelor din clasa I, cu excepția dispoziției din articolul 4 al cincilea paragraf.</w:t>
      </w:r>
    </w:p>
    <w:p w14:paraId="6EACF846" w14:textId="7CBD8DFC" w:rsidR="0054005C" w:rsidRDefault="0054005C" w:rsidP="002D1522">
      <w:pPr>
        <w:spacing w:after="0" w:line="240" w:lineRule="auto"/>
        <w:rPr>
          <w:rFonts w:ascii="Times New Roman" w:eastAsia="Times New Roman" w:hAnsi="Times New Roman" w:cs="Times New Roman"/>
          <w:b/>
          <w:szCs w:val="24"/>
          <w:lang w:val="en-GB"/>
        </w:rPr>
      </w:pPr>
    </w:p>
    <w:p w14:paraId="0EFD06CB" w14:textId="77777777" w:rsidR="0054005C" w:rsidRPr="002D1522" w:rsidRDefault="0054005C" w:rsidP="002D1522">
      <w:pPr>
        <w:spacing w:after="0" w:line="240" w:lineRule="auto"/>
        <w:rPr>
          <w:rFonts w:ascii="Times New Roman" w:eastAsia="Times New Roman" w:hAnsi="Times New Roman" w:cs="Times New Roman"/>
          <w:b/>
          <w:szCs w:val="24"/>
          <w:lang w:val="en-GB"/>
        </w:rPr>
      </w:pPr>
    </w:p>
    <w:p w14:paraId="66062AE3"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Articolul 2 </w:t>
      </w:r>
      <w:r>
        <w:rPr>
          <w:b/>
          <w:i/>
          <w:rFonts w:ascii="Times New Roman" w:hAnsi="Times New Roman"/>
        </w:rPr>
        <w:t xml:space="preserve">Definiții</w:t>
      </w:r>
    </w:p>
    <w:p w14:paraId="15A82E3E"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Definițiile din Regulamentul nr. 817 din 5 iulie 2012 privind omologarea autovehiculelor și a remorcilor acestora („bilforskriften”) se aplică după caz.</w:t>
      </w:r>
      <w:hyperlink r:id="rId6" w:anchor="referință/forskrift/2012-07-05-817" w:history="1">
        <w:r>
          <w:rPr>
            <w:rFonts w:ascii="Times New Roman" w:hAnsi="Times New Roman"/>
          </w:rPr>
          <w:t xml:space="preserve"> </w:t>
        </w:r>
      </w:hyperlink>
    </w:p>
    <w:p w14:paraId="7002C9F3"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În caz contrar, în prezentele reglementări se utilizează următoarele definiții:</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5356AE2" w14:textId="77777777" w:rsidTr="00831C6F">
        <w:tc>
          <w:tcPr>
            <w:tcW w:w="360" w:type="dxa"/>
            <w:noWrap/>
            <w:tcMar>
              <w:right w:w="80" w:type="dxa"/>
            </w:tcMar>
          </w:tcPr>
          <w:p w14:paraId="360A6FC8"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(a)</w:t>
            </w:r>
          </w:p>
        </w:tc>
        <w:tc>
          <w:tcPr>
            <w:tcW w:w="9506" w:type="dxa"/>
            <w:noWrap/>
            <w:tcMar>
              <w:right w:w="80" w:type="dxa"/>
            </w:tcMar>
          </w:tcPr>
          <w:p w14:paraId="496F12EA" w14:textId="77777777" w:rsidR="002D1522" w:rsidRPr="002D1522" w:rsidRDefault="002D1522" w:rsidP="002D1522">
            <w:pPr>
              <w:spacing w:after="0" w:line="240" w:lineRule="auto"/>
              <w:rPr>
                <w:szCs w:val="24"/>
                <w:rFonts w:ascii="Times New Roman" w:eastAsia="Times New Roman" w:hAnsi="Times New Roman" w:cs="Times New Roman"/>
              </w:rPr>
            </w:pPr>
            <w:r>
              <w:rPr>
                <w:i/>
                <w:rFonts w:ascii="Times New Roman" w:hAnsi="Times New Roman"/>
              </w:rPr>
              <w:t xml:space="preserve">autovehicul pentru transportul persoanelor cu handicap</w:t>
            </w:r>
            <w:r>
              <w:rPr>
                <w:rFonts w:ascii="Times New Roman" w:hAnsi="Times New Roman"/>
              </w:rPr>
              <w:t xml:space="preserve"> </w:t>
            </w:r>
            <w:r>
              <w:rPr>
                <w:rFonts w:ascii="Times New Roman" w:hAnsi="Times New Roman"/>
              </w:rPr>
              <w:t xml:space="preserve">înseamnă un autovehicul cu licență de transport care este special conceput sau echipat pentru transportul persoanelor cu handicap;</w:t>
            </w:r>
          </w:p>
        </w:tc>
      </w:tr>
    </w:tbl>
    <w:p w14:paraId="2D522BB5"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110C1EC9" w14:textId="77777777" w:rsidTr="00831C6F">
        <w:tc>
          <w:tcPr>
            <w:tcW w:w="360" w:type="dxa"/>
            <w:noWrap/>
            <w:tcMar>
              <w:right w:w="80" w:type="dxa"/>
            </w:tcMar>
          </w:tcPr>
          <w:p w14:paraId="44637CCB"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(b)</w:t>
            </w:r>
          </w:p>
        </w:tc>
        <w:tc>
          <w:tcPr>
            <w:tcW w:w="9506" w:type="dxa"/>
            <w:noWrap/>
            <w:tcMar>
              <w:right w:w="80" w:type="dxa"/>
            </w:tcMar>
          </w:tcPr>
          <w:p w14:paraId="37B760DF" w14:textId="77777777" w:rsidR="002D1522" w:rsidRPr="002D1522" w:rsidRDefault="002D1522" w:rsidP="002D1522">
            <w:pPr>
              <w:spacing w:after="0" w:line="240" w:lineRule="auto"/>
              <w:rPr>
                <w:szCs w:val="24"/>
                <w:rFonts w:ascii="Times New Roman" w:eastAsia="Times New Roman" w:hAnsi="Times New Roman" w:cs="Times New Roman"/>
              </w:rPr>
            </w:pPr>
            <w:r>
              <w:rPr>
                <w:i/>
                <w:rFonts w:ascii="Times New Roman" w:hAnsi="Times New Roman"/>
              </w:rPr>
              <w:t xml:space="preserve">spațiu pentru pasageri</w:t>
            </w:r>
            <w:r>
              <w:rPr>
                <w:rFonts w:ascii="Times New Roman" w:hAnsi="Times New Roman"/>
              </w:rPr>
              <w:t xml:space="preserve"> </w:t>
            </w:r>
            <w:r>
              <w:rPr>
                <w:rFonts w:ascii="Times New Roman" w:hAnsi="Times New Roman"/>
              </w:rPr>
              <w:t xml:space="preserve">înseamnă spațiul destinat transportului de pasageri;</w:t>
            </w:r>
          </w:p>
        </w:tc>
      </w:tr>
    </w:tbl>
    <w:p w14:paraId="1905BB5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D6DF5C9" w14:textId="77777777" w:rsidTr="00831C6F">
        <w:tc>
          <w:tcPr>
            <w:tcW w:w="360" w:type="dxa"/>
            <w:noWrap/>
            <w:tcMar>
              <w:right w:w="80" w:type="dxa"/>
            </w:tcMar>
          </w:tcPr>
          <w:p w14:paraId="0BF0ECE6"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(c)</w:t>
            </w:r>
          </w:p>
        </w:tc>
        <w:tc>
          <w:tcPr>
            <w:tcW w:w="9506" w:type="dxa"/>
            <w:noWrap/>
            <w:tcMar>
              <w:right w:w="80" w:type="dxa"/>
            </w:tcMar>
          </w:tcPr>
          <w:p w14:paraId="34BCE36F" w14:textId="77777777" w:rsidR="002D1522" w:rsidRPr="002D1522" w:rsidRDefault="002D1522" w:rsidP="002D1522">
            <w:pPr>
              <w:spacing w:after="0" w:line="240" w:lineRule="auto"/>
              <w:rPr>
                <w:szCs w:val="24"/>
                <w:rFonts w:ascii="Times New Roman" w:eastAsia="Times New Roman" w:hAnsi="Times New Roman" w:cs="Times New Roman"/>
              </w:rPr>
            </w:pPr>
            <w:r>
              <w:rPr>
                <w:i/>
                <w:rFonts w:ascii="Times New Roman" w:hAnsi="Times New Roman"/>
              </w:rPr>
              <w:t xml:space="preserve">scaun</w:t>
            </w:r>
            <w:r>
              <w:rPr>
                <w:rFonts w:ascii="Times New Roman" w:hAnsi="Times New Roman"/>
              </w:rPr>
              <w:t xml:space="preserve"> </w:t>
            </w:r>
            <w:r>
              <w:rPr>
                <w:rFonts w:ascii="Times New Roman" w:hAnsi="Times New Roman"/>
              </w:rPr>
              <w:t xml:space="preserve">înseamnă un spațiu destinat pasagerilor așezați într-un mobilier fix sau mobil;</w:t>
            </w:r>
          </w:p>
        </w:tc>
      </w:tr>
    </w:tbl>
    <w:p w14:paraId="0E7AFF6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662B2BE6" w14:textId="77777777" w:rsidTr="00831C6F">
        <w:tc>
          <w:tcPr>
            <w:tcW w:w="360" w:type="dxa"/>
            <w:noWrap/>
            <w:tcMar>
              <w:right w:w="80" w:type="dxa"/>
            </w:tcMar>
          </w:tcPr>
          <w:p w14:paraId="1FA4F507"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(d)</w:t>
            </w:r>
          </w:p>
        </w:tc>
        <w:tc>
          <w:tcPr>
            <w:tcW w:w="9506" w:type="dxa"/>
            <w:noWrap/>
            <w:tcMar>
              <w:right w:w="80" w:type="dxa"/>
            </w:tcMar>
          </w:tcPr>
          <w:p w14:paraId="1658C285" w14:textId="77777777" w:rsidR="002D1522" w:rsidRPr="002D1522" w:rsidRDefault="002D1522" w:rsidP="002D1522">
            <w:pPr>
              <w:spacing w:after="0" w:line="240" w:lineRule="auto"/>
              <w:rPr>
                <w:szCs w:val="24"/>
                <w:rFonts w:ascii="Times New Roman" w:eastAsia="Times New Roman" w:hAnsi="Times New Roman" w:cs="Times New Roman"/>
              </w:rPr>
            </w:pPr>
            <w:r>
              <w:rPr>
                <w:i/>
                <w:rFonts w:ascii="Times New Roman" w:hAnsi="Times New Roman"/>
              </w:rPr>
              <w:t xml:space="preserve">spațiu pentru fotolii rulante</w:t>
            </w:r>
            <w:r>
              <w:rPr>
                <w:rFonts w:ascii="Times New Roman" w:hAnsi="Times New Roman"/>
              </w:rPr>
              <w:t xml:space="preserve"> </w:t>
            </w:r>
            <w:r>
              <w:rPr>
                <w:rFonts w:ascii="Times New Roman" w:hAnsi="Times New Roman"/>
              </w:rPr>
              <w:t xml:space="preserve">înseamnă un spațiu destinat pasagerilor așezați într-un fotoliu rulant.</w:t>
            </w:r>
          </w:p>
        </w:tc>
      </w:tr>
    </w:tbl>
    <w:p w14:paraId="3423BA29"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59A98CC3"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Articolul 3.</w:t>
      </w:r>
      <w:r>
        <w:rPr>
          <w:b/>
          <w:rFonts w:ascii="Times New Roman" w:hAnsi="Times New Roman"/>
        </w:rPr>
        <w:t xml:space="preserve"> </w:t>
      </w:r>
      <w:r>
        <w:rPr>
          <w:b/>
          <w:i/>
          <w:rFonts w:ascii="Times New Roman" w:hAnsi="Times New Roman"/>
        </w:rPr>
        <w:t xml:space="preserve">Aprobare</w:t>
      </w:r>
    </w:p>
    <w:p w14:paraId="5889F4D2"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Autobuzele care intră sub incidența prezentelor reglementări trebuie să fie aprobate de Administrația Norvegiană a Drumurilor Publice în conformitate cu cerințele stabilite în regulamentele privind autovehiculele și remorcile acestora, precum și cu cerințele prevăzute la articolul 4.</w:t>
      </w:r>
      <w:r>
        <w:rPr>
          <w:rFonts w:ascii="Times New Roman" w:hAnsi="Times New Roman"/>
        </w:rPr>
        <w:t xml:space="preserve"> </w:t>
      </w:r>
      <w:r>
        <w:rPr>
          <w:rFonts w:ascii="Times New Roman" w:hAnsi="Times New Roman"/>
        </w:rPr>
        <w:t xml:space="preserve">La omologare, trebuie să se furnizeze o documentație care să ateste că sunt îndeplinite cerințele prevăzute la articolul 4.</w:t>
      </w:r>
    </w:p>
    <w:p w14:paraId="3F821047" w14:textId="6F51F7D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Autoturismele care intră sub incidența prezentelor reglementări trebuie să fie aprobate de Administrația Norvegiană a Drumurilor Publice în conformitate cu cerințele stabilite în regulamentele privind autovehiculele și remorcile acestora, precum și cu cerințele prevăzute la articolul 6.</w:t>
      </w:r>
      <w:r>
        <w:rPr>
          <w:rFonts w:ascii="Times New Roman" w:hAnsi="Times New Roman"/>
        </w:rPr>
        <w:t xml:space="preserve"> </w:t>
      </w:r>
      <w:r>
        <w:rPr>
          <w:rFonts w:ascii="Times New Roman" w:hAnsi="Times New Roman"/>
        </w:rPr>
        <w:t xml:space="preserve">La omologare, trebuie să se furnizeze o documentație care să ateste că sunt îndeplinite cerințele prevăzute la articolul 6.</w:t>
      </w:r>
    </w:p>
    <w:p w14:paraId="7BB75486"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Documentația menționată la primul și al doilea paragraf se eliberează de către producătorul caroseriei, al șasiului, al echipamentului de siguranță sau al autovehiculului complet sau de către un laborator independent competent.</w:t>
      </w:r>
    </w:p>
    <w:p w14:paraId="433285A0"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729342EF" w14:textId="77777777" w:rsidR="00B71823" w:rsidRPr="00B71823" w:rsidRDefault="00B71823" w:rsidP="00B71823">
      <w:pPr>
        <w:spacing w:after="0" w:line="240" w:lineRule="auto"/>
        <w:rPr>
          <w:b/>
          <w:bCs/>
          <w:szCs w:val="24"/>
          <w:rFonts w:ascii="Times New Roman" w:eastAsia="Times New Roman" w:hAnsi="Times New Roman" w:cs="Times New Roman"/>
        </w:rPr>
      </w:pPr>
      <w:r>
        <w:rPr>
          <w:b/>
          <w:rFonts w:ascii="Times New Roman" w:hAnsi="Times New Roman"/>
        </w:rPr>
        <w:t xml:space="preserve">Articolul 4:</w:t>
      </w:r>
      <w:r>
        <w:rPr>
          <w:b/>
          <w:i/>
          <w:rFonts w:ascii="Times New Roman" w:hAnsi="Times New Roman"/>
        </w:rPr>
        <w:t xml:space="preserve"> </w:t>
      </w:r>
      <w:r>
        <w:rPr>
          <w:b/>
          <w:i/>
          <w:rFonts w:ascii="Times New Roman" w:hAnsi="Times New Roman"/>
        </w:rPr>
        <w:t xml:space="preserve">Cerințe aplicabile autobuzelor</w:t>
      </w:r>
      <w:r>
        <w:rPr>
          <w:b/>
          <w:rFonts w:ascii="Times New Roman" w:hAnsi="Times New Roman"/>
        </w:rPr>
        <w:t xml:space="preserve"> </w:t>
      </w:r>
    </w:p>
    <w:p w14:paraId="00C4A60C" w14:textId="77777777" w:rsidR="00E81585" w:rsidRDefault="00E81585" w:rsidP="00B71823">
      <w:pPr>
        <w:spacing w:after="0" w:line="240" w:lineRule="auto"/>
        <w:rPr>
          <w:rFonts w:ascii="Times New Roman" w:eastAsia="Times New Roman" w:hAnsi="Times New Roman" w:cs="Times New Roman"/>
          <w:iCs/>
          <w:szCs w:val="24"/>
          <w:lang w:val="en-US"/>
        </w:rPr>
      </w:pPr>
    </w:p>
    <w:p w14:paraId="167BB47A" w14:textId="1C2634CF" w:rsidR="00B71823" w:rsidRDefault="00B71823" w:rsidP="00B71823">
      <w:pPr>
        <w:spacing w:after="0" w:line="240" w:lineRule="auto"/>
        <w:rPr>
          <w:iCs/>
          <w:szCs w:val="24"/>
          <w:rFonts w:ascii="Times New Roman" w:eastAsia="Times New Roman" w:hAnsi="Times New Roman" w:cs="Times New Roman"/>
        </w:rPr>
      </w:pPr>
      <w:r>
        <w:rPr>
          <w:rFonts w:ascii="Times New Roman" w:hAnsi="Times New Roman"/>
        </w:rPr>
        <w:t xml:space="preserve">Autobuzele care intră sub incidența prezentelor reglementări trebuie să respecte cerințele din anexa 8 la Regulamentul nr. 107-05 al CEE-ONU.</w:t>
      </w:r>
    </w:p>
    <w:p w14:paraId="1D3883D5" w14:textId="77777777" w:rsidR="00E81585" w:rsidRPr="00B71823" w:rsidRDefault="00E81585" w:rsidP="00B71823">
      <w:pPr>
        <w:spacing w:after="0" w:line="240" w:lineRule="auto"/>
        <w:rPr>
          <w:rFonts w:ascii="Times New Roman" w:eastAsia="Times New Roman" w:hAnsi="Times New Roman" w:cs="Times New Roman"/>
          <w:iCs/>
          <w:szCs w:val="24"/>
          <w:lang w:val="en-GB"/>
        </w:rPr>
      </w:pPr>
    </w:p>
    <w:p w14:paraId="3E99923D" w14:textId="3F82DC23" w:rsidR="006007DD" w:rsidRPr="00B71823" w:rsidRDefault="00B71823" w:rsidP="00B71823">
      <w:pPr>
        <w:spacing w:after="0" w:line="240" w:lineRule="auto"/>
        <w:rPr>
          <w:iCs/>
          <w:szCs w:val="24"/>
          <w:rFonts w:ascii="Times New Roman" w:eastAsia="Times New Roman" w:hAnsi="Times New Roman" w:cs="Times New Roman"/>
        </w:rPr>
      </w:pPr>
      <w:r>
        <w:rPr>
          <w:rFonts w:ascii="Times New Roman" w:hAnsi="Times New Roman"/>
        </w:rPr>
        <w:t xml:space="preserve">În plus, autobuzele utilizate pentru transportul de călători în cadrul serviciilor regulate care necesită o licență trebuie să aibă următoarele caracteristici:</w:t>
      </w:r>
    </w:p>
    <w:p w14:paraId="565F5F05" w14:textId="1322BA5B" w:rsidR="00B71823" w:rsidRDefault="00B71823" w:rsidP="00B71823">
      <w:pPr>
        <w:spacing w:after="0" w:line="240" w:lineRule="auto"/>
        <w:rPr>
          <w:iCs/>
          <w:szCs w:val="24"/>
          <w:rFonts w:ascii="Times New Roman" w:eastAsia="Times New Roman" w:hAnsi="Times New Roman" w:cs="Times New Roman"/>
        </w:rPr>
      </w:pPr>
      <w:r>
        <w:rPr>
          <w:rFonts w:ascii="Times New Roman" w:hAnsi="Times New Roman"/>
        </w:rPr>
        <w:t xml:space="preserve">(a) anunț de oprire automată cu mesaje vocale și un panou electronic de afișare a mesajului în interiorul autobuzului, astfel încât să poată fi văzut în mod clar dintr-un spațiu rezervat;</w:t>
      </w:r>
    </w:p>
    <w:p w14:paraId="3653FE0A" w14:textId="77777777" w:rsidR="00E81585" w:rsidRPr="00B71823" w:rsidRDefault="00E81585" w:rsidP="00B71823">
      <w:pPr>
        <w:spacing w:after="0" w:line="240" w:lineRule="auto"/>
        <w:rPr>
          <w:rFonts w:ascii="Times New Roman" w:eastAsia="Times New Roman" w:hAnsi="Times New Roman" w:cs="Times New Roman"/>
          <w:iCs/>
          <w:szCs w:val="24"/>
          <w:lang w:val="en-US"/>
        </w:rPr>
      </w:pPr>
    </w:p>
    <w:p w14:paraId="23CD317D" w14:textId="77777777" w:rsidR="00B71823" w:rsidRPr="00B71823" w:rsidRDefault="00B71823" w:rsidP="00B71823">
      <w:pPr>
        <w:spacing w:after="0" w:line="240" w:lineRule="auto"/>
        <w:rPr>
          <w:iCs/>
          <w:szCs w:val="24"/>
          <w:rFonts w:ascii="Times New Roman" w:eastAsia="Times New Roman" w:hAnsi="Times New Roman" w:cs="Times New Roman"/>
        </w:rPr>
      </w:pPr>
      <w:r>
        <w:rPr>
          <w:rFonts w:ascii="Times New Roman" w:hAnsi="Times New Roman"/>
        </w:rPr>
        <w:t xml:space="preserve">(b) sistem extern de radiodifuziune (emițător audio) care să anunțe ce autobuz ajunge în stație.</w:t>
      </w:r>
    </w:p>
    <w:p w14:paraId="11F046C1" w14:textId="77777777" w:rsidR="00B71823" w:rsidRPr="00B71823" w:rsidRDefault="00B71823" w:rsidP="00B71823">
      <w:pPr>
        <w:spacing w:after="0" w:line="240" w:lineRule="auto"/>
        <w:rPr>
          <w:iCs/>
          <w:szCs w:val="24"/>
          <w:rFonts w:ascii="Times New Roman" w:eastAsia="Times New Roman" w:hAnsi="Times New Roman" w:cs="Times New Roman"/>
        </w:rPr>
      </w:pPr>
      <w:r>
        <w:rPr>
          <w:rFonts w:ascii="Times New Roman" w:hAnsi="Times New Roman"/>
        </w:rPr>
        <w:t xml:space="preserve">Alegerea dispozitivului de îmbarcare trebuie să se bazeze pe structura autobuzului.</w:t>
      </w:r>
      <w:r>
        <w:rPr>
          <w:rFonts w:ascii="Times New Roman" w:hAnsi="Times New Roman"/>
        </w:rPr>
        <w:t xml:space="preserve"> </w:t>
      </w:r>
      <w:r>
        <w:rPr>
          <w:rFonts w:ascii="Times New Roman" w:hAnsi="Times New Roman"/>
        </w:rPr>
        <w:t xml:space="preserve">Fiecare autobuz trebuie să aibă cel puțin un spațiu pentru fotolii rulante.</w:t>
      </w:r>
    </w:p>
    <w:p w14:paraId="49D71262" w14:textId="1A440A1A" w:rsidR="00B71823" w:rsidRDefault="00B71823" w:rsidP="00B71823">
      <w:pPr>
        <w:spacing w:after="0" w:line="240" w:lineRule="auto"/>
        <w:rPr>
          <w:iCs/>
          <w:szCs w:val="24"/>
          <w:rFonts w:ascii="Times New Roman" w:eastAsia="Times New Roman" w:hAnsi="Times New Roman" w:cs="Times New Roman"/>
        </w:rPr>
      </w:pPr>
      <w:r>
        <w:rPr>
          <w:rFonts w:ascii="Times New Roman" w:hAnsi="Times New Roman"/>
        </w:rPr>
        <w:t xml:space="preserve">Autobuzele din clasa II trebuie să aibă centuri de siguranță care îndeplinesc cerințele Regulamentului nr. 16-06 al CEE-ONU.</w:t>
      </w:r>
      <w:r>
        <w:rPr>
          <w:rFonts w:ascii="Times New Roman" w:hAnsi="Times New Roman"/>
        </w:rPr>
        <w:t xml:space="preserve"> </w:t>
      </w:r>
      <w:r>
        <w:rPr>
          <w:rFonts w:ascii="Times New Roman" w:hAnsi="Times New Roman"/>
        </w:rPr>
        <w:t xml:space="preserve">Punctele de fixare a centurilor de siguranță trebuie să îndeplinească cerințele Regulamentului nr. 14-07 al CEE-ONU.</w:t>
      </w:r>
    </w:p>
    <w:p w14:paraId="3F4443B0" w14:textId="77777777" w:rsidR="006007DD" w:rsidRPr="00B71823" w:rsidRDefault="006007DD" w:rsidP="00B71823">
      <w:pPr>
        <w:spacing w:after="0" w:line="240" w:lineRule="auto"/>
        <w:rPr>
          <w:rFonts w:ascii="Times New Roman" w:eastAsia="Times New Roman" w:hAnsi="Times New Roman" w:cs="Times New Roman"/>
          <w:iCs/>
          <w:szCs w:val="24"/>
          <w:lang w:val="en-GB"/>
        </w:rPr>
      </w:pPr>
    </w:p>
    <w:p w14:paraId="5AE92340" w14:textId="77777777" w:rsidR="00B71823" w:rsidRPr="00B71823" w:rsidRDefault="00B71823" w:rsidP="00B71823">
      <w:pPr>
        <w:spacing w:after="0" w:line="240" w:lineRule="auto"/>
        <w:rPr>
          <w:iCs/>
          <w:color w:val="C00000"/>
          <w:szCs w:val="24"/>
          <w:rFonts w:ascii="Times New Roman" w:eastAsia="Times New Roman" w:hAnsi="Times New Roman" w:cs="Times New Roman"/>
        </w:rPr>
      </w:pPr>
      <w:r>
        <w:rPr>
          <w:color w:val="C00000"/>
          <w:rFonts w:ascii="Times New Roman" w:hAnsi="Times New Roman"/>
        </w:rPr>
        <w:t xml:space="preserve">De la 1 ianuarie 2023, autobuzele din clasele I, II și III trebuie să îndeplinească cerințele privind protecția frontală descrise la articolul 5 din Regulamentul nr. 29 al CEE-ONU, atunci când încercarea de coliziune a fost efectuată în conformitate cu anexa 3, încercarea A, unde valoarea impactului elementului de lovire trebuie să fie în conformitate cu punctul 5.5.2.</w:t>
      </w:r>
    </w:p>
    <w:p w14:paraId="3CFA2C6F" w14:textId="77777777" w:rsidR="00B71823" w:rsidRPr="00B71823" w:rsidRDefault="00B71823" w:rsidP="00B71823">
      <w:pPr>
        <w:spacing w:after="0" w:line="240" w:lineRule="auto"/>
        <w:rPr>
          <w:rFonts w:ascii="Times New Roman" w:eastAsia="Times New Roman" w:hAnsi="Times New Roman" w:cs="Times New Roman"/>
          <w:szCs w:val="24"/>
          <w:lang w:val="en-GB"/>
        </w:rPr>
      </w:pPr>
    </w:p>
    <w:p w14:paraId="043D292A"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3960E229"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Articolul 5.</w:t>
      </w:r>
      <w:r>
        <w:rPr>
          <w:rFonts w:ascii="Times New Roman" w:hAnsi="Times New Roman"/>
        </w:rPr>
        <w:t xml:space="preserve"> </w:t>
      </w:r>
      <w:r>
        <w:rPr>
          <w:rFonts w:ascii="Times New Roman" w:hAnsi="Times New Roman"/>
        </w:rPr>
        <w:t xml:space="preserve">(Abrogat)</w:t>
      </w:r>
    </w:p>
    <w:p w14:paraId="748677C7" w14:textId="7572CA36" w:rsidR="002D1522" w:rsidRDefault="002D1522" w:rsidP="002D1522">
      <w:pPr>
        <w:spacing w:after="0" w:line="240" w:lineRule="auto"/>
        <w:rPr>
          <w:rFonts w:ascii="Times New Roman" w:eastAsia="Times New Roman" w:hAnsi="Times New Roman" w:cs="Times New Roman"/>
          <w:szCs w:val="24"/>
          <w:lang w:val="en-GB"/>
        </w:rPr>
      </w:pPr>
    </w:p>
    <w:p w14:paraId="4FC47300" w14:textId="77777777" w:rsidR="00106164" w:rsidRPr="002D1522" w:rsidRDefault="00106164" w:rsidP="002D1522">
      <w:pPr>
        <w:spacing w:after="0" w:line="240" w:lineRule="auto"/>
        <w:rPr>
          <w:rFonts w:ascii="Times New Roman" w:eastAsia="Times New Roman" w:hAnsi="Times New Roman" w:cs="Times New Roman"/>
          <w:szCs w:val="24"/>
          <w:lang w:val="en-GB"/>
        </w:rPr>
      </w:pPr>
    </w:p>
    <w:p w14:paraId="65ADFA03"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Articolul 6.</w:t>
      </w:r>
      <w:r>
        <w:rPr>
          <w:b/>
          <w:rFonts w:ascii="Times New Roman" w:hAnsi="Times New Roman"/>
        </w:rPr>
        <w:t xml:space="preserve"> </w:t>
      </w:r>
      <w:r>
        <w:rPr>
          <w:b/>
          <w:i/>
          <w:rFonts w:ascii="Times New Roman" w:hAnsi="Times New Roman"/>
        </w:rPr>
        <w:t xml:space="preserve">Cerințe aplicabile autoturismelor</w:t>
      </w:r>
    </w:p>
    <w:p w14:paraId="5E5D3482"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Autovehiculele trebuie să îndeplinească cerințele din anexa XI apendicele 3 „Vehicule accesibile scaunelor rulante” din Directiva </w:t>
      </w:r>
      <w:hyperlink r:id="rId7" w:anchor="reference/eu/32007l0046" w:history="1">
        <w:r>
          <w:rPr>
            <w:rFonts w:ascii="Times New Roman" w:hAnsi="Times New Roman"/>
          </w:rPr>
          <w:t xml:space="preserve">2007/46/CE</w:t>
        </w:r>
      </w:hyperlink>
      <w:r>
        <w:rPr>
          <w:rFonts w:ascii="Times New Roman" w:hAnsi="Times New Roman"/>
        </w:rPr>
        <w:t xml:space="preserve">.</w:t>
      </w:r>
      <w:r>
        <w:rPr>
          <w:rFonts w:ascii="Times New Roman" w:hAnsi="Times New Roman"/>
        </w:rPr>
        <w:t xml:space="preserve"> </w:t>
      </w:r>
      <w:r>
        <w:rPr>
          <w:rFonts w:ascii="Times New Roman" w:hAnsi="Times New Roman"/>
        </w:rPr>
        <w:t xml:space="preserve">În plus, se aplică următoarele:</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A2D00A5" w14:textId="77777777" w:rsidTr="00831C6F">
        <w:tc>
          <w:tcPr>
            <w:tcW w:w="360" w:type="dxa"/>
            <w:noWrap/>
            <w:tcMar>
              <w:right w:w="80" w:type="dxa"/>
            </w:tcMar>
          </w:tcPr>
          <w:p w14:paraId="38B43CE3"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(a)</w:t>
            </w:r>
          </w:p>
        </w:tc>
        <w:tc>
          <w:tcPr>
            <w:tcW w:w="9506" w:type="dxa"/>
            <w:noWrap/>
            <w:tcMar>
              <w:right w:w="80" w:type="dxa"/>
            </w:tcMar>
          </w:tcPr>
          <w:p w14:paraId="7590AC40" w14:textId="77777777" w:rsidR="002D1522" w:rsidRPr="002D1522" w:rsidRDefault="002D1522" w:rsidP="002D1522">
            <w:pPr>
              <w:spacing w:after="0" w:line="240" w:lineRule="auto"/>
              <w:rPr>
                <w:szCs w:val="24"/>
                <w:rFonts w:ascii="Times New Roman" w:eastAsia="Times New Roman" w:hAnsi="Times New Roman" w:cs="Times New Roman"/>
              </w:rPr>
            </w:pPr>
            <w:r>
              <w:rPr>
                <w:rFonts w:ascii="Times New Roman" w:hAnsi="Times New Roman"/>
              </w:rPr>
              <w:t xml:space="preserve">Spațiile pentru fotolii rulante trebuie să fie în conformitate cu punctul 3.6.1. din anexa 8 la Regulamentul nr. 107-05 al CEE-ONU.</w:t>
            </w:r>
          </w:p>
        </w:tc>
      </w:tr>
    </w:tbl>
    <w:p w14:paraId="3B7E9B46"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5AC1B2C9" w14:textId="77777777" w:rsidTr="00831C6F">
        <w:tc>
          <w:tcPr>
            <w:tcW w:w="360" w:type="dxa"/>
            <w:noWrap/>
            <w:tcMar>
              <w:right w:w="80" w:type="dxa"/>
            </w:tcMar>
          </w:tcPr>
          <w:p w14:paraId="0317A466"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(b)</w:t>
            </w:r>
          </w:p>
        </w:tc>
        <w:tc>
          <w:tcPr>
            <w:tcW w:w="9506" w:type="dxa"/>
            <w:noWrap/>
            <w:tcMar>
              <w:right w:w="80" w:type="dxa"/>
            </w:tcMar>
          </w:tcPr>
          <w:p w14:paraId="3D0A99F9" w14:textId="77777777" w:rsidR="002D1522" w:rsidRPr="002D1522" w:rsidRDefault="002D1522" w:rsidP="002D1522">
            <w:pPr>
              <w:spacing w:after="0" w:line="240" w:lineRule="auto"/>
              <w:rPr>
                <w:szCs w:val="24"/>
                <w:rFonts w:ascii="Times New Roman" w:eastAsia="Times New Roman" w:hAnsi="Times New Roman" w:cs="Times New Roman"/>
              </w:rPr>
            </w:pPr>
            <w:r>
              <w:rPr>
                <w:rFonts w:ascii="Times New Roman" w:hAnsi="Times New Roman"/>
              </w:rPr>
              <w:t xml:space="preserve">Scaunele din zona fotoliului rulant trebuie să fie în conformitate cu punctul 3.7 din anexa 8 la Regulamentul nr. 107-05 al CEE-ONU.</w:t>
            </w:r>
          </w:p>
        </w:tc>
      </w:tr>
    </w:tbl>
    <w:p w14:paraId="53F4A4E1"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7D90BF5E" w14:textId="77777777" w:rsidTr="00831C6F">
        <w:tc>
          <w:tcPr>
            <w:tcW w:w="360" w:type="dxa"/>
            <w:noWrap/>
            <w:tcMar>
              <w:right w:w="80" w:type="dxa"/>
            </w:tcMar>
          </w:tcPr>
          <w:p w14:paraId="6B664019"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(c)</w:t>
            </w:r>
          </w:p>
        </w:tc>
        <w:tc>
          <w:tcPr>
            <w:tcW w:w="9506" w:type="dxa"/>
            <w:noWrap/>
            <w:tcMar>
              <w:right w:w="80" w:type="dxa"/>
            </w:tcMar>
          </w:tcPr>
          <w:p w14:paraId="4CB602A8" w14:textId="77777777" w:rsidR="002D1522" w:rsidRPr="002D1522" w:rsidRDefault="002D1522" w:rsidP="002D1522">
            <w:pPr>
              <w:spacing w:after="0" w:line="240" w:lineRule="auto"/>
              <w:rPr>
                <w:szCs w:val="24"/>
                <w:rFonts w:ascii="Times New Roman" w:eastAsia="Times New Roman" w:hAnsi="Times New Roman" w:cs="Times New Roman"/>
              </w:rPr>
            </w:pPr>
            <w:r>
              <w:rPr>
                <w:rFonts w:ascii="Times New Roman" w:hAnsi="Times New Roman"/>
              </w:rPr>
              <w:t xml:space="preserve">Iluminarea trebuie să fie în conformitate cu punctul 7.6.12. din anexa 3 la Regulamentul nr. 107-05 al CEE-ONU.</w:t>
            </w:r>
          </w:p>
        </w:tc>
      </w:tr>
    </w:tbl>
    <w:p w14:paraId="350A7F45"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2C777E4F" w14:textId="77777777" w:rsidTr="00831C6F">
        <w:tc>
          <w:tcPr>
            <w:tcW w:w="360" w:type="dxa"/>
            <w:noWrap/>
            <w:tcMar>
              <w:right w:w="80" w:type="dxa"/>
            </w:tcMar>
          </w:tcPr>
          <w:p w14:paraId="6EC1594C"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(d)</w:t>
            </w:r>
          </w:p>
        </w:tc>
        <w:tc>
          <w:tcPr>
            <w:tcW w:w="9506" w:type="dxa"/>
            <w:noWrap/>
            <w:tcMar>
              <w:right w:w="80" w:type="dxa"/>
            </w:tcMar>
          </w:tcPr>
          <w:p w14:paraId="0A8BB3A5" w14:textId="77777777" w:rsidR="002D1522" w:rsidRPr="002D1522" w:rsidRDefault="002D1522" w:rsidP="002D1522">
            <w:pPr>
              <w:spacing w:after="0" w:line="240" w:lineRule="auto"/>
              <w:rPr>
                <w:szCs w:val="24"/>
                <w:rFonts w:ascii="Times New Roman" w:eastAsia="Times New Roman" w:hAnsi="Times New Roman" w:cs="Times New Roman"/>
              </w:rPr>
            </w:pPr>
            <w:r>
              <w:rPr>
                <w:rFonts w:ascii="Times New Roman" w:hAnsi="Times New Roman"/>
              </w:rPr>
              <w:t xml:space="preserve">Ascensoarele, rampele și articolele similare trebuie să fie în conformitate cu anexa 8 punctul 3.11. la Regulamentul nr. 107-05 al CEE-ONU.</w:t>
            </w:r>
          </w:p>
        </w:tc>
      </w:tr>
    </w:tbl>
    <w:p w14:paraId="7F356D7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338353A2" w14:textId="77777777" w:rsidTr="00831C6F">
        <w:tc>
          <w:tcPr>
            <w:tcW w:w="360" w:type="dxa"/>
            <w:noWrap/>
            <w:tcMar>
              <w:right w:w="80" w:type="dxa"/>
            </w:tcMar>
          </w:tcPr>
          <w:p w14:paraId="3FB58D74"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(e)</w:t>
            </w:r>
          </w:p>
        </w:tc>
        <w:tc>
          <w:tcPr>
            <w:tcW w:w="9506" w:type="dxa"/>
            <w:noWrap/>
            <w:tcMar>
              <w:right w:w="80" w:type="dxa"/>
            </w:tcMar>
          </w:tcPr>
          <w:p w14:paraId="33007488" w14:textId="77777777" w:rsidR="002D1522" w:rsidRPr="002D1522" w:rsidRDefault="002D1522" w:rsidP="002D1522">
            <w:pPr>
              <w:spacing w:after="0" w:line="240" w:lineRule="auto"/>
              <w:rPr>
                <w:szCs w:val="24"/>
                <w:rFonts w:ascii="Times New Roman" w:eastAsia="Times New Roman" w:hAnsi="Times New Roman" w:cs="Times New Roman"/>
              </w:rPr>
            </w:pPr>
            <w:r>
              <w:rPr>
                <w:rFonts w:ascii="Times New Roman" w:hAnsi="Times New Roman"/>
              </w:rPr>
              <w:t xml:space="preserve">Spațiul pentru stingătoarele de incendiu și echipamentele de prim ajutor trebuie prevăzut în conformitate cu punctul 7.5.4. din anexa 3 la Regulamentul nr. 107-05 al CEE-ONU.</w:t>
            </w:r>
          </w:p>
        </w:tc>
      </w:tr>
    </w:tbl>
    <w:p w14:paraId="502C399A"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75E503EF" w14:textId="77777777" w:rsidTr="00831C6F">
        <w:tc>
          <w:tcPr>
            <w:tcW w:w="360" w:type="dxa"/>
            <w:noWrap/>
            <w:tcMar>
              <w:right w:w="80" w:type="dxa"/>
            </w:tcMar>
          </w:tcPr>
          <w:p w14:paraId="4BAABB49" w14:textId="77777777" w:rsidR="002D1522" w:rsidRPr="002D1522" w:rsidRDefault="002D1522" w:rsidP="002D1522">
            <w:pPr>
              <w:spacing w:after="0" w:line="240" w:lineRule="auto"/>
              <w:jc w:val="right"/>
              <w:rPr>
                <w:szCs w:val="24"/>
                <w:rFonts w:ascii="Times New Roman" w:eastAsia="Times New Roman" w:hAnsi="Times New Roman" w:cs="Times New Roman"/>
              </w:rPr>
            </w:pPr>
            <w:r>
              <w:rPr>
                <w:rFonts w:ascii="Times New Roman" w:hAnsi="Times New Roman"/>
              </w:rPr>
              <w:t xml:space="preserve">(f)</w:t>
            </w:r>
          </w:p>
        </w:tc>
        <w:tc>
          <w:tcPr>
            <w:tcW w:w="9506" w:type="dxa"/>
            <w:noWrap/>
            <w:tcMar>
              <w:right w:w="80" w:type="dxa"/>
            </w:tcMar>
          </w:tcPr>
          <w:p w14:paraId="6FDFC066" w14:textId="77777777" w:rsidR="002D1522" w:rsidRPr="002D1522" w:rsidRDefault="002D1522" w:rsidP="002D1522">
            <w:pPr>
              <w:spacing w:after="0" w:line="240" w:lineRule="auto"/>
              <w:rPr>
                <w:szCs w:val="24"/>
                <w:rFonts w:ascii="Times New Roman" w:eastAsia="Times New Roman" w:hAnsi="Times New Roman" w:cs="Times New Roman"/>
              </w:rPr>
            </w:pPr>
            <w:r>
              <w:rPr>
                <w:rFonts w:ascii="Times New Roman" w:hAnsi="Times New Roman"/>
              </w:rPr>
              <w:t xml:space="preserve">Luminile de lucru trebuie să fie în conformitate cu punctul 28-5 (8) din regulamentele referitoare la cerințele tehnice și omologarea vehiculelor.</w:t>
            </w:r>
            <w:r>
              <w:rPr>
                <w:rFonts w:ascii="Times New Roman" w:hAnsi="Times New Roman"/>
              </w:rPr>
              <w:t xml:space="preserve"> </w:t>
            </w:r>
          </w:p>
        </w:tc>
      </w:tr>
    </w:tbl>
    <w:p w14:paraId="6DD4E3D4"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62209B70"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17F7FA25"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Articolul 7.</w:t>
      </w:r>
      <w:r>
        <w:rPr>
          <w:b/>
          <w:rFonts w:ascii="Times New Roman" w:hAnsi="Times New Roman"/>
        </w:rPr>
        <w:t xml:space="preserve"> </w:t>
      </w:r>
      <w:r>
        <w:rPr>
          <w:b/>
          <w:i/>
          <w:rFonts w:ascii="Times New Roman" w:hAnsi="Times New Roman"/>
        </w:rPr>
        <w:t xml:space="preserve">Punere în aplicare</w:t>
      </w:r>
    </w:p>
    <w:p w14:paraId="1F442AD8"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Autobuzele care intră sub incidența prezentelor reglementări trebuie să respecte în orice moment cerințele prevăzute la articolul 4 atunci când efectuează transporturi autorizate, a se vedea totuși articolul 8.</w:t>
      </w:r>
    </w:p>
    <w:p w14:paraId="152C6C4D"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Autoturismele care intră sub incidența prezentelor reglementări trebuie să respecte în orice moment cerințele prevăzute la articolul 6 atunci când efectuează transporturi autorizate, a se vedea totuși articolul 8.</w:t>
      </w:r>
    </w:p>
    <w:p w14:paraId="6443728E"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Administrația Norvegiană a Drumurilor Publice și poliția efectuează inspecții pentru a asigura respectarea prezentelor reglementări.</w:t>
      </w:r>
      <w:r>
        <w:rPr>
          <w:rFonts w:ascii="Times New Roman" w:hAnsi="Times New Roman"/>
        </w:rPr>
        <w:t xml:space="preserve"> </w:t>
      </w:r>
      <w:r>
        <w:rPr>
          <w:rFonts w:ascii="Times New Roman" w:hAnsi="Times New Roman"/>
        </w:rPr>
        <w:t xml:space="preserve">În cazul unor echipamente sau utilizări inadecvate ale materialelor care nu îndeplinesc cerințele regulamentelor sau care funcționează în mod corespunzător, articolele 40 și 41 din Legea privind transportul profesional se aplică în mod corespunzător.</w:t>
      </w:r>
    </w:p>
    <w:p w14:paraId="0A8E8E5A" w14:textId="77777777" w:rsidR="002D1522" w:rsidRPr="002D1522" w:rsidRDefault="002D1522" w:rsidP="002D1522">
      <w:pPr>
        <w:spacing w:before="120" w:after="0" w:line="240" w:lineRule="auto"/>
        <w:rPr>
          <w:rFonts w:ascii="Times New Roman" w:eastAsia="Times New Roman" w:hAnsi="Times New Roman" w:cs="Times New Roman"/>
          <w:szCs w:val="24"/>
          <w:lang w:val="en-GB"/>
        </w:rPr>
      </w:pPr>
    </w:p>
    <w:p w14:paraId="50BCA031"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Articolul 8.</w:t>
      </w:r>
      <w:r>
        <w:rPr>
          <w:b/>
          <w:rFonts w:ascii="Times New Roman" w:hAnsi="Times New Roman"/>
        </w:rPr>
        <w:t xml:space="preserve"> </w:t>
      </w:r>
      <w:r>
        <w:rPr>
          <w:b/>
          <w:i/>
          <w:rFonts w:ascii="Times New Roman" w:hAnsi="Times New Roman"/>
        </w:rPr>
        <w:t xml:space="preserve">Derogări</w:t>
      </w:r>
    </w:p>
    <w:p w14:paraId="776DCD13" w14:textId="631381A1" w:rsidR="002D1522" w:rsidRPr="002D1522" w:rsidRDefault="002D1522" w:rsidP="00106164">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Pentru vehiculele care intră sub incidența prezentelor reglementări, Administrația Norvegiană a Drumurilor Publice poate, în cazuri individuale, să acorde o derogare de la una sau mai multe dintre cerințele prevăzute la articolele 4 și 6.</w:t>
      </w:r>
      <w:r>
        <w:rPr>
          <w:rFonts w:ascii="Times New Roman" w:hAnsi="Times New Roman"/>
        </w:rPr>
        <w:t xml:space="preserve"> </w:t>
      </w:r>
      <w:r>
        <w:rPr>
          <w:rFonts w:ascii="Times New Roman" w:hAnsi="Times New Roman"/>
        </w:rPr>
        <w:t xml:space="preserve">Nu se poate deroga de la cerințele privind dispozitivele de asistență la urcare, sistemele de reținere (mecanisme de cuplare) pentru fotolii rulante, centuri de siguranță, echipamente de stingere a incendiilor, echipamente de prim ajutor și lumini de lucru.</w:t>
      </w:r>
      <w:r>
        <w:rPr>
          <w:rFonts w:ascii="Times New Roman" w:hAnsi="Times New Roman"/>
        </w:rPr>
        <w:t xml:space="preserve"> </w:t>
      </w:r>
      <w:r>
        <w:rPr>
          <w:rFonts w:ascii="Times New Roman" w:hAnsi="Times New Roman"/>
        </w:rPr>
        <w:t xml:space="preserve">În ceea ce privește cerințele prevăzute la articolul 4 al doilea paragraf, autoritatea care acordă licențele poate acorda, de asemenea, derogări.</w:t>
      </w:r>
    </w:p>
    <w:p w14:paraId="4A61466A"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10D73BBC" w14:textId="77777777" w:rsidR="002D1522" w:rsidRPr="002D1522" w:rsidRDefault="002D1522" w:rsidP="002D1522">
      <w:pPr>
        <w:spacing w:after="0" w:line="240" w:lineRule="auto"/>
        <w:rPr>
          <w:b/>
          <w:szCs w:val="24"/>
          <w:rFonts w:ascii="Times New Roman" w:eastAsia="Times New Roman" w:hAnsi="Times New Roman" w:cs="Times New Roman"/>
        </w:rPr>
      </w:pPr>
      <w:r>
        <w:rPr>
          <w:b/>
          <w:rFonts w:ascii="Times New Roman" w:hAnsi="Times New Roman"/>
        </w:rPr>
        <w:t xml:space="preserve">Articolul 9.</w:t>
      </w:r>
      <w:r>
        <w:rPr>
          <w:b/>
          <w:rFonts w:ascii="Times New Roman" w:hAnsi="Times New Roman"/>
        </w:rPr>
        <w:t xml:space="preserve"> </w:t>
      </w:r>
      <w:r>
        <w:rPr>
          <w:b/>
          <w:i/>
          <w:rFonts w:ascii="Times New Roman" w:hAnsi="Times New Roman"/>
        </w:rPr>
        <w:t xml:space="preserve">Intrare în vigoare și dispoziții tranzitorii</w:t>
      </w:r>
    </w:p>
    <w:p w14:paraId="2C1B4C00"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Prezentele reglementări intră în vigoare la 1 ianuarie 2010.</w:t>
      </w:r>
    </w:p>
    <w:p w14:paraId="2E3F7863"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Acordurile privind achiziționarea de mijloace de transport noi încheiate după 1 ianuarie 2010 respectă cerințele prezentelor reglementări.</w:t>
      </w:r>
      <w:r>
        <w:rPr>
          <w:rFonts w:ascii="Times New Roman" w:hAnsi="Times New Roman"/>
        </w:rPr>
        <w:t xml:space="preserve"> </w:t>
      </w:r>
      <w:r>
        <w:rPr>
          <w:rFonts w:ascii="Times New Roman" w:hAnsi="Times New Roman"/>
        </w:rPr>
        <w:t xml:space="preserve">Mijloacele de transport care au fost aprobate anterior și care sunt transformate sau modificate pot fi aprobate în conformitate cu articolul 3.</w:t>
      </w:r>
    </w:p>
    <w:p w14:paraId="53FA4661"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Vehicule omologate în temeiul Regulamentului nr. 599 din 4 ianuarie 1984 privind transportul autorizat al persoanelor cu handicap – cerințele tehnice ale vehiculului, vor fi considerate în continuare aprobate pentru transportul autorizat al persoanelor cu handicap.</w:t>
      </w:r>
      <w:hyperlink r:id="rId8" w:anchor="referință/forskrift/04.01.1984-599" w:history="1">
        <w:r>
          <w:rPr>
            <w:rFonts w:ascii="Times New Roman" w:hAnsi="Times New Roman"/>
          </w:rPr>
          <w:t xml:space="preserve"> </w:t>
        </w:r>
      </w:hyperlink>
    </w:p>
    <w:p w14:paraId="436ADDF7" w14:textId="77777777" w:rsidR="002D1522" w:rsidRPr="002D1522" w:rsidRDefault="002D1522" w:rsidP="002D1522">
      <w:pPr>
        <w:spacing w:before="120" w:after="0" w:line="240" w:lineRule="auto"/>
        <w:ind w:firstLine="180"/>
        <w:rPr>
          <w:szCs w:val="24"/>
          <w:rFonts w:ascii="Times New Roman" w:eastAsia="Times New Roman" w:hAnsi="Times New Roman" w:cs="Times New Roman"/>
        </w:rPr>
      </w:pPr>
      <w:r>
        <w:rPr>
          <w:rFonts w:ascii="Times New Roman" w:hAnsi="Times New Roman"/>
        </w:rPr>
        <w:t xml:space="preserve">Regulamentul nr. 599 din 4 ianuarie 1984 privind transportul autorizat al persoanelor cu handicap – cerințele tehnice pentru vehicule se abrogă de la 1 ianuarie 2010.</w:t>
      </w:r>
      <w:hyperlink r:id="rId9" w:anchor="referință/forskrift/04.01.1984-599" w:history="1">
        <w:r>
          <w:rPr>
            <w:rFonts w:ascii="Times New Roman" w:hAnsi="Times New Roman"/>
          </w:rPr>
          <w:t xml:space="preserve"> </w:t>
        </w:r>
      </w:hyperlink>
    </w:p>
    <w:p w14:paraId="4A09D46B" w14:textId="77777777" w:rsidR="009970F3" w:rsidRPr="009970F3" w:rsidRDefault="009970F3">
      <w:pPr>
        <w:rPr>
          <w:lang w:val="en-GB"/>
        </w:rPr>
      </w:pPr>
    </w:p>
    <w:sectPr w:rsidR="009970F3" w:rsidRPr="009970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7F23" w14:textId="77777777" w:rsidR="00DE24C8" w:rsidRDefault="00DE24C8" w:rsidP="009970F3">
      <w:pPr>
        <w:spacing w:after="0" w:line="240" w:lineRule="auto"/>
      </w:pPr>
      <w:r>
        <w:separator/>
      </w:r>
    </w:p>
  </w:endnote>
  <w:endnote w:type="continuationSeparator" w:id="0">
    <w:p w14:paraId="13AA7154" w14:textId="77777777" w:rsidR="00DE24C8" w:rsidRDefault="00DE24C8" w:rsidP="0099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3F2D" w14:textId="77777777" w:rsidR="00DE24C8" w:rsidRDefault="00DE24C8" w:rsidP="009970F3">
      <w:pPr>
        <w:spacing w:after="0" w:line="240" w:lineRule="auto"/>
      </w:pPr>
      <w:r>
        <w:separator/>
      </w:r>
    </w:p>
  </w:footnote>
  <w:footnote w:type="continuationSeparator" w:id="0">
    <w:p w14:paraId="305FB64E" w14:textId="77777777" w:rsidR="00DE24C8" w:rsidRDefault="00DE24C8" w:rsidP="00997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F3"/>
    <w:rsid w:val="00106164"/>
    <w:rsid w:val="0011337F"/>
    <w:rsid w:val="002D1522"/>
    <w:rsid w:val="0054005C"/>
    <w:rsid w:val="006007DD"/>
    <w:rsid w:val="00711279"/>
    <w:rsid w:val="009970F3"/>
    <w:rsid w:val="00B71823"/>
    <w:rsid w:val="00DE24C8"/>
    <w:rsid w:val="00E81585"/>
    <w:rsid w:val="00F40E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808B"/>
  <w15:chartTrackingRefBased/>
  <w15:docId w15:val="{6DCD1777-89CE-486A-9668-0DCDA90B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lovdata.no/pro" TargetMode="External"/><Relationship Id="rId3" Type="http://schemas.openxmlformats.org/officeDocument/2006/relationships/webSettings" Target="webSettings.xml"/><Relationship Id="rId7" Type="http://schemas.openxmlformats.org/officeDocument/2006/relationships/hyperlink" Target="https://lovdata.no/p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vdata.no/p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vdata.no/pr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Birgitte Berg-Halsen</dc:creator>
  <cp:keywords/>
  <dc:description/>
  <cp:lastModifiedBy>Liana Brili</cp:lastModifiedBy>
  <cp:revision>10</cp:revision>
  <dcterms:created xsi:type="dcterms:W3CDTF">2022-02-09T09:31:00Z</dcterms:created>
  <dcterms:modified xsi:type="dcterms:W3CDTF">2022-02-14T13:22:00Z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bf486-f09d-4a86-8810-b4add863c98a_Enabled">
    <vt:lpwstr>true</vt:lpwstr>
  </property>
  <property fmtid="{D5CDD505-2E9C-101B-9397-08002B2CF9AE}" pid="3" name="MSIP_Label_e5fbf486-f09d-4a86-8810-b4add863c98a_SetDate">
    <vt:lpwstr>2022-02-09T09:38:56Z</vt:lpwstr>
  </property>
  <property fmtid="{D5CDD505-2E9C-101B-9397-08002B2CF9AE}" pid="4" name="MSIP_Label_e5fbf486-f09d-4a86-8810-b4add863c98a_Method">
    <vt:lpwstr>Privileged</vt:lpwstr>
  </property>
  <property fmtid="{D5CDD505-2E9C-101B-9397-08002B2CF9AE}" pid="5" name="MSIP_Label_e5fbf486-f09d-4a86-8810-b4add863c98a_Name">
    <vt:lpwstr>Public</vt:lpwstr>
  </property>
  <property fmtid="{D5CDD505-2E9C-101B-9397-08002B2CF9AE}" pid="6" name="MSIP_Label_e5fbf486-f09d-4a86-8810-b4add863c98a_SiteId">
    <vt:lpwstr>38856954-ed55-49f7-8bdd-738ffbbfd390</vt:lpwstr>
  </property>
  <property fmtid="{D5CDD505-2E9C-101B-9397-08002B2CF9AE}" pid="7" name="MSIP_Label_e5fbf486-f09d-4a86-8810-b4add863c98a_ActionId">
    <vt:lpwstr>8d9469b0-ffc8-46d3-90f2-ca585e825876</vt:lpwstr>
  </property>
  <property fmtid="{D5CDD505-2E9C-101B-9397-08002B2CF9AE}" pid="8" name="MSIP_Label_e5fbf486-f09d-4a86-8810-b4add863c98a_ContentBits">
    <vt:lpwstr>0</vt:lpwstr>
  </property>
</Properties>
</file>