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4E98F" w14:textId="730BB34C" w:rsidR="004D73A6" w:rsidRPr="00FC6820" w:rsidRDefault="004D73A6" w:rsidP="004D73A6">
      <w:pPr>
        <w:ind w:right="-755"/>
        <w:jc w:val="left"/>
        <w:rPr>
          <w:rFonts w:ascii="Courier New" w:hAnsi="Courier New"/>
          <w:sz w:val="20"/>
        </w:rPr>
      </w:pPr>
      <w:r w:rsidRPr="00FC6820">
        <w:rPr>
          <w:rFonts w:ascii="Courier New" w:hAnsi="Courier New"/>
          <w:sz w:val="20"/>
        </w:rPr>
        <w:t>1. ------IND- 2021 0045 D-- IT- ------ 20210210 --- --- PROJET</w:t>
      </w:r>
    </w:p>
    <w:p w14:paraId="2A1D7EB4" w14:textId="77777777" w:rsidR="00A1618A" w:rsidRPr="00FC6820" w:rsidRDefault="00A1618A" w:rsidP="00E5776A">
      <w:pPr>
        <w:spacing w:after="240" w:line="360" w:lineRule="auto"/>
        <w:rPr>
          <w:rFonts w:ascii="Arial" w:hAnsi="Arial" w:cs="Arial"/>
          <w:spacing w:val="-4"/>
          <w:sz w:val="26"/>
          <w:szCs w:val="26"/>
        </w:rPr>
      </w:pPr>
      <w:r w:rsidRPr="00FC6820">
        <w:rPr>
          <w:rFonts w:ascii="Arial" w:hAnsi="Arial"/>
          <w:spacing w:val="-4"/>
          <w:sz w:val="26"/>
        </w:rPr>
        <w:t>Ministero federale della Giustizia e per la protezione dei consumatori</w:t>
      </w:r>
    </w:p>
    <w:p w14:paraId="4892787C" w14:textId="77777777" w:rsidR="00A1618A" w:rsidRPr="00FC6820" w:rsidRDefault="00A1618A" w:rsidP="00E5776A">
      <w:pPr>
        <w:spacing w:after="360" w:line="360" w:lineRule="auto"/>
        <w:jc w:val="center"/>
        <w:rPr>
          <w:rFonts w:ascii="Arial Fett" w:hAnsi="Arial Fett" w:cs="Arial"/>
          <w:b/>
          <w:spacing w:val="-4"/>
          <w:sz w:val="30"/>
          <w:szCs w:val="30"/>
        </w:rPr>
      </w:pPr>
      <w:r w:rsidRPr="00FC6820">
        <w:rPr>
          <w:rFonts w:ascii="Arial Fett" w:hAnsi="Arial Fett"/>
          <w:b/>
          <w:spacing w:val="-4"/>
          <w:sz w:val="30"/>
        </w:rPr>
        <w:t>Proposta di modifica</w:t>
      </w:r>
    </w:p>
    <w:p w14:paraId="3625169F" w14:textId="77777777" w:rsidR="00A1618A" w:rsidRPr="00FC6820" w:rsidRDefault="00A1618A" w:rsidP="00E5776A">
      <w:pPr>
        <w:spacing w:line="360" w:lineRule="auto"/>
        <w:rPr>
          <w:rFonts w:ascii="Arial" w:hAnsi="Arial" w:cs="Arial"/>
          <w:b/>
          <w:spacing w:val="-4"/>
          <w:sz w:val="26"/>
          <w:szCs w:val="26"/>
        </w:rPr>
      </w:pPr>
      <w:r w:rsidRPr="00FC6820">
        <w:rPr>
          <w:rFonts w:ascii="Arial" w:hAnsi="Arial"/>
          <w:b/>
          <w:spacing w:val="-4"/>
          <w:sz w:val="26"/>
        </w:rPr>
        <w:t>in riferimento al progetto di legge del governo federale</w:t>
      </w:r>
    </w:p>
    <w:p w14:paraId="47E1A8FA" w14:textId="77777777" w:rsidR="00A1618A" w:rsidRPr="00FC6820" w:rsidRDefault="00A1618A" w:rsidP="00E5776A">
      <w:pPr>
        <w:spacing w:after="240" w:line="360" w:lineRule="auto"/>
        <w:rPr>
          <w:rFonts w:ascii="Arial" w:hAnsi="Arial" w:cs="Arial"/>
          <w:b/>
          <w:spacing w:val="-4"/>
          <w:sz w:val="26"/>
          <w:szCs w:val="26"/>
        </w:rPr>
      </w:pPr>
      <w:r w:rsidRPr="00FC6820">
        <w:rPr>
          <w:rFonts w:ascii="Arial" w:hAnsi="Arial"/>
          <w:b/>
          <w:spacing w:val="-4"/>
          <w:sz w:val="26"/>
        </w:rPr>
        <w:t xml:space="preserve">– Stampato </w:t>
      </w:r>
      <w:r w:rsidRPr="00FC6820">
        <w:rPr>
          <w:rStyle w:val="Marker"/>
          <w:b/>
          <w:spacing w:val="-4"/>
        </w:rPr>
        <w:t>[…]</w:t>
      </w:r>
      <w:r w:rsidRPr="00FC6820">
        <w:rPr>
          <w:rFonts w:ascii="Arial" w:hAnsi="Arial"/>
          <w:b/>
          <w:spacing w:val="-4"/>
          <w:sz w:val="26"/>
        </w:rPr>
        <w:t xml:space="preserve"> –</w:t>
      </w:r>
    </w:p>
    <w:p w14:paraId="371C6925" w14:textId="77777777" w:rsidR="00A1618A" w:rsidRPr="00FC6820" w:rsidRDefault="00A1618A" w:rsidP="00E5776A">
      <w:pPr>
        <w:spacing w:after="480" w:line="360" w:lineRule="auto"/>
        <w:rPr>
          <w:rStyle w:val="Marker"/>
          <w:spacing w:val="-4"/>
        </w:rPr>
      </w:pPr>
      <w:r w:rsidRPr="00FC6820">
        <w:rPr>
          <w:rStyle w:val="Marker"/>
          <w:spacing w:val="-4"/>
        </w:rPr>
        <w:t>[…]</w:t>
      </w:r>
    </w:p>
    <w:p w14:paraId="57FA809D" w14:textId="77777777" w:rsidR="00A1618A" w:rsidRPr="00FC6820" w:rsidRDefault="00A1618A" w:rsidP="00E5776A">
      <w:pPr>
        <w:spacing w:line="360" w:lineRule="auto"/>
        <w:rPr>
          <w:rFonts w:ascii="Arial" w:hAnsi="Arial" w:cs="Arial"/>
          <w:spacing w:val="-4"/>
          <w:sz w:val="22"/>
        </w:rPr>
      </w:pPr>
      <w:r w:rsidRPr="00FC6820">
        <w:rPr>
          <w:rFonts w:ascii="Arial" w:hAnsi="Arial"/>
          <w:spacing w:val="-4"/>
          <w:sz w:val="22"/>
        </w:rPr>
        <w:t>Il Bundestag decide</w:t>
      </w:r>
    </w:p>
    <w:p w14:paraId="7B2A7215" w14:textId="5911DA34" w:rsidR="0063228E" w:rsidRPr="00FC6820" w:rsidRDefault="00A1618A" w:rsidP="00E5776A">
      <w:pPr>
        <w:spacing w:line="360" w:lineRule="auto"/>
        <w:rPr>
          <w:rFonts w:ascii="Arial" w:hAnsi="Arial" w:cs="Arial"/>
          <w:spacing w:val="-4"/>
          <w:sz w:val="22"/>
        </w:rPr>
      </w:pPr>
      <w:r w:rsidRPr="00FC6820">
        <w:rPr>
          <w:rFonts w:ascii="Arial" w:hAnsi="Arial"/>
          <w:spacing w:val="-4"/>
          <w:sz w:val="22"/>
        </w:rPr>
        <w:t xml:space="preserve">di adottare il progetto di legge di cui allo stampato </w:t>
      </w:r>
      <w:r w:rsidRPr="00FC6820">
        <w:rPr>
          <w:rStyle w:val="Marker"/>
          <w:rFonts w:ascii="Arial" w:hAnsi="Arial"/>
          <w:spacing w:val="-4"/>
          <w:sz w:val="22"/>
        </w:rPr>
        <w:t>[…]</w:t>
      </w:r>
      <w:r w:rsidRPr="00FC6820">
        <w:rPr>
          <w:rFonts w:ascii="Arial" w:hAnsi="Arial"/>
          <w:spacing w:val="-4"/>
          <w:sz w:val="22"/>
        </w:rPr>
        <w:t xml:space="preserve"> alle seguenti condizioni, e invariato in tutte le altre sue parti:</w:t>
      </w:r>
    </w:p>
    <w:p w14:paraId="63DEEB82" w14:textId="1DF3B60D" w:rsidR="00A1618A" w:rsidRPr="00FC6820" w:rsidRDefault="00A1618A" w:rsidP="00A1618A">
      <w:pPr>
        <w:pStyle w:val="EmpfehlungNummerierungStufe1"/>
        <w:rPr>
          <w:spacing w:val="-4"/>
        </w:rPr>
      </w:pPr>
      <w:r w:rsidRPr="00FC6820">
        <w:rPr>
          <w:spacing w:val="-4"/>
        </w:rPr>
        <w:t>Dopo l'articolo … si inserisce il seguente articolo:</w:t>
      </w:r>
    </w:p>
    <w:p w14:paraId="299BD583" w14:textId="5B63D453" w:rsidR="00E5776A" w:rsidRPr="00FC6820" w:rsidRDefault="00E5776A" w:rsidP="009C727B">
      <w:pPr>
        <w:pStyle w:val="RevisionArtikelBezeichnermanuell"/>
        <w:ind w:left="425" w:hanging="70"/>
        <w:rPr>
          <w:spacing w:val="-4"/>
        </w:rPr>
      </w:pPr>
      <w:r w:rsidRPr="00FC6820">
        <w:rPr>
          <w:spacing w:val="-4"/>
        </w:rPr>
        <w:t xml:space="preserve">"Articolo </w:t>
      </w:r>
      <w:r w:rsidRPr="00FC6820">
        <w:rPr>
          <w:rStyle w:val="Marker"/>
          <w:spacing w:val="-4"/>
        </w:rPr>
        <w:t>[…]</w:t>
      </w:r>
      <w:r w:rsidRPr="00FC6820">
        <w:rPr>
          <w:rStyle w:val="FootnoteReference"/>
          <w:color w:val="0000FF"/>
          <w:spacing w:val="-4"/>
        </w:rPr>
        <w:footnoteReference w:customMarkFollows="1" w:id="1"/>
        <w:t>*)</w:t>
      </w:r>
      <w:r w:rsidRPr="00FC6820">
        <w:rPr>
          <w:rStyle w:val="Marker"/>
          <w:spacing w:val="-4"/>
          <w:vertAlign w:val="superscript"/>
        </w:rPr>
        <w:t xml:space="preserve"> </w:t>
      </w:r>
    </w:p>
    <w:p w14:paraId="0353C7F8" w14:textId="06DB94DE" w:rsidR="00D879BF" w:rsidRPr="00FC6820" w:rsidRDefault="00D879BF" w:rsidP="009C727B">
      <w:pPr>
        <w:pStyle w:val="RevisionArtikelberschrift"/>
        <w:ind w:left="425"/>
        <w:rPr>
          <w:spacing w:val="-4"/>
        </w:rPr>
      </w:pPr>
      <w:r w:rsidRPr="00FC6820">
        <w:rPr>
          <w:b/>
          <w:spacing w:val="-4"/>
        </w:rPr>
        <w:t>Modifica della legge sul miglioramento dell'applicazione della legge nelle reti sociali</w:t>
      </w:r>
    </w:p>
    <w:p w14:paraId="17D06E04" w14:textId="25FA39A2" w:rsidR="00A1618A" w:rsidRPr="00FC6820" w:rsidRDefault="00A1618A" w:rsidP="0018171E">
      <w:pPr>
        <w:pStyle w:val="RevisionJuristischerAbsatzmanuell"/>
        <w:keepNext/>
        <w:tabs>
          <w:tab w:val="clear" w:pos="850"/>
          <w:tab w:val="left" w:pos="1275"/>
        </w:tabs>
        <w:ind w:left="425"/>
        <w:rPr>
          <w:spacing w:val="-4"/>
        </w:rPr>
      </w:pPr>
      <w:r w:rsidRPr="00FC6820">
        <w:rPr>
          <w:spacing w:val="-4"/>
        </w:rPr>
        <w:t>La legge sul miglioramento dell'applicazione della legge nelle reti sociali (Netzwerkdurchsetzungsgesetz - NetzDG) del 1° settembre 2017 (BGBl. I pag. 3352), da ultimo modificata da … [articolo 1 del progetto di modifica della legge sul miglioramento dell'applicazione della legge nelle reti sociali, stampato del Bundestag 19/18792], è così modificata:</w:t>
      </w:r>
    </w:p>
    <w:p w14:paraId="32195031" w14:textId="0D6EA219" w:rsidR="00A1618A" w:rsidRPr="00FC6820" w:rsidRDefault="00A1618A" w:rsidP="009C727B">
      <w:pPr>
        <w:pStyle w:val="RevisionNummerierungStufe1"/>
        <w:numPr>
          <w:ilvl w:val="3"/>
          <w:numId w:val="2"/>
        </w:numPr>
        <w:tabs>
          <w:tab w:val="clear" w:pos="425"/>
          <w:tab w:val="num" w:pos="850"/>
        </w:tabs>
        <w:ind w:left="850"/>
        <w:rPr>
          <w:spacing w:val="-4"/>
        </w:rPr>
      </w:pPr>
      <w:r w:rsidRPr="00FC6820">
        <w:rPr>
          <w:spacing w:val="-4"/>
        </w:rPr>
        <w:t xml:space="preserve">All'articolo 1, paragrafo 2, l'indicazione </w:t>
      </w:r>
      <w:r w:rsidRPr="00FC6820">
        <w:rPr>
          <w:rStyle w:val="RevisionText"/>
          <w:spacing w:val="-4"/>
        </w:rPr>
        <w:t>"articoli da 2 a 3b"</w:t>
      </w:r>
      <w:r w:rsidRPr="00FC6820">
        <w:rPr>
          <w:spacing w:val="-4"/>
        </w:rPr>
        <w:t xml:space="preserve"> è sostituita dalle parole </w:t>
      </w:r>
      <w:r w:rsidRPr="00FC6820">
        <w:rPr>
          <w:rStyle w:val="RevisionText"/>
          <w:spacing w:val="-4"/>
        </w:rPr>
        <w:t>"articoli da 2 a 3b e 5a"</w:t>
      </w:r>
      <w:r w:rsidRPr="00FC6820">
        <w:rPr>
          <w:spacing w:val="-4"/>
        </w:rPr>
        <w:t>.</w:t>
      </w:r>
    </w:p>
    <w:p w14:paraId="10263F3F" w14:textId="0779D0EE" w:rsidR="00A1618A" w:rsidRPr="00FC6820" w:rsidRDefault="00A1618A" w:rsidP="009C727B">
      <w:pPr>
        <w:pStyle w:val="RevisionNummerierungStufe1"/>
        <w:tabs>
          <w:tab w:val="clear" w:pos="425"/>
          <w:tab w:val="num" w:pos="850"/>
        </w:tabs>
        <w:ind w:left="850"/>
        <w:rPr>
          <w:spacing w:val="-4"/>
        </w:rPr>
      </w:pPr>
      <w:r w:rsidRPr="00FC6820">
        <w:rPr>
          <w:spacing w:val="-4"/>
        </w:rPr>
        <w:t xml:space="preserve">All'articolo 2, paragrafo 2, punto 2, dopo le parole </w:t>
      </w:r>
      <w:r w:rsidRPr="00FC6820">
        <w:rPr>
          <w:rStyle w:val="RevisionText"/>
          <w:spacing w:val="-4"/>
        </w:rPr>
        <w:t>"sono assistiti"</w:t>
      </w:r>
      <w:r w:rsidRPr="00FC6820">
        <w:rPr>
          <w:spacing w:val="-4"/>
        </w:rPr>
        <w:t xml:space="preserve"> sono inserite le parole </w:t>
      </w:r>
      <w:r w:rsidRPr="00FC6820">
        <w:rPr>
          <w:rStyle w:val="RevisionText"/>
          <w:spacing w:val="-4"/>
        </w:rPr>
        <w:t>"e a tal fine hanno avuto accesso alle informazioni in possesso del fornitore"</w:t>
      </w:r>
      <w:r w:rsidRPr="00FC6820">
        <w:rPr>
          <w:spacing w:val="-4"/>
        </w:rPr>
        <w:t>.</w:t>
      </w:r>
    </w:p>
    <w:p w14:paraId="26550664" w14:textId="0FE945BB" w:rsidR="00A1618A" w:rsidRPr="00FC6820" w:rsidRDefault="00A1618A" w:rsidP="0018171E">
      <w:pPr>
        <w:pStyle w:val="RevisionNummerierungStufe1"/>
        <w:keepNext/>
        <w:tabs>
          <w:tab w:val="clear" w:pos="425"/>
          <w:tab w:val="num" w:pos="850"/>
        </w:tabs>
        <w:ind w:left="850"/>
        <w:rPr>
          <w:spacing w:val="-4"/>
        </w:rPr>
      </w:pPr>
      <w:r w:rsidRPr="00FC6820">
        <w:rPr>
          <w:spacing w:val="-4"/>
        </w:rPr>
        <w:t>Successivamente all'articolo 5 si inserisce il seguente articolo 5a:</w:t>
      </w:r>
    </w:p>
    <w:p w14:paraId="0324CC36" w14:textId="2F7FB129" w:rsidR="00D879BF" w:rsidRPr="00FC6820" w:rsidRDefault="00D879BF" w:rsidP="009C727B">
      <w:pPr>
        <w:pStyle w:val="RevisionParagraphBezeichnermanuell"/>
        <w:ind w:left="850" w:hanging="90"/>
        <w:rPr>
          <w:spacing w:val="-4"/>
        </w:rPr>
      </w:pPr>
      <w:r w:rsidRPr="00FC6820">
        <w:rPr>
          <w:spacing w:val="-4"/>
        </w:rPr>
        <w:t>"Articolo 5a</w:t>
      </w:r>
    </w:p>
    <w:p w14:paraId="726DC658" w14:textId="39CB7E5F" w:rsidR="00D879BF" w:rsidRPr="00FC6820" w:rsidRDefault="00D879BF" w:rsidP="009C727B">
      <w:pPr>
        <w:pStyle w:val="RevisionParagraphberschrift"/>
        <w:ind w:left="850"/>
        <w:rPr>
          <w:spacing w:val="-4"/>
        </w:rPr>
      </w:pPr>
      <w:r w:rsidRPr="00FC6820">
        <w:rPr>
          <w:spacing w:val="-4"/>
        </w:rPr>
        <w:t>Informazioni per la ricerca scientifica</w:t>
      </w:r>
    </w:p>
    <w:p w14:paraId="6AD69D50" w14:textId="4BFCD7E0" w:rsidR="003E7797" w:rsidRPr="00FC6820" w:rsidRDefault="00792014" w:rsidP="009C727B">
      <w:pPr>
        <w:pStyle w:val="RevisionJuristischerAbsatz"/>
        <w:numPr>
          <w:ilvl w:val="2"/>
          <w:numId w:val="1"/>
        </w:numPr>
        <w:tabs>
          <w:tab w:val="clear" w:pos="850"/>
          <w:tab w:val="num" w:pos="1700"/>
        </w:tabs>
        <w:ind w:left="850"/>
        <w:rPr>
          <w:spacing w:val="-4"/>
        </w:rPr>
      </w:pPr>
      <w:r w:rsidRPr="00FC6820">
        <w:rPr>
          <w:spacing w:val="-4"/>
        </w:rPr>
        <w:t>Ai fini della presente disposizione, per ricercatore si intende qualsiasi persona fisica o giuridica che svolge ricerca scientifica.</w:t>
      </w:r>
    </w:p>
    <w:p w14:paraId="465DF5C8" w14:textId="2D2C57F4" w:rsidR="003E7797" w:rsidRPr="00FC6820" w:rsidRDefault="003E7797" w:rsidP="0018171E">
      <w:pPr>
        <w:pStyle w:val="RevisionJuristischerAbsatz"/>
        <w:keepNext/>
        <w:tabs>
          <w:tab w:val="clear" w:pos="850"/>
          <w:tab w:val="num" w:pos="1700"/>
        </w:tabs>
        <w:ind w:left="850"/>
        <w:rPr>
          <w:spacing w:val="-4"/>
        </w:rPr>
      </w:pPr>
      <w:r w:rsidRPr="00FC6820">
        <w:rPr>
          <w:spacing w:val="-4"/>
        </w:rPr>
        <w:lastRenderedPageBreak/>
        <w:t>Un ricercatore può richiedere informazioni qualificate da un fornitore di reti sociali relativamente a:</w:t>
      </w:r>
    </w:p>
    <w:p w14:paraId="1DAACCE7" w14:textId="576C75C0" w:rsidR="003E7797" w:rsidRPr="00FC6820" w:rsidRDefault="003E7797" w:rsidP="009C727B">
      <w:pPr>
        <w:pStyle w:val="RevisionNummerierungStufe1"/>
        <w:tabs>
          <w:tab w:val="clear" w:pos="425"/>
          <w:tab w:val="num" w:pos="1275"/>
        </w:tabs>
        <w:ind w:left="1275"/>
        <w:rPr>
          <w:spacing w:val="-4"/>
        </w:rPr>
      </w:pPr>
      <w:r w:rsidRPr="00FC6820">
        <w:rPr>
          <w:spacing w:val="-4"/>
        </w:rPr>
        <w:t>l'uso e il funzionamento specifico delle procedure di rilevamento automatico dei contenuti da rimuovere o bloccare, in particolare la natura e la portata delle tecnologie utilizzate e le finalità, i criteri e i parametri della loro programmazione, nonché i dati utilizzati,</w:t>
      </w:r>
    </w:p>
    <w:p w14:paraId="3C838C31" w14:textId="1ACF9BED" w:rsidR="003E7797" w:rsidRPr="00FC6820" w:rsidRDefault="003E7797" w:rsidP="009C727B">
      <w:pPr>
        <w:pStyle w:val="RevisionNummerierungStufe1"/>
        <w:tabs>
          <w:tab w:val="clear" w:pos="425"/>
          <w:tab w:val="num" w:pos="1275"/>
        </w:tabs>
        <w:ind w:left="1275"/>
        <w:rPr>
          <w:spacing w:val="-4"/>
        </w:rPr>
      </w:pPr>
      <w:r w:rsidRPr="00FC6820">
        <w:rPr>
          <w:spacing w:val="-4"/>
        </w:rPr>
        <w:t>la diffusione di contenuti che sono stati oggetto di reclami per contenuti illegali o che sono stati rimossi o bloccati dal fornitore, in particolare i contenuti in questione, nonché le informazioni sugli utenti che hanno interagito con tali contenuti e sulle modalità di tali interazioni.</w:t>
      </w:r>
    </w:p>
    <w:p w14:paraId="1DA5F836" w14:textId="37C638B4" w:rsidR="003E7797" w:rsidRPr="00FC6820" w:rsidRDefault="003E7797" w:rsidP="009C727B">
      <w:pPr>
        <w:pStyle w:val="RevisionJuristischerAbsatz"/>
        <w:tabs>
          <w:tab w:val="clear" w:pos="850"/>
          <w:tab w:val="num" w:pos="1700"/>
        </w:tabs>
        <w:ind w:left="850"/>
        <w:rPr>
          <w:spacing w:val="-4"/>
        </w:rPr>
      </w:pPr>
      <w:r w:rsidRPr="00FC6820">
        <w:rPr>
          <w:spacing w:val="-4"/>
        </w:rPr>
        <w:t>Le informazioni di cui al paragrafo 2 possono essere richieste solo nella misura in cui sono necessarie per progetti di ricerca scientifica di interesse pubblico sulla natura, la portata, le cause e gli effetti della comunicazione pubblica nelle reti sociali e il modo in cui i fornitori la gestiscono.</w:t>
      </w:r>
    </w:p>
    <w:p w14:paraId="0D5D8322" w14:textId="0EC96F12" w:rsidR="003B0970" w:rsidRPr="00FC6820" w:rsidRDefault="003B0970" w:rsidP="0018171E">
      <w:pPr>
        <w:pStyle w:val="RevisionJuristischerAbsatz"/>
        <w:keepNext/>
        <w:tabs>
          <w:tab w:val="clear" w:pos="850"/>
          <w:tab w:val="num" w:pos="1700"/>
        </w:tabs>
        <w:ind w:left="850"/>
        <w:rPr>
          <w:spacing w:val="-4"/>
        </w:rPr>
      </w:pPr>
      <w:r w:rsidRPr="00FC6820">
        <w:rPr>
          <w:spacing w:val="-4"/>
        </w:rPr>
        <w:t>Le informazioni possono essere fornite solo se il ricercatore presenta un piano di protezione al fornitore della rete sociale. Il piano di protezione include</w:t>
      </w:r>
    </w:p>
    <w:p w14:paraId="577C67EC" w14:textId="60CDC11C" w:rsidR="003B0970" w:rsidRPr="00FC6820" w:rsidRDefault="003B0970" w:rsidP="009C727B">
      <w:pPr>
        <w:pStyle w:val="RevisionNummerierungStufe1"/>
        <w:tabs>
          <w:tab w:val="clear" w:pos="425"/>
          <w:tab w:val="num" w:pos="1275"/>
        </w:tabs>
        <w:ind w:left="1275"/>
        <w:rPr>
          <w:spacing w:val="-4"/>
        </w:rPr>
      </w:pPr>
      <w:r w:rsidRPr="00FC6820">
        <w:rPr>
          <w:spacing w:val="-4"/>
        </w:rPr>
        <w:t>una descrizione delle informazioni richieste ai fini della ricerca di cui al paragrafo 3,</w:t>
      </w:r>
    </w:p>
    <w:p w14:paraId="5AABA7E4" w14:textId="3A66C314" w:rsidR="003B0970" w:rsidRPr="00FC6820" w:rsidRDefault="003B0970" w:rsidP="009C727B">
      <w:pPr>
        <w:pStyle w:val="RevisionNummerierungStufe1"/>
        <w:tabs>
          <w:tab w:val="clear" w:pos="425"/>
          <w:tab w:val="num" w:pos="1275"/>
        </w:tabs>
        <w:ind w:left="1275"/>
        <w:rPr>
          <w:spacing w:val="-4"/>
        </w:rPr>
      </w:pPr>
      <w:r w:rsidRPr="00FC6820">
        <w:rPr>
          <w:spacing w:val="-4"/>
        </w:rPr>
        <w:t>una descrizione dell'uso previsto delle informazioni,</w:t>
      </w:r>
    </w:p>
    <w:p w14:paraId="0654C9E5" w14:textId="4D2A02B0" w:rsidR="003B0970" w:rsidRPr="00FC6820" w:rsidRDefault="009A5C22" w:rsidP="009C727B">
      <w:pPr>
        <w:pStyle w:val="RevisionNummerierungStufe1"/>
        <w:tabs>
          <w:tab w:val="clear" w:pos="425"/>
          <w:tab w:val="num" w:pos="1275"/>
        </w:tabs>
        <w:ind w:left="1275"/>
        <w:rPr>
          <w:spacing w:val="-4"/>
        </w:rPr>
      </w:pPr>
      <w:r w:rsidRPr="00FC6820">
        <w:rPr>
          <w:spacing w:val="-4"/>
        </w:rPr>
        <w:t>una descrizione delle precauzioni prese per evitare che le informazioni siano utilizzate per altri scopi,</w:t>
      </w:r>
    </w:p>
    <w:p w14:paraId="7DD21787" w14:textId="65E2C567" w:rsidR="003B0970" w:rsidRPr="00FC6820" w:rsidRDefault="009A5C22" w:rsidP="009C727B">
      <w:pPr>
        <w:pStyle w:val="RevisionNummerierungStufe1"/>
        <w:tabs>
          <w:tab w:val="clear" w:pos="425"/>
          <w:tab w:val="num" w:pos="1275"/>
        </w:tabs>
        <w:ind w:left="1275"/>
        <w:rPr>
          <w:spacing w:val="-4"/>
        </w:rPr>
      </w:pPr>
      <w:r w:rsidRPr="00FC6820">
        <w:rPr>
          <w:spacing w:val="-4"/>
        </w:rPr>
        <w:t>una descrizione delle disposizioni adottate a tutela dei legittimi interessi del fornitore, e</w:t>
      </w:r>
    </w:p>
    <w:p w14:paraId="7FDD7EDD" w14:textId="6C7443DB" w:rsidR="003B0970" w:rsidRPr="00FC6820" w:rsidRDefault="003B0970" w:rsidP="009C727B">
      <w:pPr>
        <w:pStyle w:val="RevisionNummerierungStufe1"/>
        <w:tabs>
          <w:tab w:val="clear" w:pos="425"/>
          <w:tab w:val="num" w:pos="1275"/>
        </w:tabs>
        <w:ind w:left="1275"/>
        <w:rPr>
          <w:spacing w:val="-4"/>
        </w:rPr>
      </w:pPr>
      <w:r w:rsidRPr="00FC6820">
        <w:rPr>
          <w:spacing w:val="-4"/>
        </w:rPr>
        <w:t>una descrizione delle misure tecniche e organizzative adottate per garantire la protezione dei dati personali.</w:t>
      </w:r>
    </w:p>
    <w:p w14:paraId="6F58E8FB" w14:textId="7863B11B" w:rsidR="003B0970" w:rsidRPr="00FC6820" w:rsidRDefault="003B0970" w:rsidP="009C727B">
      <w:pPr>
        <w:pStyle w:val="RevisionJuristischerAbsatzFolgeabsatz"/>
        <w:ind w:left="850"/>
        <w:rPr>
          <w:spacing w:val="-4"/>
        </w:rPr>
      </w:pPr>
      <w:r w:rsidRPr="00FC6820">
        <w:rPr>
          <w:spacing w:val="-4"/>
        </w:rPr>
        <w:t>Il piano di protezione deve essere presentato all'autorità di controllo competente per la protezione dei dati contestualmente alla richiesta di informazioni.</w:t>
      </w:r>
    </w:p>
    <w:p w14:paraId="4D175D2B" w14:textId="0B4186A8" w:rsidR="009C0AFB" w:rsidRPr="00FC6820" w:rsidRDefault="003E7797" w:rsidP="0018171E">
      <w:pPr>
        <w:pStyle w:val="RevisionJuristischerAbsatz"/>
        <w:keepNext/>
        <w:tabs>
          <w:tab w:val="clear" w:pos="850"/>
          <w:tab w:val="num" w:pos="1700"/>
        </w:tabs>
        <w:ind w:left="850"/>
        <w:rPr>
          <w:spacing w:val="-4"/>
        </w:rPr>
      </w:pPr>
      <w:r w:rsidRPr="00FC6820">
        <w:rPr>
          <w:spacing w:val="-4"/>
        </w:rPr>
        <w:t>Il fornitore di una rete sociale può rifiutarsi di fornire informazioni se</w:t>
      </w:r>
    </w:p>
    <w:p w14:paraId="20E7290B" w14:textId="1403DA61" w:rsidR="009C0AFB" w:rsidRPr="00FC6820" w:rsidRDefault="003E7797" w:rsidP="009C727B">
      <w:pPr>
        <w:pStyle w:val="RevisionNummerierungStufe1"/>
        <w:tabs>
          <w:tab w:val="clear" w:pos="425"/>
          <w:tab w:val="num" w:pos="1275"/>
        </w:tabs>
        <w:ind w:left="1275"/>
        <w:rPr>
          <w:spacing w:val="-4"/>
        </w:rPr>
      </w:pPr>
      <w:r w:rsidRPr="00FC6820">
        <w:rPr>
          <w:spacing w:val="-4"/>
        </w:rPr>
        <w:t>i suoi interessi legittimi sono considerevolmente superiori all'interesse pubblico della ricerca, o</w:t>
      </w:r>
    </w:p>
    <w:p w14:paraId="0330033E" w14:textId="544CB962" w:rsidR="003E7797" w:rsidRPr="00FC6820" w:rsidRDefault="003E7797" w:rsidP="009C727B">
      <w:pPr>
        <w:pStyle w:val="RevisionNummerierungStufe1"/>
        <w:tabs>
          <w:tab w:val="clear" w:pos="425"/>
          <w:tab w:val="num" w:pos="1275"/>
        </w:tabs>
        <w:ind w:left="1275"/>
        <w:rPr>
          <w:spacing w:val="-4"/>
        </w:rPr>
      </w:pPr>
      <w:r w:rsidRPr="00FC6820">
        <w:rPr>
          <w:spacing w:val="-4"/>
        </w:rPr>
        <w:t>gli interessi legittimi delle persone interessate sono danneggiati e l'interesse pubblico della ricerca non è superiore all'interesse alla segretezza delle persone interessate.</w:t>
      </w:r>
    </w:p>
    <w:p w14:paraId="63F909E8" w14:textId="4478DA44" w:rsidR="00D969A6" w:rsidRPr="00FC6820" w:rsidRDefault="00D969A6" w:rsidP="0018171E">
      <w:pPr>
        <w:pStyle w:val="RevisionJuristischerAbsatz"/>
        <w:keepNext/>
        <w:tabs>
          <w:tab w:val="clear" w:pos="850"/>
          <w:tab w:val="num" w:pos="1700"/>
        </w:tabs>
        <w:ind w:left="850"/>
        <w:rPr>
          <w:spacing w:val="-6"/>
        </w:rPr>
      </w:pPr>
      <w:r w:rsidRPr="00FC6820">
        <w:rPr>
          <w:spacing w:val="-6"/>
        </w:rPr>
        <w:t>Il fornitore della rete sociale può trasmettere i seguenti dati personali allo scopo di fornire informazioni in conformità con il paragrafo 2:</w:t>
      </w:r>
    </w:p>
    <w:p w14:paraId="63FE05D0" w14:textId="1ABFB4BC" w:rsidR="00D969A6" w:rsidRPr="00FC6820" w:rsidRDefault="00D969A6" w:rsidP="009C727B">
      <w:pPr>
        <w:pStyle w:val="RevisionNummerierungStufe1"/>
        <w:tabs>
          <w:tab w:val="clear" w:pos="425"/>
          <w:tab w:val="num" w:pos="1275"/>
        </w:tabs>
        <w:ind w:left="1275"/>
        <w:rPr>
          <w:spacing w:val="-4"/>
        </w:rPr>
      </w:pPr>
      <w:r w:rsidRPr="00FC6820">
        <w:rPr>
          <w:spacing w:val="-4"/>
        </w:rPr>
        <w:t>i contenuti diffusi,</w:t>
      </w:r>
    </w:p>
    <w:p w14:paraId="2331E910" w14:textId="7E2B248A" w:rsidR="00D969A6" w:rsidRPr="00FC6820" w:rsidRDefault="00D969A6" w:rsidP="009C727B">
      <w:pPr>
        <w:pStyle w:val="RevisionNummerierungStufe1"/>
        <w:tabs>
          <w:tab w:val="clear" w:pos="425"/>
          <w:tab w:val="num" w:pos="1275"/>
        </w:tabs>
        <w:ind w:left="1275"/>
        <w:rPr>
          <w:spacing w:val="-4"/>
        </w:rPr>
      </w:pPr>
      <w:r w:rsidRPr="00FC6820">
        <w:rPr>
          <w:spacing w:val="-4"/>
        </w:rPr>
        <w:t>i reclami per contenuti illegali,</w:t>
      </w:r>
    </w:p>
    <w:p w14:paraId="4CC6BEE3" w14:textId="48B4D2C4" w:rsidR="00D969A6" w:rsidRPr="00FC6820" w:rsidRDefault="00D969A6" w:rsidP="009C727B">
      <w:pPr>
        <w:pStyle w:val="RevisionNummerierungStufe1"/>
        <w:tabs>
          <w:tab w:val="clear" w:pos="425"/>
          <w:tab w:val="num" w:pos="1275"/>
        </w:tabs>
        <w:ind w:left="1275"/>
        <w:rPr>
          <w:spacing w:val="-4"/>
        </w:rPr>
      </w:pPr>
      <w:r w:rsidRPr="00FC6820">
        <w:rPr>
          <w:spacing w:val="-4"/>
        </w:rPr>
        <w:t>i nomi utente dei soggetti coinvolti nella diffusione,</w:t>
      </w:r>
    </w:p>
    <w:p w14:paraId="7F95ED84" w14:textId="6E103565" w:rsidR="00D969A6" w:rsidRPr="00FC6820" w:rsidRDefault="00D969A6" w:rsidP="009C727B">
      <w:pPr>
        <w:pStyle w:val="RevisionNummerierungStufe1"/>
        <w:tabs>
          <w:tab w:val="clear" w:pos="425"/>
          <w:tab w:val="num" w:pos="1275"/>
        </w:tabs>
        <w:ind w:left="1275"/>
        <w:rPr>
          <w:spacing w:val="-4"/>
        </w:rPr>
      </w:pPr>
      <w:r w:rsidRPr="00FC6820">
        <w:rPr>
          <w:spacing w:val="-4"/>
        </w:rPr>
        <w:t>le circostanze delle interazioni dei partecipanti alla diffusione riguardo ai rispettivi contenuti, e</w:t>
      </w:r>
    </w:p>
    <w:p w14:paraId="35C5E61A" w14:textId="08449E2C" w:rsidR="00D969A6" w:rsidRPr="00FC6820" w:rsidRDefault="00D969A6" w:rsidP="009C727B">
      <w:pPr>
        <w:pStyle w:val="RevisionNummerierungStufe1"/>
        <w:tabs>
          <w:tab w:val="clear" w:pos="425"/>
          <w:tab w:val="num" w:pos="1275"/>
        </w:tabs>
        <w:ind w:left="1275"/>
        <w:rPr>
          <w:spacing w:val="-4"/>
        </w:rPr>
      </w:pPr>
      <w:r w:rsidRPr="00FC6820">
        <w:rPr>
          <w:spacing w:val="-4"/>
        </w:rPr>
        <w:lastRenderedPageBreak/>
        <w:t>i dati di formazione delle procedure di rilevamento automatico dei contenuti da rimuovere o bloccare, così come informazioni su modalità di funzionamento, scopi, criteri e parametri per la programmazione di tali procedure.</w:t>
      </w:r>
    </w:p>
    <w:p w14:paraId="041944BF" w14:textId="44C7953A" w:rsidR="00D969A6" w:rsidRPr="00FC6820" w:rsidRDefault="00D969A6" w:rsidP="009C727B">
      <w:pPr>
        <w:pStyle w:val="RevisionJuristischerAbsatzFolgeabsatz"/>
        <w:ind w:left="850"/>
        <w:rPr>
          <w:spacing w:val="-6"/>
        </w:rPr>
      </w:pPr>
      <w:r w:rsidRPr="00FC6820">
        <w:rPr>
          <w:spacing w:val="-6"/>
        </w:rPr>
        <w:t>I dati sono trasmessi in forma anonima o, quantomeno, pseudonomizzata, nella misura in cui ciò è possibile senza compromettere lo scopo della ricerca.</w:t>
      </w:r>
    </w:p>
    <w:p w14:paraId="586F09EF" w14:textId="3B2EB56C" w:rsidR="00D969A6" w:rsidRPr="00FC6820" w:rsidRDefault="00D969A6" w:rsidP="009C727B">
      <w:pPr>
        <w:pStyle w:val="RevisionJuristischerAbsatz"/>
        <w:tabs>
          <w:tab w:val="clear" w:pos="850"/>
          <w:tab w:val="num" w:pos="1700"/>
        </w:tabs>
        <w:ind w:left="850"/>
        <w:rPr>
          <w:spacing w:val="-4"/>
        </w:rPr>
      </w:pPr>
      <w:r w:rsidRPr="00FC6820">
        <w:rPr>
          <w:spacing w:val="-4"/>
        </w:rPr>
        <w:t>Il ricercatore può trattare i dati esclusivamente ai fini dei progetti di ricerca scientifica di cui al paragrafo 3. Nella misura in cui il trattamento dei dati concerne categorie particolari di dati ai sensi dell'articolo 9, paragrafo 1,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(GU L 119 del 4.5.2016, pag. 1; L 314 del 22.11.2016, pag. 72; L 127 del 23.5.2018, pag. 2), nella relativa versione vigente, il ricercatore prevede a tal fine misure adeguate e specifiche per salvaguardare gli interessi della persona interessata ai sensi dell'articolo 22, paragrafo 2, frase 2, della legge federale sulla protezione dei dati. Oltre alle misure ivi menzionate, i dati sono resi anonimi ai sensi dell'articolo 9, paragrafo 1, del regolamento (UE) 2016/679 non appena ciò sia possibile in base allo scopo della ricerca. Qualsiasi altro requisito di protezione dei dati rimane invariato.</w:t>
      </w:r>
    </w:p>
    <w:p w14:paraId="1627C846" w14:textId="381758EE" w:rsidR="0063228E" w:rsidRPr="00FC6820" w:rsidRDefault="00D969A6" w:rsidP="00301E30">
      <w:pPr>
        <w:pStyle w:val="RevisionJuristischerAbsatz"/>
        <w:tabs>
          <w:tab w:val="clear" w:pos="850"/>
          <w:tab w:val="num" w:pos="1700"/>
        </w:tabs>
        <w:ind w:left="850"/>
        <w:rPr>
          <w:spacing w:val="-4"/>
        </w:rPr>
      </w:pPr>
      <w:r w:rsidRPr="00FC6820">
        <w:rPr>
          <w:spacing w:val="-4"/>
        </w:rPr>
        <w:t>Il fornitore di una rete sociale ha diritto a un rimborso ragionevole da parte del ricercatore delle spese sostenute per fornire le informazioni ai sensi del paragrafo 2. Nella determinazione dell'importo appropriato del rimborso, è da considerare il fatto che le spese non devono costituire un ostacolo sostanziale all'esercizio del diritto all'informazione. Si applica per analogia l'articolo 287, paragrafo 1, del codice di procedura civile. Le spese ammissibili possono corrispondere a un importo massimo di 5 000 euro. Tale importo può essere superato solo se il fornitore ha sostenuto spese eccezionalmente elevate per fornire le informazioni. In seguito alla presentazione del piano di protezione in conformità con il paragrafo 4, il ricercatore può richiedere al fornitore di presentare un preventivo a titolo gratuito entro un periodo di tempo ragionevole."</w:t>
      </w:r>
    </w:p>
    <w:p w14:paraId="36342A1E" w14:textId="099F92EE" w:rsidR="0063228E" w:rsidRPr="00FC6820" w:rsidRDefault="00482E04" w:rsidP="0018171E">
      <w:pPr>
        <w:pStyle w:val="EmpfehlungNummerierungStufe1"/>
        <w:keepNext/>
        <w:rPr>
          <w:spacing w:val="-4"/>
        </w:rPr>
      </w:pPr>
      <w:r w:rsidRPr="00FC6820">
        <w:rPr>
          <w:spacing w:val="-4"/>
        </w:rPr>
        <w:t xml:space="preserve">L'articolo </w:t>
      </w:r>
      <w:r w:rsidRPr="00FC6820">
        <w:rPr>
          <w:rStyle w:val="Marker"/>
          <w:spacing w:val="-4"/>
        </w:rPr>
        <w:t>[…]</w:t>
      </w:r>
      <w:r w:rsidRPr="00FC6820">
        <w:rPr>
          <w:spacing w:val="-4"/>
        </w:rPr>
        <w:t xml:space="preserve"> è così modificato:</w:t>
      </w:r>
    </w:p>
    <w:p w14:paraId="49D47905" w14:textId="31CE6EC1" w:rsidR="00173C16" w:rsidRPr="00FC6820" w:rsidRDefault="00173C16" w:rsidP="009C727B">
      <w:pPr>
        <w:pStyle w:val="RevisionArtikelBezeichnermanuell"/>
        <w:ind w:left="425" w:hanging="90"/>
        <w:rPr>
          <w:spacing w:val="-4"/>
        </w:rPr>
      </w:pPr>
      <w:r w:rsidRPr="00FC6820">
        <w:rPr>
          <w:spacing w:val="-4"/>
        </w:rPr>
        <w:t xml:space="preserve">"Articolo </w:t>
      </w:r>
      <w:r w:rsidRPr="00FC6820">
        <w:rPr>
          <w:rStyle w:val="Marker"/>
          <w:spacing w:val="-4"/>
        </w:rPr>
        <w:t>[…]</w:t>
      </w:r>
    </w:p>
    <w:p w14:paraId="577BA21A" w14:textId="3EB5AE99" w:rsidR="00173C16" w:rsidRPr="00FC6820" w:rsidRDefault="00173C16" w:rsidP="009C727B">
      <w:pPr>
        <w:pStyle w:val="RevisionArtikelberschrift"/>
        <w:ind w:left="425"/>
        <w:rPr>
          <w:spacing w:val="-4"/>
        </w:rPr>
      </w:pPr>
      <w:r w:rsidRPr="00FC6820">
        <w:rPr>
          <w:rStyle w:val="Marker"/>
          <w:spacing w:val="-4"/>
        </w:rPr>
        <w:t>[…]</w:t>
      </w:r>
    </w:p>
    <w:p w14:paraId="5AF7FB2C" w14:textId="090B4924" w:rsidR="00173C16" w:rsidRPr="00FC6820" w:rsidRDefault="00173C16" w:rsidP="009C727B">
      <w:pPr>
        <w:pStyle w:val="RevisionJuristischerAbsatzmanuell"/>
        <w:tabs>
          <w:tab w:val="clear" w:pos="850"/>
          <w:tab w:val="left" w:pos="1275"/>
        </w:tabs>
        <w:ind w:left="425"/>
        <w:rPr>
          <w:spacing w:val="-4"/>
        </w:rPr>
      </w:pPr>
      <w:r w:rsidRPr="00FC6820">
        <w:rPr>
          <w:spacing w:val="-4"/>
        </w:rPr>
        <w:t xml:space="preserve">... </w:t>
      </w:r>
      <w:r w:rsidRPr="00FC6820">
        <w:rPr>
          <w:rStyle w:val="Marker"/>
          <w:spacing w:val="-4"/>
        </w:rPr>
        <w:t>[disposizione separata sull'entrata in vigore, se applicabile]</w:t>
      </w:r>
      <w:r w:rsidRPr="00FC6820">
        <w:rPr>
          <w:spacing w:val="-4"/>
        </w:rPr>
        <w:t xml:space="preserve"> ..."</w:t>
      </w:r>
      <w:r w:rsidRPr="00FC6820">
        <w:rPr>
          <w:color w:val="auto"/>
          <w:spacing w:val="-4"/>
        </w:rPr>
        <w:t>.</w:t>
      </w:r>
    </w:p>
    <w:p w14:paraId="2CDAA614" w14:textId="1C885BBD" w:rsidR="00A1618A" w:rsidRPr="00FC6820" w:rsidRDefault="00A1618A" w:rsidP="009F08C0">
      <w:pPr>
        <w:pStyle w:val="EinzelbegrndungTitel"/>
        <w:rPr>
          <w:spacing w:val="-4"/>
        </w:rPr>
      </w:pPr>
      <w:r w:rsidRPr="00FC6820">
        <w:rPr>
          <w:spacing w:val="-4"/>
        </w:rPr>
        <w:t>Motivazione</w:t>
      </w:r>
    </w:p>
    <w:p w14:paraId="5B2223BB" w14:textId="271DB07E" w:rsidR="009F08C0" w:rsidRPr="00FC6820" w:rsidRDefault="009F08C0" w:rsidP="0018171E">
      <w:pPr>
        <w:pStyle w:val="Text"/>
        <w:keepNext/>
        <w:rPr>
          <w:rStyle w:val="Marker"/>
          <w:b/>
          <w:color w:val="auto"/>
          <w:spacing w:val="-4"/>
        </w:rPr>
      </w:pPr>
      <w:r w:rsidRPr="00FC6820">
        <w:rPr>
          <w:rStyle w:val="Marker"/>
          <w:b/>
          <w:color w:val="auto"/>
          <w:spacing w:val="-4"/>
        </w:rPr>
        <w:t xml:space="preserve">In riferimento al punto 1 </w:t>
      </w:r>
    </w:p>
    <w:p w14:paraId="47C1AE4D" w14:textId="77777777" w:rsidR="00D969A6" w:rsidRPr="00FC6820" w:rsidRDefault="00D969A6" w:rsidP="00D969A6">
      <w:pPr>
        <w:pStyle w:val="Text"/>
        <w:rPr>
          <w:rStyle w:val="Marker"/>
          <w:color w:val="auto"/>
          <w:spacing w:val="-4"/>
        </w:rPr>
      </w:pPr>
      <w:r w:rsidRPr="00FC6820">
        <w:rPr>
          <w:rStyle w:val="Marker"/>
          <w:color w:val="auto"/>
          <w:spacing w:val="-4"/>
        </w:rPr>
        <w:t xml:space="preserve">I dibattiti politici e i processi di formazione delle opinioni si svolgono sempre più nell'ambito dello spazio digitale e dei social media. Il processo di comunicazione che vi si svolge è ormai di notevole importanza per la formazione dell'opinione pubblica. Ad esempio, per la diffusione di programmi e idee su temi politici, l'accesso a determinate reti sociali, le quali per la loro importanza costituiscono un mezzo non facilmente sostituibile, può essere di fondamentale importanza (cfr. Corte </w:t>
      </w:r>
      <w:r w:rsidRPr="00FC6820">
        <w:rPr>
          <w:rStyle w:val="Marker"/>
          <w:color w:val="auto"/>
          <w:spacing w:val="-4"/>
        </w:rPr>
        <w:lastRenderedPageBreak/>
        <w:t>costituzionale federale - BVerfG, ordinanza provvisoria del 22 maggio 2019 - 1 BvQ 42/19 -, n.m. 19).</w:t>
      </w:r>
    </w:p>
    <w:p w14:paraId="6C4892FE" w14:textId="77777777" w:rsidR="00D969A6" w:rsidRPr="00FC6820" w:rsidRDefault="00D969A6" w:rsidP="00D969A6">
      <w:pPr>
        <w:pStyle w:val="Text"/>
        <w:rPr>
          <w:rStyle w:val="Marker"/>
          <w:color w:val="auto"/>
          <w:spacing w:val="-4"/>
        </w:rPr>
      </w:pPr>
      <w:r w:rsidRPr="00FC6820">
        <w:rPr>
          <w:rStyle w:val="Marker"/>
          <w:color w:val="auto"/>
          <w:spacing w:val="-4"/>
        </w:rPr>
        <w:t>Per questo motivo, vi è un considerevole interesse pubblico a rendere possibile maggiore trasparenza sul funzionamento delle varie piattaforme e sul processo di diffusione dei contenuti in esse, nonché a permettere ricerche indipendenti in materia.</w:t>
      </w:r>
    </w:p>
    <w:p w14:paraId="373BFE01" w14:textId="385D0837" w:rsidR="00D969A6" w:rsidRPr="00FC6820" w:rsidRDefault="00D969A6" w:rsidP="00D969A6">
      <w:pPr>
        <w:pStyle w:val="Text"/>
        <w:rPr>
          <w:rStyle w:val="Marker"/>
          <w:color w:val="auto"/>
          <w:spacing w:val="-6"/>
        </w:rPr>
      </w:pPr>
      <w:r w:rsidRPr="00FC6820">
        <w:rPr>
          <w:rStyle w:val="Marker"/>
          <w:color w:val="auto"/>
          <w:spacing w:val="-6"/>
        </w:rPr>
        <w:t>Questo riguarda, da un lato, la questione dei criteri in base ai quali i fornitori decidono sulla possibilità di utilizzo della loro piattaforma e permettono o limitano la possibilità di diffondere contenuti sulla stessa. La questione di come i grandi fornitori, rilevanti per il discorso pubblico, trattano i reclami per contenuti illegali, per esempio, e in quali altri modi sono prese le decisioni sulle restrizioni alla diffusione dei contenuti, è una preoccupazione pubblica significativa a causa della rilevanza dei grandi fornitori (cfr. già stampato del Bundestag 19/18792, pag. 42), perché soltanto attraverso un'adeguata trasparenza in tal senso il grande pubblico può comprendere i motivi e le modalità secondo cui determinati contenuti sono limitati nella loro pubblicazione. In questo contesto, è necessario tener conto del fatto che le decisioni di moderazione sono oggi spesso prese mediante il supporto di complesse procedure automatizzate. Facebook, ad esempio, afferma che ormai i contenuti registrati come "Hate Speech" nei termini dei cosiddetti standard della Community sono prevalentemente individuati dal fornitore stesso con l'aiuto di soluzioni tecnologiche (cfr. https://transparency.facebook.com/community-standards-enforcement#hate-speech; consultato il 12 ottobre 2020). Per poter creare trasparenza per il grande pubblico in merito ai processi sottostanti, in parte tecnicamente complessi, è quindi importante che la scienza e la ricerca siano in grado di comprendere l'uso di procedure per il rilevamento automatico dei contenuti, qualora questi siano eventualmente da rimuovere o bloccare (cfr. stampato del Bundestag 19/18792, pag. 43). A tal proposito, a fini scientifici e di ricerca non è sufficiente ricorrere unicamente alle informazioni generali contenute nei rapporti di trasparenza ai sensi dell'articolo 2 della legge NetzDG, i quali servono a informare un pubblico ampio, poiché, per tali scopi, non sono necessarie solo tali informazioni generali o aggregate, ma anche informazioni più dettagliate e dati grezzi (ad esempio il contenuto esplicitamente menzionato nel paragrafo 6, il suo rispettivo contesto e i dati di formazione delle procedure automatizzate), al fine di ottenere in modo indipendente una conoscenza scientificamente valida delle procedure automatizzate di rilevamento dei contenuti in questione.</w:t>
      </w:r>
    </w:p>
    <w:p w14:paraId="138C3D37" w14:textId="032BC65F" w:rsidR="00D969A6" w:rsidRPr="00FC6820" w:rsidRDefault="00D969A6" w:rsidP="00D969A6">
      <w:pPr>
        <w:pStyle w:val="Text"/>
        <w:rPr>
          <w:rStyle w:val="Marker"/>
          <w:color w:val="auto"/>
          <w:spacing w:val="-6"/>
        </w:rPr>
      </w:pPr>
      <w:r w:rsidRPr="00FC6820">
        <w:rPr>
          <w:rStyle w:val="Marker"/>
          <w:color w:val="auto"/>
          <w:spacing w:val="-6"/>
        </w:rPr>
        <w:t>Un'altra questione rilevante riguarda la tracciabilità della diffusione di contenuti illegali. In base all'attuale situazione legale, la gestione dei reclami di cui alla legge NetzDG si riferisce al contenuto specifico contestato tramite un reclamo per contenuto illegale. Tuttavia, i contenuti sulle reti sociali possono talvolta diffondersi a una velocità e una portata considerevoli tra una grande varietà di utenti. In tal modo, le violazioni possono essere reiterate e l'impatto della diffusione di contenuti illegali può aumentare notevolmente di intensità. Data la notevole importanza per la società nel suo complesso dei processi di comunicazione che avvengono sulle principali reti sociali per la formazione dell'opinione pubblica, è importante capire il modo in cui sono o sono stati diffusi sulle reti sociali i contenuti che alla fine sono stati rimossi dal fornitore o che sono stati contestati dal fornitore come illegali, anche per consentire agli ambienti coinvolti di intraprendere azioni più efficaci contro la diffusione di contenuti illegali sulla base di una più profonda comprensione dei meccanismi di diffusione.</w:t>
      </w:r>
    </w:p>
    <w:p w14:paraId="06151A16" w14:textId="5B551E2D" w:rsidR="00D969A6" w:rsidRPr="00FC6820" w:rsidRDefault="00D969A6" w:rsidP="00D969A6">
      <w:pPr>
        <w:pStyle w:val="Text"/>
        <w:rPr>
          <w:rStyle w:val="Marker"/>
          <w:color w:val="auto"/>
          <w:spacing w:val="-4"/>
        </w:rPr>
      </w:pPr>
      <w:r w:rsidRPr="00FC6820">
        <w:rPr>
          <w:rStyle w:val="Marker"/>
          <w:color w:val="auto"/>
          <w:spacing w:val="-4"/>
        </w:rPr>
        <w:t>L'articolo 5a della legge NetzDG garantisce che gli istituti di ricerca e i ricercatori ricevano i dati necessari a tal fine.</w:t>
      </w:r>
    </w:p>
    <w:p w14:paraId="72966CD2" w14:textId="29B9B32B" w:rsidR="00D969A6" w:rsidRPr="00FC6820" w:rsidRDefault="00D969A6" w:rsidP="00D969A6">
      <w:pPr>
        <w:pStyle w:val="Text"/>
        <w:rPr>
          <w:rStyle w:val="Marker"/>
          <w:color w:val="auto"/>
          <w:spacing w:val="-6"/>
        </w:rPr>
      </w:pPr>
      <w:r w:rsidRPr="00FC6820">
        <w:rPr>
          <w:rStyle w:val="Marker"/>
          <w:color w:val="auto"/>
          <w:spacing w:val="-6"/>
        </w:rPr>
        <w:t xml:space="preserve">Tuttavia, non tutti i ricercatori o istituti di ricerca sono legittimati a ricevere i dati, bensì lo sono solo quelli che conducono progetti di ricerca scientifica di interesse pubblico. </w:t>
      </w:r>
      <w:r w:rsidRPr="00FC6820">
        <w:rPr>
          <w:spacing w:val="-6"/>
        </w:rPr>
        <w:t xml:space="preserve">Un interesse pubblico è generalmente da assumere per i progetti di ricerca a livello universitario e degli istituti di ricerca non universitari in Germania. </w:t>
      </w:r>
      <w:r w:rsidRPr="00FC6820">
        <w:rPr>
          <w:rStyle w:val="Marker"/>
          <w:color w:val="auto"/>
          <w:spacing w:val="-6"/>
        </w:rPr>
        <w:t xml:space="preserve">In questo contesto, il finanziamento prevalentemente mediante fondi pubblici è di importanza rilevante al </w:t>
      </w:r>
      <w:r w:rsidRPr="00FC6820">
        <w:rPr>
          <w:rStyle w:val="Marker"/>
          <w:color w:val="auto"/>
          <w:spacing w:val="-6"/>
        </w:rPr>
        <w:lastRenderedPageBreak/>
        <w:t>fine di determinare se un progetto sia di interesse pubblico o meno. La disposizione include qualsiasi istituto che desideri condurre ricerche di interesse pubblico, indipendentemente dall'ubicazione della sua sede. Ai fini della determinazione di interesse pubblico, si richiederà regolarmente che i risultati della ricerca siano resi accessibili al pubblico e che, in ultima analisi, siano messi a servizio del bene pubblico. Un interesse pubblico è generalmente sostenuto dal fatto che la ricerca contribuisce al raggiungimento degli obiettivi della legge. È legittimo ritenere che non sussista un interesse pubblico se, a causa della dipendenza da un cliente, in un singolo caso sia riscontrato lo svolgimento di una ricerca non imparziale. È altresì considerato contrapposto all'interesse pubblico un progetto di ricerca in cui siano riscontrate indicazioni tali da ritenere che questo sia condotto per scopi economici o politici.</w:t>
      </w:r>
    </w:p>
    <w:p w14:paraId="3A166ADB" w14:textId="77777777" w:rsidR="00146FA3" w:rsidRPr="00FC6820" w:rsidRDefault="00D969A6" w:rsidP="00D969A6">
      <w:pPr>
        <w:pStyle w:val="Text"/>
        <w:rPr>
          <w:rStyle w:val="Marker"/>
          <w:color w:val="auto"/>
          <w:spacing w:val="-4"/>
        </w:rPr>
      </w:pPr>
      <w:r w:rsidRPr="00FC6820">
        <w:rPr>
          <w:rStyle w:val="Marker"/>
          <w:color w:val="auto"/>
          <w:spacing w:val="-4"/>
        </w:rPr>
        <w:t>Conformemente all'elenco di cui all'articolo 5a della legge NetzDG, l'articolo 1, paragrafo 2, della legge NetzDG prevede che solo i fornitori di reti sociali che hanno almeno due milioni di utenti registrati in Germania sono soggetti agli obblighi di cui alla stessa legge, indipendentemente dall'ubicazione della loro sede. Tali fornitori hanno l'obbligo di fornire informazioni indipendentemente dal fatto che abbiano sede in Germania o meno, conformemente alle disposizioni pertinenti del diritto europeo, in particolare il principio del paese d'origine di cui alla direttiva 2000/31/CE (direttiva sul commercio elettronico). Anche se il diritto all'informazione previsto ai sensi dell'articolo 5a della NetzDG dovesse rientrare nel cosiddetto settore coordinato della direttiva sul commercio elettronico e se questo dovesse essere considerato come un effetto restrittivo teoricamente escluso ai sensi dell'articolo 3, paragrafo 2, della direttiva sul commercio elettronico, le condizioni per una nuova deroga ai sensi dell'articolo 3, paragrafo 4, della direttiva sul commercio elettronico sarebbero in ogni caso soddisfatte. A causa della notevole importanza dei fornitori in questione, la maggiore possibilità di conoscenza assicurata dal diritto all'informazione è in ogni caso necessaria ai fini della prevenzione dei reati, compresa la lotta contro l'incitamento all'odio, nonché della protezione dei consumatori (cfr. articolo 3, paragrafo 4, lettera a), punto i), trattini 1 e 4, della direttiva sul commercio elettronico). Vista la notevole mancanza di informazioni sulle piattaforme che rappresentano uno spazio pubblico sempre più importante per i cittadini, sussiste un urgente bisogno di regolamentazione (articolo 3, paragrafo 5, della direttiva sul commercio elettronico).</w:t>
      </w:r>
    </w:p>
    <w:p w14:paraId="2B3396E0" w14:textId="22DFC019" w:rsidR="00D969A6" w:rsidRPr="00FC6820" w:rsidRDefault="00D969A6" w:rsidP="00D969A6">
      <w:pPr>
        <w:pStyle w:val="Text"/>
        <w:rPr>
          <w:rStyle w:val="Marker"/>
          <w:color w:val="auto"/>
          <w:spacing w:val="-4"/>
        </w:rPr>
      </w:pPr>
      <w:r w:rsidRPr="00FC6820">
        <w:rPr>
          <w:rStyle w:val="Marker"/>
          <w:color w:val="auto"/>
          <w:spacing w:val="-4"/>
        </w:rPr>
        <w:t>Il diritto all'informazione introdotto è limitato sotto vari aspetti anche relativamente alle persone che ne godono.</w:t>
      </w:r>
    </w:p>
    <w:p w14:paraId="7CD947D6" w14:textId="02AD6996" w:rsidR="00E97B1F" w:rsidRPr="00FC6820" w:rsidRDefault="00E97B1F" w:rsidP="00D969A6">
      <w:pPr>
        <w:pStyle w:val="Text"/>
        <w:rPr>
          <w:rStyle w:val="Marker"/>
          <w:color w:val="auto"/>
          <w:spacing w:val="-4"/>
        </w:rPr>
      </w:pPr>
      <w:r w:rsidRPr="00FC6820">
        <w:rPr>
          <w:rStyle w:val="Marker"/>
          <w:color w:val="auto"/>
          <w:spacing w:val="-4"/>
        </w:rPr>
        <w:t>I ricercatori idonei, infatti, possono richiedere informazioni solo al fornitore della rete sociale. L'articolo 5a, infatti, non autorizza un accesso tecnico diretto alle banche dati o ai sistemi tecnici del fornitore. Tuttavia, è possibile richiedere informazioni qualificate. Queste comprendono i dati non elaborati disponibili presso il fornitore, ma anche le informazioni elaborate ivi disponibili, nonché i risultati delle valutazioni effettuate dal fornitore dei dati disponibili presso lo stesso.</w:t>
      </w:r>
    </w:p>
    <w:p w14:paraId="72C56E68" w14:textId="39D2C9CA" w:rsidR="00E97B1F" w:rsidRPr="00FC6820" w:rsidRDefault="00E97B1F" w:rsidP="00D969A6">
      <w:pPr>
        <w:pStyle w:val="Text"/>
        <w:rPr>
          <w:rStyle w:val="Marker"/>
          <w:color w:val="auto"/>
          <w:spacing w:val="-4"/>
        </w:rPr>
      </w:pPr>
      <w:r w:rsidRPr="00FC6820">
        <w:rPr>
          <w:rStyle w:val="Marker"/>
          <w:color w:val="auto"/>
          <w:spacing w:val="-4"/>
        </w:rPr>
        <w:t xml:space="preserve">Inoltre, il diritto all'informazione è limitato in termini di contenuto alle informazioni sull'uso e il funzionamento delle procedure per il rilevamento automatico dei contenuti da rimuovere o bloccare, compresi gli scopi, i criteri e i parametri della programmazione. Inoltre, possono essere richieste informazioni sulla diffusione di contenuti che sono stati oggetto di reclami per contenuti illegali o che sono stati rimossi o bloccati dal fornitore. </w:t>
      </w:r>
    </w:p>
    <w:p w14:paraId="752FC65F" w14:textId="4597FCAE" w:rsidR="00D969A6" w:rsidRPr="00FC6820" w:rsidRDefault="00D969A6" w:rsidP="00D969A6">
      <w:pPr>
        <w:pStyle w:val="Text"/>
        <w:rPr>
          <w:rStyle w:val="Marker"/>
          <w:color w:val="auto"/>
          <w:spacing w:val="-4"/>
        </w:rPr>
      </w:pPr>
      <w:r w:rsidRPr="00FC6820">
        <w:rPr>
          <w:rStyle w:val="Marker"/>
          <w:color w:val="auto"/>
          <w:spacing w:val="-4"/>
        </w:rPr>
        <w:t xml:space="preserve">Tali informazioni sono adatte e necessarie per comprendere meglio le restrizioni sui contenuti da parte del fornitore e la diffusione sulle piattaforme di contenuti inammissibili o segnalati come illegali dal punto di vista del fornitore. </w:t>
      </w:r>
    </w:p>
    <w:p w14:paraId="5D09F342" w14:textId="5F0FFD55" w:rsidR="00D969A6" w:rsidRPr="00FC6820" w:rsidRDefault="00D969A6" w:rsidP="00FC6820">
      <w:pPr>
        <w:pStyle w:val="Text"/>
        <w:keepNext/>
        <w:keepLines/>
        <w:rPr>
          <w:rStyle w:val="Marker"/>
          <w:color w:val="auto"/>
          <w:spacing w:val="-4"/>
        </w:rPr>
      </w:pPr>
      <w:r w:rsidRPr="00FC6820">
        <w:rPr>
          <w:rStyle w:val="Marker"/>
          <w:color w:val="auto"/>
          <w:spacing w:val="-4"/>
        </w:rPr>
        <w:lastRenderedPageBreak/>
        <w:t>Il diritto all'informazione è altresì soggetto alla condizione che l'informazione sia necessaria nel caso specifico per progetti di ricerca scientifica di interesse pubblico. Ciò significa che le informazioni trasmesse possono essere utilizzate solo per scopi scientifici. Infine, gli scopi di ricerca ammissibili sono limitati alla ricerca sulla natura, la portata, le cause e gli effetti della comunicazione pubblica nelle reti sociali e il modo in cui i fornitori la gestiscono.</w:t>
      </w:r>
    </w:p>
    <w:p w14:paraId="588C65A9" w14:textId="3AAAB10E" w:rsidR="00C46490" w:rsidRPr="00FC6820" w:rsidRDefault="00C46490" w:rsidP="00D969A6">
      <w:pPr>
        <w:pStyle w:val="Text"/>
        <w:rPr>
          <w:rStyle w:val="Marker"/>
          <w:color w:val="auto"/>
          <w:spacing w:val="-4"/>
        </w:rPr>
      </w:pPr>
      <w:r w:rsidRPr="00FC6820">
        <w:rPr>
          <w:rStyle w:val="Marker"/>
          <w:color w:val="auto"/>
          <w:spacing w:val="-4"/>
        </w:rPr>
        <w:t>La procedura prevista per la presentazione di un piano di protezione garantisce il rispetto degli interessi da prendere in considerazione ai sensi dell'articolo 5a. Il fornitore della rete sociale può rifiutarsi di fornire informazioni fino a quando il piano di protezione non sia stato presentato. Contestualmente, il piano di protezione deve essere presentato all'autorità di controllo competente per la protezione dei dati, la quale può avviare le procedure appropriate qualora sia riscontrata evidenza di violazioni della protezione dei dati. Questo aspetto è di particolare importanza in quanto la trasmissione di informazioni da parte dei fornitori può anche influenzare gli interessi di terzi, quali gli utenti.</w:t>
      </w:r>
    </w:p>
    <w:p w14:paraId="61C60CE8" w14:textId="669418FB" w:rsidR="00D969A6" w:rsidRPr="00FC6820" w:rsidRDefault="00D969A6" w:rsidP="00D969A6">
      <w:pPr>
        <w:pStyle w:val="Text"/>
        <w:rPr>
          <w:rStyle w:val="Marker"/>
          <w:color w:val="auto"/>
          <w:spacing w:val="-4"/>
        </w:rPr>
      </w:pPr>
      <w:r w:rsidRPr="00FC6820">
        <w:rPr>
          <w:rStyle w:val="Marker"/>
          <w:color w:val="auto"/>
          <w:spacing w:val="-4"/>
        </w:rPr>
        <w:t>Inoltre, le informazioni non devono essere in conflitto con gli interessi legittimi prevalenti dei fornitori di reti sociali. La prevalenza di interessi legittimi sussiste, ad esempio, quando l'accesso ai dati pregiudicherebbe in modo irragionevole gli interessi alla segretezza del fornitore. Il diritto all'informazione è altresì precluso se gli interessi legittimi delle persone interessate sono danneggiati e l'interesse pubblico della ricerca non è superiore all'interesse alla segretezza delle persone interessate.</w:t>
      </w:r>
    </w:p>
    <w:p w14:paraId="05EA09A2" w14:textId="77777777" w:rsidR="00D969A6" w:rsidRPr="00FC6820" w:rsidRDefault="00D969A6" w:rsidP="00D969A6">
      <w:pPr>
        <w:pStyle w:val="Text"/>
        <w:rPr>
          <w:rStyle w:val="Marker"/>
          <w:color w:val="auto"/>
          <w:spacing w:val="-4"/>
        </w:rPr>
      </w:pPr>
      <w:r w:rsidRPr="00FC6820">
        <w:rPr>
          <w:rStyle w:val="Marker"/>
          <w:color w:val="auto"/>
          <w:spacing w:val="-4"/>
        </w:rPr>
        <w:t xml:space="preserve">Nella trasmissione di informazioni possono essere forniti anche dati personali, quanto più possibile in forma anonima o, quantomeno, pseudonomizzata. Inoltre, sono previste misure aggiuntive per la protezione dei dati personali in caso di trattamento di categorie speciali di dati ai sensi dell'articolo 9, paragrafo 1, del regolamento (UE) 2016/679. Le altre normative sulla protezione dei dati, in particolare ai sensi dell'articolo 27 della legge federale sulla protezione dei dati (BDSG), rimangono invariate. </w:t>
      </w:r>
    </w:p>
    <w:p w14:paraId="67D27A76" w14:textId="0A74581F" w:rsidR="00A135B4" w:rsidRPr="00FC6820" w:rsidRDefault="00D969A6" w:rsidP="00D969A6">
      <w:pPr>
        <w:pStyle w:val="Text"/>
        <w:rPr>
          <w:rStyle w:val="Marker"/>
          <w:color w:val="auto"/>
          <w:spacing w:val="-4"/>
        </w:rPr>
      </w:pPr>
      <w:r w:rsidRPr="00FC6820">
        <w:rPr>
          <w:rStyle w:val="Marker"/>
          <w:color w:val="auto"/>
          <w:spacing w:val="-4"/>
        </w:rPr>
        <w:t>Il fornitore ha diritto a un rimborso ragionevole da parte del ricercatore delle spese sostenute per fornire le informazioni. La limitazione della richiesta a un rimborso ragionevole dei costi garantisce che il diritto all'accesso dei ricercatori non si esaurisca nella pratica a causa delle richieste proibitive di rimborso dei costi. A tal fine è altresì stabilito un importo massimo di spese ammissibili che può essere superato solo in casi eccezionalmente onerosi. Questo può essere il caso se, per trasmettere le informazioni, il fornitore sostiene delle spese considerevolmente superiori ai normali costi per fornire informazioni per i progetti di ricerca previsti dall'articolo 5a. Il fornitore della rete sociale ha l'onere di allegazione e di prova per le relative condizioni, come già in generale per la dimostrazione dei costi utili al rimborso ragionevole.</w:t>
      </w:r>
    </w:p>
    <w:p w14:paraId="1B437195" w14:textId="47B203AC" w:rsidR="00D969A6" w:rsidRPr="00FC6820" w:rsidRDefault="00D969A6" w:rsidP="00D969A6">
      <w:pPr>
        <w:pStyle w:val="Text"/>
        <w:rPr>
          <w:rStyle w:val="Marker"/>
          <w:color w:val="auto"/>
          <w:spacing w:val="-4"/>
        </w:rPr>
      </w:pPr>
      <w:r w:rsidRPr="00FC6820">
        <w:rPr>
          <w:rStyle w:val="Marker"/>
          <w:color w:val="auto"/>
          <w:spacing w:val="-4"/>
        </w:rPr>
        <w:t>L'applicazione dell'articolo 287, paragrafo 1, del codice di procedura civile assicura che il tribunale competente è libero di determinare l'importo della richiesta di rimborso in caso di controversia, tenendo conto di tutte le circostanze. Non sono previste ulteriori compensazioni per i fornitori. Al fine di facilitare la pianificazione relativamente ai costi sostenuti, il ricercatore, in seguito alla presentazione del piano di protezione, può richiedere al fornitore della rete sociale un preventivo gratuito dei costi entro un periodo di tempo ragionevole.</w:t>
      </w:r>
    </w:p>
    <w:p w14:paraId="0569302F" w14:textId="40F9020F" w:rsidR="00E11559" w:rsidRPr="00FC6820" w:rsidRDefault="00D969A6" w:rsidP="00D969A6">
      <w:pPr>
        <w:pStyle w:val="Text"/>
        <w:rPr>
          <w:rStyle w:val="Marker"/>
          <w:color w:val="auto"/>
          <w:spacing w:val="-4"/>
        </w:rPr>
      </w:pPr>
      <w:r w:rsidRPr="00FC6820">
        <w:rPr>
          <w:rStyle w:val="Marker"/>
          <w:color w:val="auto"/>
          <w:spacing w:val="-4"/>
        </w:rPr>
        <w:t>Se il ricercatore e il fornitore della rete sociale contestano l'esistenza dei requisiti di ammissibilità, i tribunali ordinari sono chiamati a decidere in merito.</w:t>
      </w:r>
    </w:p>
    <w:p w14:paraId="1A7FF4A4" w14:textId="180DAC81" w:rsidR="00732338" w:rsidRPr="00FC6820" w:rsidRDefault="00132D0E" w:rsidP="00FC6820">
      <w:pPr>
        <w:pStyle w:val="Text"/>
        <w:rPr>
          <w:rStyle w:val="Marker"/>
          <w:color w:val="auto"/>
          <w:spacing w:val="-4"/>
        </w:rPr>
      </w:pPr>
      <w:r w:rsidRPr="00FC6820">
        <w:rPr>
          <w:rStyle w:val="Marker"/>
          <w:color w:val="auto"/>
          <w:spacing w:val="-4"/>
        </w:rPr>
        <w:t xml:space="preserve">L'introduzione della clausola di ricerca è completata da un chiarimento sugli obblighi di segnalazione. A norma dell'esistente articolo 2, paragrafo 2, punto 2, della legge NetzDG, è obbligatorio anche riferire se e in che misura alle persone operanti nei settori della scienza e della ricerca sia permesso investigare l'uso di procedure di rilevamento automatico dei contenuti (cfr. stampato del Bundestag 19/18792, pag. </w:t>
      </w:r>
      <w:r w:rsidRPr="00FC6820">
        <w:rPr>
          <w:rStyle w:val="Marker"/>
          <w:color w:val="auto"/>
          <w:spacing w:val="-4"/>
        </w:rPr>
        <w:lastRenderedPageBreak/>
        <w:t>43). L'aggiunta proposta all'articolo 2, paragrafo 2, punto 2, della legge NetzDG chiarisce che ciò si riferisce anche alla questione della concessione dell'accesso alle informazioni del fornitore, comprese le informazioni fornite ai sensi dell'articolo 5a della legge NetzDG.</w:t>
      </w:r>
    </w:p>
    <w:p w14:paraId="5F9F9891" w14:textId="5A8F43C7" w:rsidR="00E97B1F" w:rsidRPr="00FC6820" w:rsidRDefault="00E97B1F" w:rsidP="00132D0E">
      <w:pPr>
        <w:pStyle w:val="Text"/>
        <w:rPr>
          <w:rStyle w:val="Marker"/>
          <w:color w:val="auto"/>
          <w:spacing w:val="-4"/>
        </w:rPr>
      </w:pPr>
      <w:r w:rsidRPr="00FC6820">
        <w:rPr>
          <w:rStyle w:val="Marker"/>
          <w:color w:val="auto"/>
          <w:spacing w:val="-4"/>
        </w:rPr>
        <w:t>L'articolo 5a dovrà essere valutato dopo tre anni dall'entrata in vigore, al fine di determinare se e in che misura gli effetti desiderati sono stati raggiunti e, in particolare, se le informazioni fornite abbiano favorito gli scopi di ricerca. Oggetto di valutazione sarà altresì la fattibilità della regolamentazione, in particolare nel caso di controversie tra ricercatori e fornitori di reti sociali sull'obbligo di trasmissione delle informazioni. A questo proposito, è necessario stabilire se il coinvolgimento di un organo di mediazione possa essere utile ai fini della risoluzione di opinioni divergenti sull'obbligo d'informazione o della determinazione di una richiesta giustificata di informazioni e in quale modo tale organo di mediazione debba essere strutturato. La valutazione si occuperà anche di stabilire se il sistema di rimborso di cui al paragrafo 8 ha prodotto gli effetti desiderati.</w:t>
      </w:r>
    </w:p>
    <w:p w14:paraId="2F6A2064" w14:textId="663911F1" w:rsidR="009F08C0" w:rsidRPr="00FC6820" w:rsidRDefault="009F08C0" w:rsidP="0018171E">
      <w:pPr>
        <w:pStyle w:val="Text"/>
        <w:keepNext/>
        <w:rPr>
          <w:rStyle w:val="Marker"/>
          <w:b/>
          <w:color w:val="auto"/>
          <w:spacing w:val="-4"/>
        </w:rPr>
      </w:pPr>
      <w:r w:rsidRPr="00FC6820">
        <w:rPr>
          <w:rStyle w:val="Marker"/>
          <w:b/>
          <w:color w:val="auto"/>
          <w:spacing w:val="-4"/>
        </w:rPr>
        <w:t>In riferimento al punto 2</w:t>
      </w:r>
    </w:p>
    <w:p w14:paraId="7D853F30" w14:textId="43DDA2F0" w:rsidR="00132D0E" w:rsidRPr="00FC6820" w:rsidRDefault="00132D0E" w:rsidP="00D969A6">
      <w:pPr>
        <w:pStyle w:val="Text"/>
        <w:rPr>
          <w:rStyle w:val="Marker"/>
          <w:color w:val="auto"/>
          <w:spacing w:val="-4"/>
        </w:rPr>
      </w:pPr>
      <w:r w:rsidRPr="00FC6820">
        <w:rPr>
          <w:rStyle w:val="Marker"/>
          <w:color w:val="auto"/>
          <w:spacing w:val="-4"/>
        </w:rPr>
        <w:t>Le disposizioni sull'entrata in vigore dell'articolo ... sono integrate in relazione alle modifiche apportate alla legge sul miglioramento dell'applicazione della legge nelle reti sociali.</w:t>
      </w:r>
    </w:p>
    <w:sectPr w:rsidR="00132D0E" w:rsidRPr="00FC6820"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w:t>
      </w:r>
      <w:r>
        <w:rPr>
          <w:rStyle w:val="FootnoteReference"/>
          <w:vertAlign w:val="baseline"/>
        </w:rPr>
        <w:t>)</w:t>
      </w:r>
      <w:r>
        <w:tab/>
        <w:t>Notificato ai sensi della direttiva (UE) 2015/1535 del Parlamento europeo e del Consiglio, del 9 settembre 2015, che prevede una procedura d'informazione nel settore delle regolamentazioni tecniche e delle regole relative ai servizi della società dell'informazione (GU L 241 del 17.9.2015, pag.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ACD9" w14:textId="16EB1E5D"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rsidR="00A41D99">
      <w:rPr>
        <w:noProof/>
      </w:rPr>
      <w:t>6</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E50E" w14:textId="66737395"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rsidR="00A41D99">
      <w:rPr>
        <w:noProof/>
      </w:rPr>
      <w:t>5</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evenAndOddHeaders/>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41D99"/>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C6820"/>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80504-912C-405A-B271-2D6091869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2</TotalTime>
  <Pages>7</Pages>
  <Words>3144</Words>
  <Characters>17921</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Diana STOICA</cp:lastModifiedBy>
  <cp:revision>3</cp:revision>
  <cp:lastPrinted>2020-12-08T16:22:00Z</cp:lastPrinted>
  <dcterms:created xsi:type="dcterms:W3CDTF">2021-02-09T10:49:00Z</dcterms:created>
  <dcterms:modified xsi:type="dcterms:W3CDTF">2021-02-11T11:47:00Z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