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16E8" w14:textId="77777777" w:rsidR="000D7BDA" w:rsidRDefault="000D7BDA" w:rsidP="000D7BDA">
      <w:r>
        <w:t>Nařízení č. 2022-1541 ze dne 7. prosince 2022 , kterým se provádí článek 20-7 zákona č. 86-1067 ze dne 30. září 1986 o svobodě komunikace, kterým se stanoví prahové hodnoty a lhůta pro uplatnění povinností náležitého zdůraznění služeb obecného zájmu</w:t>
      </w:r>
    </w:p>
    <w:p w14:paraId="59427C80" w14:textId="77777777" w:rsidR="000D7BDA" w:rsidRDefault="000D7BDA" w:rsidP="000D7BDA">
      <w:r>
        <w:t>NOR: MICE2200636D</w:t>
      </w:r>
    </w:p>
    <w:p w14:paraId="66AF1982" w14:textId="77777777" w:rsidR="000D7BDA" w:rsidRDefault="000D7BDA" w:rsidP="000D7BDA">
      <w:r>
        <w:t>ELI: https://www.legifrance.gouv.fr/eli/decret/2022/12/7/MICE2200636D/jo/texte</w:t>
      </w:r>
    </w:p>
    <w:p w14:paraId="6672765A" w14:textId="77777777" w:rsidR="000D7BDA" w:rsidRDefault="000D7BDA" w:rsidP="000D7BDA">
      <w:r>
        <w:t>Alias: https://www.legifrance.gouv.fr/eli/decret/2022/12/7/2022-1541/jo/texte</w:t>
      </w:r>
    </w:p>
    <w:p w14:paraId="50334AA3" w14:textId="77777777" w:rsidR="000D7BDA" w:rsidRDefault="000D7BDA" w:rsidP="000D7BDA">
      <w:r>
        <w:t>Úřední věstník Francouzské republiky č. 0285 ze dne 9. prosince 2022</w:t>
      </w:r>
    </w:p>
    <w:p w14:paraId="5AC3374A" w14:textId="77777777" w:rsidR="000D7BDA" w:rsidRDefault="000D7BDA" w:rsidP="000D7BDA">
      <w:r>
        <w:t>Text č. 37</w:t>
      </w:r>
    </w:p>
    <w:p w14:paraId="0E2CF730" w14:textId="77777777" w:rsidR="000D7BDA" w:rsidRDefault="000D7BDA" w:rsidP="000D7BDA"/>
    <w:p w14:paraId="6E13B617" w14:textId="77777777" w:rsidR="000D7BDA" w:rsidRDefault="000D7BDA" w:rsidP="000D7BDA">
      <w:r>
        <w:t>Dotčená veřejnost: Regulační orgán pro audiovizuální a digitální komunikaci, provozovatelé uvedení v části II článku 20-7 zákona č. 86-1067 ze dne 30. září 1986 o svobodě komunikace.</w:t>
      </w:r>
    </w:p>
    <w:p w14:paraId="053D7F67" w14:textId="77777777" w:rsidR="000D7BDA" w:rsidRDefault="000D7BDA" w:rsidP="000D7BDA">
      <w:r>
        <w:t>Předmět: stanovení prahové hodnoty a lhůty pro uplatnění povinností náležitého zdůraznění služeb obecného zájmu.</w:t>
      </w:r>
    </w:p>
    <w:p w14:paraId="234D4D63" w14:textId="77777777" w:rsidR="000D7BDA" w:rsidRDefault="000D7BDA" w:rsidP="000D7BDA">
      <w:r>
        <w:t>Nabytí účinnosti: tento text nabývá účinnosti následujícího dne po jeho vyhlášení.</w:t>
      </w:r>
    </w:p>
    <w:p w14:paraId="679EA6EE" w14:textId="77777777" w:rsidR="000D7BDA" w:rsidRDefault="000D7BDA" w:rsidP="000D7BDA">
      <w:r>
        <w:t>Oznámení: nařízení stanoví prahovou hodnotu a lhůtu pro uplatnění povinností náležitého zdůraznění služeb obecného zájmu, kterým podléhají provozovatelé uvedení v čl. 20-7 odst. II zákona č. 86-1067 ze dne 30. září 1986 o svobodě komunikace.</w:t>
      </w:r>
    </w:p>
    <w:p w14:paraId="4C76DBBE" w14:textId="77777777" w:rsidR="000D7BDA" w:rsidRDefault="000D7BDA" w:rsidP="000D7BDA">
      <w:r>
        <w:t>Odkazy: nařízení je k dispozici k nahlédnutí na internetových stránkách Légifrance (https://www.legifrance.gouv.fr).</w:t>
      </w:r>
    </w:p>
    <w:p w14:paraId="06D8D55A" w14:textId="77777777" w:rsidR="000D7BDA" w:rsidRDefault="000D7BDA" w:rsidP="000D7BDA"/>
    <w:p w14:paraId="477DA28E" w14:textId="77777777" w:rsidR="000D7BDA" w:rsidRDefault="000D7BDA" w:rsidP="000D7BDA"/>
    <w:p w14:paraId="39D1F8A7" w14:textId="77777777" w:rsidR="000D7BDA" w:rsidRDefault="000D7BDA" w:rsidP="000D7BDA">
      <w:r>
        <w:t>Předseda vlády,</w:t>
      </w:r>
    </w:p>
    <w:p w14:paraId="473CFB0E" w14:textId="77777777" w:rsidR="000D7BDA" w:rsidRDefault="000D7BDA" w:rsidP="000D7BDA">
      <w:r>
        <w:t>v návaznosti na zprávu ministra kultury,</w:t>
      </w:r>
    </w:p>
    <w:p w14:paraId="09782081" w14:textId="77777777" w:rsidR="000D7BDA" w:rsidRDefault="000D7BDA" w:rsidP="000D7BDA">
      <w:r>
        <w:t>s ohledem na směrnici Evropského parlamentu a Rady (EU) 2015/1535 ze dne 9. září 2015 o postupu při poskytování informací v oblasti technických předpisů a předpisů pro služby informační společnosti, a zejména na oznámení č. 2022/194/F ze dne 6. dubna 2022;</w:t>
      </w:r>
    </w:p>
    <w:p w14:paraId="6083B53A" w14:textId="77777777" w:rsidR="000D7BDA" w:rsidRDefault="000D7BDA" w:rsidP="000D7BDA">
      <w:r>
        <w:t>s ohledem na směrnici Evropského parlamentu a Rady 2010/13/EU ze dne 10. března 2010 o koordinaci některých právních a správních předpisů členských států upravujících poskytování audiovizuálních mediálních služeb (směrnice o audiovizuálních mediálních službách), ve znění směrnice Evropského parlamentu a Rady (EU) 2018/1808 ze dne 14. listopadu 2018;</w:t>
      </w:r>
    </w:p>
    <w:p w14:paraId="37CC4D09" w14:textId="77777777" w:rsidR="000D7BDA" w:rsidRDefault="000D7BDA" w:rsidP="000D7BDA">
      <w:r>
        <w:t>s ohledem na zákon č. 86-1067 ze dne 30. září 1986 o svobodě komunikace, ve znění pozdějších předpisů, a zejména na jeho článek 20-7;</w:t>
      </w:r>
    </w:p>
    <w:p w14:paraId="33B41961" w14:textId="77777777" w:rsidR="000D7BDA" w:rsidRDefault="000D7BDA" w:rsidP="000D7BDA">
      <w:r>
        <w:t>s ohledem na stanovisko č. 2022-0497 Regulačního orgánu pro elektronické komunikace, poštu a distribuci tisku ze dne 17. března 2022;</w:t>
      </w:r>
    </w:p>
    <w:p w14:paraId="1F3E602D" w14:textId="77777777" w:rsidR="000D7BDA" w:rsidRDefault="000D7BDA" w:rsidP="000D7BDA">
      <w:r>
        <w:t>s ohledem na stanovisko č. 2022-12 Regulačního orgánu pro audiovizuální a digitální komunikaci ze dne 20. července 2022,</w:t>
      </w:r>
    </w:p>
    <w:p w14:paraId="36FC7231" w14:textId="77777777" w:rsidR="000D7BDA" w:rsidRDefault="000D7BDA" w:rsidP="000D7BDA">
      <w:r>
        <w:lastRenderedPageBreak/>
        <w:t>tímto stanoví následující:</w:t>
      </w:r>
    </w:p>
    <w:p w14:paraId="0DB5A575" w14:textId="77777777" w:rsidR="000D7BDA" w:rsidRDefault="000D7BDA" w:rsidP="000D7BDA"/>
    <w:p w14:paraId="0C994350" w14:textId="77777777" w:rsidR="000D7BDA" w:rsidRDefault="000D7BDA" w:rsidP="000D7BDA">
      <w:r>
        <w:t>Článek 1</w:t>
      </w:r>
    </w:p>
    <w:p w14:paraId="6EB80450" w14:textId="77777777" w:rsidR="000D7BDA" w:rsidRDefault="000D7BDA" w:rsidP="000D7BDA"/>
    <w:p w14:paraId="248A705E" w14:textId="77777777" w:rsidR="000D7BDA" w:rsidRDefault="000D7BDA" w:rsidP="000D7BDA">
      <w:r>
        <w:t>Prahová hodnota uvedená v čl. 20-7 odst. II výše uvedeného zákona ze dne 30. září 1986 se stanoví podle podmínek stanovených v článcích 2 a 3 tohoto nařízení.</w:t>
      </w:r>
    </w:p>
    <w:p w14:paraId="6E059100" w14:textId="77777777" w:rsidR="000D7BDA" w:rsidRDefault="000D7BDA" w:rsidP="000D7BDA"/>
    <w:p w14:paraId="66989872" w14:textId="77777777" w:rsidR="000D7BDA" w:rsidRDefault="000D7BDA" w:rsidP="000D7BDA">
      <w:r>
        <w:t>Článek 2</w:t>
      </w:r>
    </w:p>
    <w:p w14:paraId="071D398A" w14:textId="77777777" w:rsidR="000D7BDA" w:rsidRDefault="000D7BDA" w:rsidP="000D7BDA"/>
    <w:p w14:paraId="07351ABC" w14:textId="77777777" w:rsidR="000D7BDA" w:rsidRDefault="000D7BDA" w:rsidP="000D7BDA">
      <w:r>
        <w:t>I. – Pro uživatelská rozhraní uvedená v odst. 1 a 2 oddílu I výše uvedeného v článku 20-7 je prahová hodnota stanovena na 150 000 uživatelských rozhraní uváděných na trh, zpřístupněných v rámci smlouvy o předplatném nebo pronajatých během posledního kalendářního roku ve Francii.</w:t>
      </w:r>
    </w:p>
    <w:p w14:paraId="1B4F493C" w14:textId="77777777" w:rsidR="000D7BDA" w:rsidRDefault="000D7BDA" w:rsidP="000D7BDA">
      <w:r>
        <w:t>II. – Pro uplatnění prahové hodnoty uvedené v odstavci I se za stejné uživatelské rozhraní považují uživatelská rozhraní, která splňují tyto tři podmínky:</w:t>
      </w:r>
    </w:p>
    <w:p w14:paraId="4BB93958" w14:textId="77777777" w:rsidR="000D7BDA" w:rsidRDefault="000D7BDA" w:rsidP="000D7BDA"/>
    <w:p w14:paraId="1BD9C7CD" w14:textId="77777777" w:rsidR="000D7BDA" w:rsidRDefault="000D7BDA" w:rsidP="000D7BDA"/>
    <w:p w14:paraId="0CD2CD5B" w14:textId="77777777" w:rsidR="000D7BDA" w:rsidRDefault="000D7BDA" w:rsidP="000D7BDA">
      <w:r>
        <w:t>– jsou instalována v zařízeních stejné kategorie z těch, která jsou uvedena v čl. 20-7 odst. 1 a 2 oddílu I výšeuvedeného článku 20-7;</w:t>
      </w:r>
    </w:p>
    <w:p w14:paraId="0E1CD349" w14:textId="77777777" w:rsidR="000D7BDA" w:rsidRDefault="000D7BDA" w:rsidP="000D7BDA">
      <w:r>
        <w:t>– jsou instalována v zařízeních stejné značky;</w:t>
      </w:r>
    </w:p>
    <w:p w14:paraId="02E245FB" w14:textId="77777777" w:rsidR="000D7BDA" w:rsidRDefault="000D7BDA" w:rsidP="000D7BDA">
      <w:r>
        <w:t>– jsou instalována v zařízeních používajících tentýž operační systém, v jakékoli z jeho verzí.</w:t>
      </w:r>
    </w:p>
    <w:p w14:paraId="3DA352F9" w14:textId="77777777" w:rsidR="000D7BDA" w:rsidRDefault="000D7BDA" w:rsidP="000D7BDA"/>
    <w:p w14:paraId="3DB2FB6B" w14:textId="77777777" w:rsidR="000D7BDA" w:rsidRDefault="000D7BDA" w:rsidP="000D7BDA">
      <w:r>
        <w:t>Článek 3</w:t>
      </w:r>
    </w:p>
    <w:p w14:paraId="16640400" w14:textId="77777777" w:rsidR="000D7BDA" w:rsidRDefault="000D7BDA" w:rsidP="000D7BDA"/>
    <w:p w14:paraId="15FA3C75" w14:textId="77777777" w:rsidR="000D7BDA" w:rsidRDefault="000D7BDA" w:rsidP="000D7BDA">
      <w:r>
        <w:t>Pro uživatelská rozhraní uvedená v odst. 3 a 4 oddílu I výše uvedeného článku 20-7 je prahová hodnota stanovena na 3 miliony jedinečných návštěvníků měsíčně pro každé uživatelské rozhraní ve Francii. Tato prahová hodnota uvedená v prvním pododstavci se vypočítá na základě posledního kalendářního roku.</w:t>
      </w:r>
    </w:p>
    <w:p w14:paraId="3BEE20C8" w14:textId="77777777" w:rsidR="000D7BDA" w:rsidRDefault="000D7BDA" w:rsidP="000D7BDA"/>
    <w:p w14:paraId="396C6F0D" w14:textId="77777777" w:rsidR="000D7BDA" w:rsidRDefault="000D7BDA" w:rsidP="000D7BDA">
      <w:r>
        <w:t>Článek 4</w:t>
      </w:r>
    </w:p>
    <w:p w14:paraId="0FED09C3" w14:textId="77777777" w:rsidR="000D7BDA" w:rsidRDefault="000D7BDA" w:rsidP="000D7BDA"/>
    <w:p w14:paraId="139C2E9F" w14:textId="77777777" w:rsidR="000D7BDA" w:rsidRDefault="000D7BDA" w:rsidP="000D7BDA">
      <w:r>
        <w:t>Regulační orgán pro audiovizuální a digitální komunikaci zveřejní nejpozději do 15. března každého roku seznam uživatelských rozhraní, která překročila prahové hodnoty stanovené v článcích 2 a 3.</w:t>
      </w:r>
    </w:p>
    <w:p w14:paraId="69B546C0" w14:textId="77777777" w:rsidR="000D7BDA" w:rsidRDefault="000D7BDA" w:rsidP="000D7BDA">
      <w:r>
        <w:t>Provozovatelé uvedení v oddíle II výše uvedeného čl. 20-7 odst. II mají dobu devíti měsíců od zveřejnění seznamu uvedeného v prvním odstavci, aby splniti povinnost stanovenou v oddíle II tohoto článku.</w:t>
      </w:r>
    </w:p>
    <w:p w14:paraId="6A682E68" w14:textId="77777777" w:rsidR="000D7BDA" w:rsidRDefault="000D7BDA" w:rsidP="000D7BDA"/>
    <w:p w14:paraId="39C932E2" w14:textId="77777777" w:rsidR="000D7BDA" w:rsidRDefault="000D7BDA" w:rsidP="000D7BDA">
      <w:r>
        <w:t>Článek 5</w:t>
      </w:r>
    </w:p>
    <w:p w14:paraId="76B1DF8A" w14:textId="77777777" w:rsidR="000D7BDA" w:rsidRDefault="000D7BDA" w:rsidP="000D7BDA"/>
    <w:p w14:paraId="20D9B05D" w14:textId="77777777" w:rsidR="000D7BDA" w:rsidRDefault="000D7BDA" w:rsidP="000D7BDA">
      <w:r>
        <w:t>Ustanovení tohoto nařízení platí v Nové Kaledonii, Francouzské Polynésii, na ostrovech Wallis a Futuna a na Francouzských jižních a antarktických územích.</w:t>
      </w:r>
    </w:p>
    <w:p w14:paraId="5A4FA3BE" w14:textId="77777777" w:rsidR="000D7BDA" w:rsidRDefault="000D7BDA" w:rsidP="000D7BDA"/>
    <w:p w14:paraId="3C49A68F" w14:textId="77777777" w:rsidR="000D7BDA" w:rsidRDefault="000D7BDA" w:rsidP="000D7BDA">
      <w:r>
        <w:t>Článek 6</w:t>
      </w:r>
    </w:p>
    <w:p w14:paraId="7087A36C" w14:textId="77777777" w:rsidR="000D7BDA" w:rsidRDefault="000D7BDA" w:rsidP="000D7BDA"/>
    <w:p w14:paraId="1E956085" w14:textId="77777777" w:rsidR="000D7BDA" w:rsidRDefault="000D7BDA" w:rsidP="000D7BDA">
      <w:r>
        <w:t>Prováděním tohoto nařízení, které bude vyhlášeno v Úředním věstníku Francouzské republiky, jsou pověřeni, každý v rámci své působnosti, ministr vnitra a zámořských území, ministr kultury a ministr pověřený ministrem vnitra a zámořských území.</w:t>
      </w:r>
    </w:p>
    <w:p w14:paraId="63A49293" w14:textId="77777777" w:rsidR="000D7BDA" w:rsidRDefault="000D7BDA" w:rsidP="000D7BDA"/>
    <w:p w14:paraId="3B97FD73" w14:textId="77777777" w:rsidR="000D7BDA" w:rsidRDefault="000D7BDA" w:rsidP="000D7BDA"/>
    <w:p w14:paraId="50E2FBC5" w14:textId="77777777" w:rsidR="000D7BDA" w:rsidRDefault="000D7BDA" w:rsidP="000D7BDA">
      <w:r>
        <w:t>Dne 7. prosince 2022.</w:t>
      </w:r>
    </w:p>
    <w:p w14:paraId="2EE189FC" w14:textId="77777777" w:rsidR="000D7BDA" w:rsidRDefault="000D7BDA" w:rsidP="000D7BDA"/>
    <w:p w14:paraId="1D776516" w14:textId="77777777" w:rsidR="000D7BDA" w:rsidRDefault="000D7BDA" w:rsidP="000D7BDA"/>
    <w:p w14:paraId="086DBCFC" w14:textId="77777777" w:rsidR="000D7BDA" w:rsidRDefault="000D7BDA" w:rsidP="000D7BDA">
      <w:r>
        <w:t>Élisabeth Borne</w:t>
      </w:r>
    </w:p>
    <w:p w14:paraId="74F7C7AA" w14:textId="77777777" w:rsidR="000D7BDA" w:rsidRDefault="000D7BDA" w:rsidP="000D7BDA">
      <w:r>
        <w:t>Za předsedu vlády:</w:t>
      </w:r>
    </w:p>
    <w:p w14:paraId="60B3C6D5" w14:textId="77777777" w:rsidR="000D7BDA" w:rsidRDefault="000D7BDA" w:rsidP="000D7BDA"/>
    <w:p w14:paraId="6BDFBFCE" w14:textId="77777777" w:rsidR="000D7BDA" w:rsidRDefault="000D7BDA" w:rsidP="000D7BDA"/>
    <w:p w14:paraId="01CE274B" w14:textId="77777777" w:rsidR="000D7BDA" w:rsidRDefault="000D7BDA" w:rsidP="000D7BDA">
      <w:r>
        <w:t>Ministryně kultury,</w:t>
      </w:r>
    </w:p>
    <w:p w14:paraId="5CC6199F" w14:textId="77777777" w:rsidR="000D7BDA" w:rsidRDefault="000D7BDA" w:rsidP="000D7BDA">
      <w:r>
        <w:t>Rima Abdul-Malak</w:t>
      </w:r>
    </w:p>
    <w:p w14:paraId="36D1DD81" w14:textId="77777777" w:rsidR="000D7BDA" w:rsidRDefault="000D7BDA" w:rsidP="000D7BDA"/>
    <w:p w14:paraId="2C2B6832" w14:textId="77777777" w:rsidR="000D7BDA" w:rsidRDefault="000D7BDA" w:rsidP="000D7BDA"/>
    <w:p w14:paraId="184900D6" w14:textId="77777777" w:rsidR="000D7BDA" w:rsidRDefault="000D7BDA" w:rsidP="000D7BDA">
      <w:r>
        <w:t>Ministr vnitra a zámořských území,</w:t>
      </w:r>
    </w:p>
    <w:p w14:paraId="43B1CDD6" w14:textId="77777777" w:rsidR="000D7BDA" w:rsidRDefault="000D7BDA" w:rsidP="000D7BDA">
      <w:r>
        <w:t>Gérald Darmanin</w:t>
      </w:r>
    </w:p>
    <w:p w14:paraId="17325825" w14:textId="77777777" w:rsidR="000D7BDA" w:rsidRDefault="000D7BDA" w:rsidP="000D7BDA"/>
    <w:p w14:paraId="016C4F46" w14:textId="77777777" w:rsidR="000D7BDA" w:rsidRDefault="000D7BDA" w:rsidP="000D7BDA"/>
    <w:p w14:paraId="3329DD03" w14:textId="77777777" w:rsidR="000D7BDA" w:rsidRDefault="000D7BDA" w:rsidP="000D7BDA">
      <w:r>
        <w:t>Ministr pověřený ministrem vnitra a zámořských území odpovědným za zámořská území,</w:t>
      </w:r>
    </w:p>
    <w:p w14:paraId="681098DA" w14:textId="77777777" w:rsidR="00C55609" w:rsidRDefault="000D7BDA" w:rsidP="000D7BDA">
      <w:r>
        <w:t>Jean-François Carenco</w:t>
      </w:r>
    </w:p>
    <w:sectPr w:rsidR="00C5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DA"/>
    <w:rsid w:val="000D7BDA"/>
    <w:rsid w:val="00290539"/>
    <w:rsid w:val="00C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F4F"/>
  <w15:chartTrackingRefBased/>
  <w15:docId w15:val="{68483E26-7F3B-4476-AC1B-0C0989BD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3965</Characters>
  <Application>Microsoft Office Word</Application>
  <DocSecurity>0</DocSecurity>
  <Lines>104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2023-01-11T08:48:00Z</dcterms:created>
  <dcterms:modified xsi:type="dcterms:W3CDTF">2023-01-11T08:48:00Z</dcterms:modified>
</cp:coreProperties>
</file>