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1F" w:rsidRPr="00AA2BA3" w:rsidRDefault="008E2A1F" w:rsidP="008E2A1F">
      <w:pPr>
        <w:jc w:val="center"/>
        <w:rPr>
          <w:rFonts w:ascii="Courier New" w:hAnsi="Courier New" w:cs="Courier New"/>
          <w:sz w:val="20"/>
        </w:rPr>
      </w:pPr>
      <w:r w:rsidRPr="00AA2BA3">
        <w:rPr>
          <w:rFonts w:ascii="Courier New" w:hAnsi="Courier New"/>
          <w:sz w:val="20"/>
        </w:rPr>
        <w:t>1. ------IND- 2019 0213 PL- FR- ------ 20190522 --- --- IMPACT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966"/>
        <w:gridCol w:w="451"/>
        <w:gridCol w:w="14"/>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692"/>
      </w:tblGrid>
      <w:tr w:rsidR="00DA5292" w:rsidRPr="00AA2BA3" w:rsidTr="008E2A1F">
        <w:tc>
          <w:tcPr>
            <w:tcW w:w="6631" w:type="dxa"/>
            <w:gridSpan w:val="17"/>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br w:type="page"/>
            </w:r>
            <w:r w:rsidRPr="00AA2BA3">
              <w:rPr>
                <w:rFonts w:ascii="Times New Roman" w:hAnsi="Times New Roman"/>
                <w:sz w:val="24"/>
              </w:rPr>
              <w:t>Nom du projet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Décret du ministre de la numérisation relatif aux exigences techniques et opérationnelles pour les récepteurs numériques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Ministère chargé du projet et ministères ayant collaboré au projet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Ministère de la numérisation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Personne responsable du projet, qui peut être un ministre, un secrétaire d’État ou un sous-secrétaire d’État: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Mme Wanda Buk, Sous-secrétaire d’État au ministère de la numérisation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Coordonnées du superviseur du contenu du projet: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Rafał Radłowski</w:t>
            </w:r>
          </w:p>
          <w:p w:rsidR="00DA5292" w:rsidRPr="00AA2BA3"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Tél.: +48 22 245 58 09</w:t>
            </w:r>
          </w:p>
        </w:tc>
        <w:tc>
          <w:tcPr>
            <w:tcW w:w="3576" w:type="dxa"/>
            <w:gridSpan w:val="1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Date de création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b/>
                <w:sz w:val="24"/>
                <w:szCs w:val="20"/>
              </w:rPr>
            </w:pPr>
            <w:r w:rsidRPr="00AA2BA3">
              <w:rPr>
                <w:rFonts w:ascii="Times New Roman" w:hAnsi="Times New Roman"/>
                <w:sz w:val="24"/>
              </w:rPr>
              <w:t>10.5.2019</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Source: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Article 132, paragraphe 3, de la loi du 16 juillet 2004 sur les télécommunications (Journal officiel de 2018, texte 1954, tel que modifié)</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Nº sur la liste de travaux du ministère de la numérisation:</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117</w:t>
            </w:r>
          </w:p>
        </w:tc>
      </w:tr>
      <w:tr w:rsidR="00DA5292" w:rsidRPr="00AA2BA3" w:rsidTr="008E2A1F">
        <w:tc>
          <w:tcPr>
            <w:tcW w:w="10207" w:type="dxa"/>
            <w:gridSpan w:val="29"/>
            <w:shd w:val="clear" w:color="auto" w:fill="99CC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ÉVALUATION D’IMPACT RÉGLEMENTAIRE</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1.</w:t>
            </w:r>
            <w:r w:rsidRPr="00AA2BA3">
              <w:tab/>
            </w:r>
            <w:r w:rsidRPr="00AA2BA3">
              <w:rPr>
                <w:rFonts w:ascii="Times New Roman" w:hAnsi="Times New Roman"/>
                <w:color w:val="000000"/>
                <w:sz w:val="24"/>
              </w:rPr>
              <w:t>Quel est le problème à résoudre?</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Calibri" w:hAnsi="Times New Roman" w:cs="Times New Roman"/>
                <w:color w:val="000000"/>
                <w:sz w:val="24"/>
                <w:szCs w:val="20"/>
              </w:rPr>
            </w:pPr>
            <w:r w:rsidRPr="00AA2BA3">
              <w:rPr>
                <w:rFonts w:ascii="Times New Roman" w:hAnsi="Times New Roman"/>
                <w:sz w:val="24"/>
              </w:rPr>
              <w:t>Le projet de règlement définit les exigences techniques et opérationnelles requises pour la bonne réception par les récepteurs numériques terrestres des signaux fournis par voie terrestre suivant le système DVB-T et DVB-T2. Le projet de décret prend en compte les changements liés à l’adaptation des récepteurs de télévision aux paramètres exigés par la nouvelle norme de diffusion: DVB-T2 dont l’introduction est le résultat de la réglementation du plan d’action national pour la réaffectation de la bande 700 MHz en Pologne concernant la nécessité de libérer la bande dite 700 MHz pour les besoins des systèmes de communication mobile à large bande et l’introduction de la télévision numérique terrestre DVB-T2. En outre, le projet de décret régit le marché actuel des récepteurs numériques destinés à la réception de la diffusion de la télévision en Pologne.</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2.</w:t>
            </w:r>
            <w:r w:rsidRPr="00AA2BA3">
              <w:tab/>
            </w:r>
            <w:r w:rsidRPr="00AA2BA3">
              <w:rPr>
                <w:rFonts w:ascii="Times New Roman" w:hAnsi="Times New Roman"/>
                <w:color w:val="000000"/>
                <w:sz w:val="24"/>
              </w:rPr>
              <w:t>Solution recommandée, y compris les outils d’intervention prévus et l’effet escompté</w:t>
            </w:r>
          </w:p>
        </w:tc>
      </w:tr>
      <w:tr w:rsidR="00DA5292" w:rsidRPr="00AA2BA3" w:rsidTr="008E2A1F">
        <w:tc>
          <w:tcPr>
            <w:tcW w:w="10207" w:type="dxa"/>
            <w:gridSpan w:val="2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projet de décret constitue l’une des mesures qui préparent le marché et les consommateurs à l’introduction d’un système de transmission de signaux de radiodiffusion selon les nouvelles normes DVB-T2 qui sera possible si les consommateurs sont équipés de récepteurs DVB-T2 satisfaisant aux exigences notifiées dans le projet de décret.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En outre, le projet de décret permettra la préparation technique des opérateurs réseau et des organismes de radiodiffusion aux changements de norme de diffusion et de prendre en compte l’avantage qu’apporte la norme DVB-T2. Le projet de décret prend en compte les nouvelles solutions techniques </w:t>
            </w:r>
            <w:r w:rsidRPr="00AA2BA3">
              <w:rPr>
                <w:rFonts w:ascii="Times New Roman" w:hAnsi="Times New Roman"/>
                <w:sz w:val="24"/>
              </w:rPr>
              <w:lastRenderedPageBreak/>
              <w:t>et d’exploitation appliquées par les fabricants.</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lastRenderedPageBreak/>
              <w:t>3.</w:t>
            </w:r>
            <w:r w:rsidRPr="00AA2BA3">
              <w:tab/>
            </w:r>
            <w:r w:rsidRPr="00AA2BA3">
              <w:rPr>
                <w:rFonts w:ascii="Times New Roman" w:hAnsi="Times New Roman"/>
                <w:color w:val="000000"/>
                <w:sz w:val="24"/>
              </w:rPr>
              <w:t xml:space="preserve">Comment le problème a-t-il été résolu dans d’autres pays, et notamment dans les pays membres de l’OCDE/l’UE? </w:t>
            </w:r>
          </w:p>
        </w:tc>
      </w:tr>
      <w:tr w:rsidR="00DA5292" w:rsidRPr="00AA2BA3" w:rsidTr="008E2A1F">
        <w:tc>
          <w:tcPr>
            <w:tcW w:w="10207" w:type="dxa"/>
            <w:gridSpan w:val="2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rPr>
            </w:pPr>
            <w:r w:rsidRPr="00AA2BA3">
              <w:rPr>
                <w:rFonts w:ascii="Times New Roman" w:hAnsi="Times New Roman"/>
                <w:sz w:val="24"/>
              </w:rPr>
              <w:t>La télévision numérique terrestre DVB-T2 a été introduite dans les pays suivants: Autriche, Allemagne, Suisse, Belgique, Croatie, Danemark, Finlande, Ghana, Italie, Kenya, Kirghizstan, Malawi, Mongolie, Namibie, Nouvelle-Zélande, Nigeria, Arabie saoudite, Serbie, Suriname, Suède, Tanzanie, Ouganda, Royaume-Uni, Ukraine, Vietnam, Zambie.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rPr>
            </w:pPr>
            <w:r w:rsidRPr="00AA2BA3">
              <w:rPr>
                <w:rFonts w:ascii="Times New Roman" w:hAnsi="Times New Roman"/>
                <w:sz w:val="24"/>
              </w:rPr>
              <w:t>La décision concernant l’introduction de la télévision numérique terrestre DVB-T2 a été prise dans les pays suivants: Afghanistan, Angola, Azerbaïdjan, Brunei, Cameroun, Colombie, République tchèque, Congo, Haïti, Inde, Indonésie, Lesotho, Madagascar, Malaisie, Maurice, Monténégro, Mozambique, Myanmar, Népal, Qatar, Roumanie, Seychelles, Sierra Leone, Singapour, Slovaquie, République d’Afrique du Sud, Sri Lanka, Swaziland, Tadjikistan, Thaïlande, Togo, Turquie, Ukraine, Zimbabwe.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sz w:val="24"/>
              </w:rPr>
              <w:t>La télévision connectée HbbTV a été introduite dans les pays suivants: Australie, Autriche, Bosnie-Herzégovine, Bulgarie, Croatie, République tchèque, Danemark, Estonie, Finlande, France, Allemagne, Grèce, Hongrie, Italie, Luxembourg, Madagascar, Malaisie, Maurice, Namibie, Nouvelle-Zélande, Norvège, Pologne,</w:t>
            </w:r>
            <w:bookmarkStart w:id="0" w:name="_GoBack"/>
            <w:bookmarkEnd w:id="0"/>
            <w:r w:rsidRPr="00AA2BA3">
              <w:rPr>
                <w:rFonts w:ascii="Times New Roman" w:hAnsi="Times New Roman"/>
                <w:sz w:val="24"/>
              </w:rPr>
              <w:t xml:space="preserve"> Russie, Arabie saoudite, Sénégal, Singapour, Slovaquie, Slovénie, Espagne, Suède, Suisse, Pays-Bas, Turquie, Émirats arabes unis, Royaume-Uni, Vietnam. La décision concernant l’introduction de la télévision connectée HbbTV a été prise dans les pays suivants: Gambie, Irlande, Côte-d’Ivoire, Jordanie et République d’Afrique du Sud.</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4.</w:t>
            </w:r>
            <w:r w:rsidRPr="00AA2BA3">
              <w:tab/>
            </w:r>
            <w:r w:rsidRPr="00AA2BA3">
              <w:rPr>
                <w:rFonts w:ascii="Times New Roman" w:hAnsi="Times New Roman"/>
                <w:color w:val="000000"/>
                <w:sz w:val="24"/>
              </w:rPr>
              <w:t>Entités concernées par le projet de réglementation</w:t>
            </w:r>
          </w:p>
        </w:tc>
      </w:tr>
      <w:tr w:rsidR="00DA5292" w:rsidRPr="00AA2BA3" w:rsidTr="008E2A1F">
        <w:tc>
          <w:tcPr>
            <w:tcW w:w="2668" w:type="dxa"/>
            <w:gridSpan w:val="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Groupe</w:t>
            </w:r>
          </w:p>
        </w:tc>
        <w:tc>
          <w:tcPr>
            <w:tcW w:w="2292" w:type="dxa"/>
            <w:gridSpan w:val="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Nombre</w:t>
            </w:r>
          </w:p>
        </w:tc>
        <w:tc>
          <w:tcPr>
            <w:tcW w:w="2996" w:type="dxa"/>
            <w:gridSpan w:val="1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Source des données </w:t>
            </w:r>
          </w:p>
        </w:tc>
        <w:tc>
          <w:tcPr>
            <w:tcW w:w="2251" w:type="dxa"/>
            <w:gridSpan w:val="6"/>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Impact</w:t>
            </w:r>
          </w:p>
        </w:tc>
      </w:tr>
      <w:tr w:rsidR="00DA5292" w:rsidRPr="00AA2BA3" w:rsidTr="008E2A1F">
        <w:tc>
          <w:tcPr>
            <w:tcW w:w="2668" w:type="dxa"/>
            <w:gridSpan w:val="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L’entrée en vigueur du projet de décret aura un effet bénéfique sur le marché des fabricants de récepteurs numériques destinés à la réception de la diffusion de la télévision</w:t>
            </w:r>
          </w:p>
        </w:tc>
        <w:tc>
          <w:tcPr>
            <w:tcW w:w="2292" w:type="dxa"/>
            <w:gridSpan w:val="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2,2 millions de récepteurs de télévision – ventes annuelles</w:t>
            </w:r>
          </w:p>
        </w:tc>
        <w:tc>
          <w:tcPr>
            <w:tcW w:w="2996" w:type="dxa"/>
            <w:gridSpan w:val="1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Stratégie de réglementation</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Pour les années 2017 à 2022 – Conseil national de la radio et de la télévision, Varsovie, 1</w:t>
            </w:r>
            <w:r w:rsidRPr="00AA2BA3">
              <w:rPr>
                <w:rFonts w:ascii="Times New Roman" w:hAnsi="Times New Roman"/>
                <w:sz w:val="24"/>
                <w:vertAlign w:val="superscript"/>
              </w:rPr>
              <w:t>er</w:t>
            </w:r>
            <w:r w:rsidRPr="00AA2BA3">
              <w:rPr>
                <w:rFonts w:ascii="Times New Roman" w:hAnsi="Times New Roman"/>
                <w:sz w:val="24"/>
              </w:rPr>
              <w:t> mars 2018</w:t>
            </w:r>
          </w:p>
        </w:tc>
        <w:tc>
          <w:tcPr>
            <w:tcW w:w="2251" w:type="dxa"/>
            <w:gridSpan w:val="6"/>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Le projet de décret aura pour conséquence l’obligation d’adapter les récepteurs destinés à la vente au marché polonais. Les principaux fabricants des récepteurs TV produisent des récepteurs qui </w:t>
            </w:r>
            <w:r w:rsidRPr="00AA2BA3">
              <w:rPr>
                <w:rFonts w:ascii="Times New Roman" w:hAnsi="Times New Roman"/>
                <w:sz w:val="24"/>
              </w:rPr>
              <w:lastRenderedPageBreak/>
              <w:t xml:space="preserve">satisfont aux exigences de plusieurs pays à la fois (par exemple: tous les pays d’Europe). C’est pourquoi les récepteurs en vente sur le marché polonais satisfont également aux exigences principales appliquées dans d’autres pays. </w:t>
            </w:r>
          </w:p>
        </w:tc>
      </w:tr>
      <w:tr w:rsidR="00DA5292" w:rsidRPr="00AA2BA3" w:rsidTr="008E2A1F">
        <w:tc>
          <w:tcPr>
            <w:tcW w:w="2668" w:type="dxa"/>
            <w:gridSpan w:val="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lastRenderedPageBreak/>
              <w:t>L’entrée en vigueur du projet de décret aura un impact sur les consommateurs</w:t>
            </w:r>
          </w:p>
        </w:tc>
        <w:tc>
          <w:tcPr>
            <w:tcW w:w="2292" w:type="dxa"/>
            <w:gridSpan w:val="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4,4 millions de consommateurs reçoivent la télévision numérique terrestre</w:t>
            </w:r>
          </w:p>
        </w:tc>
        <w:tc>
          <w:tcPr>
            <w:tcW w:w="2996" w:type="dxa"/>
            <w:gridSpan w:val="1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Les informations concernant les problèmes principaux de radiodiffusion en 2017 – Conseil national de la radio et de la télévision, Varsovie, mars 2018</w:t>
            </w:r>
          </w:p>
        </w:tc>
        <w:tc>
          <w:tcPr>
            <w:tcW w:w="2251" w:type="dxa"/>
            <w:gridSpan w:val="6"/>
            <w:shd w:val="clear" w:color="auto" w:fill="auto"/>
          </w:tcPr>
          <w:p w:rsidR="00DA5292" w:rsidRPr="00AA2BA3"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projet de décret n’a pas d’impact direct sur les consommateurs</w:t>
            </w:r>
            <w:r w:rsidR="00B0131F" w:rsidRPr="00AA2BA3">
              <w:rPr>
                <w:rFonts w:ascii="Times New Roman" w:hAnsi="Times New Roman"/>
                <w:sz w:val="24"/>
              </w:rPr>
              <w:t xml:space="preserve">, </w:t>
            </w:r>
            <w:r w:rsidRPr="00AA2BA3">
              <w:rPr>
                <w:rFonts w:ascii="Times New Roman" w:hAnsi="Times New Roman"/>
                <w:sz w:val="24"/>
              </w:rPr>
              <w:t>mais l’entrée en vigueur du décret permettra au client de choisir en toute conscience des appareils dans le cadre du renouvellement des équipements.</w:t>
            </w:r>
          </w:p>
        </w:tc>
      </w:tr>
      <w:tr w:rsidR="00DA5292" w:rsidRPr="00AA2BA3" w:rsidTr="008E2A1F">
        <w:tc>
          <w:tcPr>
            <w:tcW w:w="2668" w:type="dxa"/>
            <w:gridSpan w:val="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L’entrée en vigueur du projet de décret aura un impact sur les organismes de radiodiffusion</w:t>
            </w:r>
          </w:p>
        </w:tc>
        <w:tc>
          <w:tcPr>
            <w:tcW w:w="2292" w:type="dxa"/>
            <w:gridSpan w:val="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996" w:type="dxa"/>
            <w:gridSpan w:val="1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251" w:type="dxa"/>
            <w:gridSpan w:val="6"/>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La publication des exigences minimales pour les récepteurs n’a pas d’impact direct sur les </w:t>
            </w:r>
            <w:r w:rsidRPr="00AA2BA3">
              <w:rPr>
                <w:rFonts w:ascii="Times New Roman" w:hAnsi="Times New Roman"/>
                <w:sz w:val="24"/>
              </w:rPr>
              <w:lastRenderedPageBreak/>
              <w:t>opérateurs de réseau. Les exigences peuvent influencer les choix de solutions dans le cas d’investissements.</w:t>
            </w:r>
          </w:p>
        </w:tc>
      </w:tr>
      <w:tr w:rsidR="00DA5292" w:rsidRPr="00AA2BA3" w:rsidTr="008E2A1F">
        <w:tc>
          <w:tcPr>
            <w:tcW w:w="2668" w:type="dxa"/>
            <w:gridSpan w:val="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lastRenderedPageBreak/>
              <w:t>L’entrée en vigueur du projet de décret aura un impact sur les organismes de radiodiffusion</w:t>
            </w:r>
          </w:p>
        </w:tc>
        <w:tc>
          <w:tcPr>
            <w:tcW w:w="2292" w:type="dxa"/>
            <w:gridSpan w:val="9"/>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996" w:type="dxa"/>
            <w:gridSpan w:val="12"/>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251" w:type="dxa"/>
            <w:gridSpan w:val="6"/>
            <w:shd w:val="clear" w:color="auto" w:fill="auto"/>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L’introduction de nouvelles exigences pour les récepteurs ne signifie pas automatiquement qu’il y aura des changements du côté des organismes.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La définition d’exigences minimales pour les récepteurs de télévision permettra aux organismes de proposer des offres plus attractives à l’avenir après le lancement de DVB-T2. La possibilité de passer à des programmes en haute résolution avec une meilleure qualité d’image sur grand écran et l’introduction de la télévision connectée </w:t>
            </w:r>
            <w:r w:rsidRPr="00AA2BA3">
              <w:rPr>
                <w:rFonts w:ascii="Times New Roman" w:hAnsi="Times New Roman"/>
                <w:sz w:val="24"/>
              </w:rPr>
              <w:lastRenderedPageBreak/>
              <w:t>(HbbTV) peut influencer le rapport à la télévision numérique terrestre en tant qu’offre comparable à la télévision par câble et par satellite.</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lastRenderedPageBreak/>
              <w:t>5.</w:t>
            </w:r>
            <w:r w:rsidRPr="00AA2BA3">
              <w:tab/>
            </w:r>
            <w:r w:rsidRPr="00AA2BA3">
              <w:rPr>
                <w:rFonts w:ascii="Times New Roman" w:hAnsi="Times New Roman"/>
                <w:color w:val="000000"/>
                <w:sz w:val="24"/>
              </w:rPr>
              <w:t>Informations sur la portée, la durée et le résumé des résultats de la consultation</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Dans la consultation publique et pour formulation d’avis, le projet a été reçu par: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w:t>
            </w:r>
            <w:r w:rsidRPr="00AA2BA3">
              <w:tab/>
            </w:r>
            <w:r w:rsidRPr="00AA2BA3">
              <w:rPr>
                <w:rFonts w:ascii="Times New Roman" w:hAnsi="Times New Roman"/>
                <w:sz w:val="24"/>
              </w:rPr>
              <w:t>Le président de l’Office des communications électroniques;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w:t>
            </w:r>
            <w:r w:rsidRPr="00AA2BA3">
              <w:tab/>
            </w:r>
            <w:r w:rsidRPr="00AA2BA3">
              <w:rPr>
                <w:rFonts w:ascii="Times New Roman" w:hAnsi="Times New Roman"/>
                <w:sz w:val="24"/>
              </w:rPr>
              <w:t>Le président de l’Office de protection de la concurrence et des consommateurs;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w:t>
            </w:r>
            <w:r w:rsidRPr="00AA2BA3">
              <w:tab/>
            </w:r>
            <w:r w:rsidRPr="00AA2BA3">
              <w:rPr>
                <w:rFonts w:ascii="Times New Roman" w:hAnsi="Times New Roman"/>
                <w:sz w:val="24"/>
              </w:rPr>
              <w:t>Le président de l’Office pour la protection des données personnelles;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4.</w:t>
            </w:r>
            <w:r w:rsidRPr="00AA2BA3">
              <w:tab/>
            </w:r>
            <w:r w:rsidRPr="00AA2BA3">
              <w:rPr>
                <w:rFonts w:ascii="Times New Roman" w:hAnsi="Times New Roman"/>
                <w:sz w:val="24"/>
              </w:rPr>
              <w:t>Le président de l’Office central des statistiques;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5.</w:t>
            </w:r>
            <w:r w:rsidRPr="00AA2BA3">
              <w:tab/>
            </w:r>
            <w:r w:rsidRPr="00AA2BA3">
              <w:rPr>
                <w:rFonts w:ascii="Times New Roman" w:hAnsi="Times New Roman"/>
                <w:sz w:val="24"/>
              </w:rPr>
              <w:t>Le médiateur des petites et des moyennes entreprises;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6.</w:t>
            </w:r>
            <w:r w:rsidRPr="00AA2BA3">
              <w:tab/>
            </w:r>
            <w:r w:rsidRPr="00AA2BA3">
              <w:rPr>
                <w:rFonts w:ascii="Times New Roman" w:hAnsi="Times New Roman"/>
                <w:sz w:val="24"/>
              </w:rPr>
              <w:t xml:space="preserve">La Chambre polonaise des technologies de l’information et des télécommunications;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7.</w:t>
            </w:r>
            <w:r w:rsidRPr="00AA2BA3">
              <w:tab/>
            </w:r>
            <w:r w:rsidRPr="00AA2BA3">
              <w:rPr>
                <w:rFonts w:ascii="Times New Roman" w:hAnsi="Times New Roman"/>
                <w:sz w:val="24"/>
              </w:rPr>
              <w:t>La Chambre nationale du commerce de l’électronique et des télécommunications;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8.</w:t>
            </w:r>
            <w:r w:rsidRPr="00AA2BA3">
              <w:tab/>
            </w:r>
            <w:r w:rsidRPr="00AA2BA3">
              <w:rPr>
                <w:rFonts w:ascii="Times New Roman" w:hAnsi="Times New Roman"/>
                <w:sz w:val="24"/>
              </w:rPr>
              <w:t>La Chambre polonaise des communications électroniques;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9.</w:t>
            </w:r>
            <w:r w:rsidRPr="00AA2BA3">
              <w:tab/>
            </w:r>
            <w:r w:rsidRPr="00AA2BA3">
              <w:rPr>
                <w:rFonts w:ascii="Times New Roman" w:hAnsi="Times New Roman"/>
                <w:sz w:val="24"/>
              </w:rPr>
              <w:t>La Chambre nationale de commerce;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10.</w:t>
            </w:r>
            <w:r w:rsidRPr="00AA2BA3">
              <w:tab/>
            </w:r>
            <w:r w:rsidRPr="00AA2BA3">
              <w:rPr>
                <w:rFonts w:ascii="Times New Roman" w:hAnsi="Times New Roman"/>
                <w:sz w:val="24"/>
              </w:rPr>
              <w:t>La Chambre nationale des communications Ethernet;</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11.</w:t>
            </w:r>
            <w:r w:rsidRPr="00AA2BA3">
              <w:tab/>
            </w:r>
            <w:r w:rsidRPr="00AA2BA3">
              <w:rPr>
                <w:rFonts w:ascii="Times New Roman" w:hAnsi="Times New Roman"/>
                <w:sz w:val="24"/>
              </w:rPr>
              <w:t>La Chambre polonaise de radiodiffusion numérique;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12.</w:t>
            </w:r>
            <w:r w:rsidRPr="00AA2BA3">
              <w:tab/>
            </w:r>
            <w:r w:rsidRPr="00AA2BA3">
              <w:rPr>
                <w:rFonts w:ascii="Times New Roman" w:hAnsi="Times New Roman"/>
                <w:sz w:val="24"/>
              </w:rPr>
              <w:t>La Chambre polonaise de commerce;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13.</w:t>
            </w:r>
            <w:r w:rsidRPr="00AA2BA3">
              <w:tab/>
            </w:r>
            <w:r w:rsidRPr="00AA2BA3">
              <w:rPr>
                <w:rFonts w:ascii="Times New Roman" w:hAnsi="Times New Roman"/>
                <w:sz w:val="24"/>
              </w:rPr>
              <w:t>La Fondation pour un cyberespace sécurisé;</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14.</w:t>
            </w:r>
            <w:r w:rsidRPr="00AA2BA3">
              <w:tab/>
            </w:r>
            <w:r w:rsidRPr="00AA2BA3">
              <w:rPr>
                <w:rFonts w:ascii="Times New Roman" w:hAnsi="Times New Roman"/>
                <w:sz w:val="24"/>
              </w:rPr>
              <w:t>La Société polonaise de l’informatique;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15.</w:t>
            </w:r>
            <w:r w:rsidRPr="00AA2BA3">
              <w:tab/>
            </w:r>
            <w:r w:rsidRPr="00AA2BA3">
              <w:rPr>
                <w:rFonts w:ascii="Times New Roman" w:hAnsi="Times New Roman"/>
                <w:sz w:val="24"/>
              </w:rPr>
              <w:t>La Fondation Nowoczesna Polska;</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16.</w:t>
            </w:r>
            <w:r w:rsidRPr="00AA2BA3">
              <w:tab/>
            </w:r>
            <w:r w:rsidRPr="00AA2BA3">
              <w:rPr>
                <w:rFonts w:ascii="Times New Roman" w:hAnsi="Times New Roman"/>
                <w:sz w:val="24"/>
              </w:rPr>
              <w:t>La Fondation Projekt Polska;</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w:t>
            </w:r>
            <w:r w:rsidRPr="00AA2BA3">
              <w:tab/>
            </w:r>
            <w:r w:rsidRPr="00AA2BA3">
              <w:rPr>
                <w:rFonts w:ascii="Times New Roman" w:hAnsi="Times New Roman"/>
                <w:sz w:val="24"/>
              </w:rPr>
              <w:t>Internet Society Poland;</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18.</w:t>
            </w:r>
            <w:r w:rsidRPr="00AA2BA3">
              <w:tab/>
            </w:r>
            <w:r w:rsidRPr="00AA2BA3">
              <w:rPr>
                <w:rFonts w:ascii="Times New Roman" w:hAnsi="Times New Roman"/>
                <w:sz w:val="24"/>
              </w:rPr>
              <w:t>L’Association des ingénieurs des télécommunications;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19.</w:t>
            </w:r>
            <w:r w:rsidRPr="00AA2BA3">
              <w:tab/>
            </w:r>
            <w:r w:rsidRPr="00AA2BA3">
              <w:rPr>
                <w:rFonts w:ascii="Times New Roman" w:hAnsi="Times New Roman"/>
                <w:sz w:val="24"/>
              </w:rPr>
              <w:t>La Fondation Panoptykon;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20.</w:t>
            </w:r>
            <w:r w:rsidRPr="00AA2BA3">
              <w:tab/>
            </w:r>
            <w:r w:rsidRPr="00AA2BA3">
              <w:rPr>
                <w:rFonts w:ascii="Times New Roman" w:hAnsi="Times New Roman"/>
                <w:sz w:val="24"/>
              </w:rPr>
              <w:t>Le Conseil du dialogue social;</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21.</w:t>
            </w:r>
            <w:r w:rsidRPr="00AA2BA3">
              <w:tab/>
            </w:r>
            <w:r w:rsidRPr="00AA2BA3">
              <w:rPr>
                <w:rFonts w:ascii="Times New Roman" w:hAnsi="Times New Roman"/>
                <w:sz w:val="24"/>
              </w:rPr>
              <w:t>L’Association des employeurs, Business Centre Club;</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22.</w:t>
            </w:r>
            <w:r w:rsidRPr="00AA2BA3">
              <w:tab/>
            </w:r>
            <w:r w:rsidRPr="00AA2BA3">
              <w:rPr>
                <w:rFonts w:ascii="Times New Roman" w:hAnsi="Times New Roman"/>
                <w:sz w:val="24"/>
              </w:rPr>
              <w:t>Le Syndicat indépendant et autonome «Solidarność»;</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23.</w:t>
            </w:r>
            <w:r w:rsidRPr="00AA2BA3">
              <w:tab/>
            </w:r>
            <w:r w:rsidRPr="00AA2BA3">
              <w:rPr>
                <w:rFonts w:ascii="Times New Roman" w:hAnsi="Times New Roman"/>
                <w:sz w:val="24"/>
              </w:rPr>
              <w:t xml:space="preserve">L’Entente nationale des syndicats polonais;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lastRenderedPageBreak/>
              <w:t>24.</w:t>
            </w:r>
            <w:r w:rsidRPr="00AA2BA3">
              <w:tab/>
            </w:r>
            <w:r w:rsidRPr="00AA2BA3">
              <w:rPr>
                <w:rFonts w:ascii="Times New Roman" w:hAnsi="Times New Roman"/>
                <w:sz w:val="24"/>
              </w:rPr>
              <w:t>Le Forum des syndicats;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25.</w:t>
            </w:r>
            <w:r w:rsidRPr="00AA2BA3">
              <w:tab/>
            </w:r>
            <w:r w:rsidRPr="00AA2BA3">
              <w:rPr>
                <w:rFonts w:ascii="Times New Roman" w:hAnsi="Times New Roman"/>
                <w:sz w:val="24"/>
              </w:rPr>
              <w:t>Les Employeurs de la République de Pologne;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26.</w:t>
            </w:r>
            <w:r w:rsidRPr="00AA2BA3">
              <w:tab/>
            </w:r>
            <w:r w:rsidRPr="00AA2BA3">
              <w:rPr>
                <w:rFonts w:ascii="Times New Roman" w:hAnsi="Times New Roman"/>
                <w:sz w:val="24"/>
              </w:rPr>
              <w:t xml:space="preserve">La Confédération Lewiatan;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27.</w:t>
            </w:r>
            <w:r w:rsidRPr="00AA2BA3">
              <w:tab/>
            </w:r>
            <w:r w:rsidRPr="00AA2BA3">
              <w:rPr>
                <w:rFonts w:ascii="Times New Roman" w:hAnsi="Times New Roman"/>
                <w:sz w:val="24"/>
              </w:rPr>
              <w:t xml:space="preserve">L’Association des artisans polonais;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28.</w:t>
            </w:r>
            <w:r w:rsidRPr="00AA2BA3">
              <w:tab/>
            </w:r>
            <w:r w:rsidRPr="00AA2BA3">
              <w:rPr>
                <w:rFonts w:ascii="Times New Roman" w:hAnsi="Times New Roman"/>
                <w:sz w:val="24"/>
              </w:rPr>
              <w:t>L’Union des entrepreneurs et des employeurs;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29.</w:t>
            </w:r>
            <w:r w:rsidRPr="00AA2BA3">
              <w:tab/>
            </w:r>
            <w:r w:rsidRPr="00AA2BA3">
              <w:rPr>
                <w:rFonts w:ascii="Times New Roman" w:hAnsi="Times New Roman"/>
                <w:sz w:val="24"/>
              </w:rPr>
              <w:t>L’Association des employeurs des médias publics;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30.</w:t>
            </w:r>
            <w:r w:rsidRPr="00AA2BA3">
              <w:tab/>
            </w:r>
            <w:r w:rsidRPr="00AA2BA3">
              <w:rPr>
                <w:rFonts w:ascii="Times New Roman" w:hAnsi="Times New Roman"/>
                <w:sz w:val="24"/>
              </w:rPr>
              <w:t>Le Syndicat des employeurs de l’industrie de l’Internet IAB Pologne;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31.</w:t>
            </w:r>
            <w:r w:rsidRPr="00AA2BA3">
              <w:tab/>
            </w:r>
            <w:r w:rsidRPr="00AA2BA3">
              <w:rPr>
                <w:rFonts w:ascii="Times New Roman" w:hAnsi="Times New Roman"/>
                <w:sz w:val="24"/>
              </w:rPr>
              <w:t xml:space="preserve">La Fédération des syndicats des employeurs du secteur des télécommunications;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32.</w:t>
            </w:r>
            <w:r w:rsidRPr="00AA2BA3">
              <w:tab/>
            </w:r>
            <w:r w:rsidRPr="00AA2BA3">
              <w:rPr>
                <w:rFonts w:ascii="Times New Roman" w:hAnsi="Times New Roman"/>
                <w:sz w:val="24"/>
              </w:rPr>
              <w:t>Le Conseil national des entreprises;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33.</w:t>
            </w:r>
            <w:r w:rsidRPr="00AA2BA3">
              <w:tab/>
            </w:r>
            <w:r w:rsidRPr="00AA2BA3">
              <w:rPr>
                <w:rFonts w:ascii="Times New Roman" w:hAnsi="Times New Roman"/>
                <w:sz w:val="24"/>
              </w:rPr>
              <w:t>La Fédération polonaise des ingénieurs;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34.</w:t>
            </w:r>
            <w:r w:rsidRPr="00AA2BA3">
              <w:tab/>
            </w:r>
            <w:r w:rsidRPr="00AA2BA3">
              <w:rPr>
                <w:rFonts w:ascii="Times New Roman" w:hAnsi="Times New Roman"/>
                <w:sz w:val="24"/>
              </w:rPr>
              <w:t>L’Association des employeurs des médias électroniques et des télécommunications Mediakom;</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35.</w:t>
            </w:r>
            <w:r w:rsidRPr="00AA2BA3">
              <w:tab/>
            </w:r>
            <w:r w:rsidRPr="00AA2BA3">
              <w:rPr>
                <w:rFonts w:ascii="Times New Roman" w:hAnsi="Times New Roman"/>
                <w:sz w:val="24"/>
              </w:rPr>
              <w:t>La Chambre d’économie électronique,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36.</w:t>
            </w:r>
            <w:r w:rsidRPr="00AA2BA3">
              <w:tab/>
            </w:r>
            <w:r w:rsidRPr="00AA2BA3">
              <w:rPr>
                <w:rFonts w:ascii="Times New Roman" w:hAnsi="Times New Roman"/>
                <w:sz w:val="24"/>
              </w:rPr>
              <w:t>La Fondation ePaństwo;</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37.</w:t>
            </w:r>
            <w:r w:rsidRPr="00AA2BA3">
              <w:tab/>
            </w:r>
            <w:r w:rsidRPr="00AA2BA3">
              <w:rPr>
                <w:rFonts w:ascii="Times New Roman" w:hAnsi="Times New Roman"/>
                <w:sz w:val="24"/>
              </w:rPr>
              <w:t>La Fédération des consommateurs.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38.</w:t>
            </w:r>
            <w:r w:rsidRPr="00AA2BA3">
              <w:tab/>
            </w:r>
            <w:r w:rsidRPr="00AA2BA3">
              <w:rPr>
                <w:rFonts w:ascii="Times New Roman" w:hAnsi="Times New Roman"/>
                <w:sz w:val="24"/>
              </w:rPr>
              <w:t>L’Association polonaise des télévisions par câble, Chambre de commerce;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39.</w:t>
            </w:r>
            <w:r w:rsidRPr="00AA2BA3">
              <w:tab/>
            </w:r>
            <w:r w:rsidRPr="00AA2BA3">
              <w:rPr>
                <w:rFonts w:ascii="Times New Roman" w:hAnsi="Times New Roman"/>
                <w:sz w:val="24"/>
              </w:rPr>
              <w:t>L’Association des importateurs et des producteurs d’équipements électriques et électroniques du secteur RTV et IT – ZIPSEE «Cyfrowa Polska».</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Conformément aux dispositions de l’article 5 de la loi du 7 juillet 2005 sur l’activité de lobbying dans le processus législatif (Journal officiel 2017, texte 248), le projet de règlement a été diffusé sur le site internet du Bulletin d’information publique du ministre de la numérisation et dans le Bulletin d’information publique du Centre législatif du gouvernement, sous la rubrique «Processus législatif du gouvernement». Durant la consultation publique et la formulation d’avis, le projet de réglementation a fait l’objet d’observations. La plupart d’entre elles ont été retenues. Un examen détaillé des résultats de la consultation publique et de la formulation d’avis se trouve dans le tableau annexe au rapport de la consultation. Il n’y a pas eu de signalements de la part d’opérateurs liés aux dispositions sur l’activité de lobbying dans le processus législatif.</w:t>
            </w:r>
          </w:p>
        </w:tc>
      </w:tr>
      <w:tr w:rsidR="00DA5292" w:rsidRPr="00AA2BA3" w:rsidTr="008E2A1F">
        <w:tc>
          <w:tcPr>
            <w:tcW w:w="10207" w:type="dxa"/>
            <w:gridSpan w:val="29"/>
            <w:shd w:val="clear" w:color="auto" w:fill="99CCFF"/>
            <w:vAlign w:val="center"/>
          </w:tcPr>
          <w:p w:rsidR="00DA5292" w:rsidRPr="00AA2BA3" w:rsidRDefault="008E2A1F"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lastRenderedPageBreak/>
              <w:t>6.</w:t>
            </w:r>
            <w:r w:rsidRPr="00AA2BA3">
              <w:tab/>
            </w:r>
            <w:r w:rsidRPr="00AA2BA3">
              <w:rPr>
                <w:rFonts w:ascii="Times New Roman" w:hAnsi="Times New Roman"/>
                <w:color w:val="000000"/>
                <w:sz w:val="24"/>
              </w:rPr>
              <w:t>Impact sur le secteur des finances publiques</w:t>
            </w:r>
          </w:p>
        </w:tc>
      </w:tr>
      <w:tr w:rsidR="00DA5292" w:rsidRPr="00AA2BA3" w:rsidTr="008E2A1F">
        <w:tc>
          <w:tcPr>
            <w:tcW w:w="3133" w:type="dxa"/>
            <w:gridSpan w:val="4"/>
            <w:vMerge w:val="restart"/>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sidRPr="00AA2BA3">
              <w:rPr>
                <w:rFonts w:ascii="Times New Roman" w:hAnsi="Times New Roman"/>
                <w:sz w:val="24"/>
              </w:rPr>
              <w:t>[prix constants pour ...... (année)]</w:t>
            </w:r>
          </w:p>
        </w:tc>
        <w:tc>
          <w:tcPr>
            <w:tcW w:w="7074" w:type="dxa"/>
            <w:gridSpan w:val="2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sidRPr="00AA2BA3">
              <w:rPr>
                <w:rFonts w:ascii="Times New Roman" w:hAnsi="Times New Roman"/>
                <w:sz w:val="24"/>
              </w:rPr>
              <w:t>Effets sur une période de 10 ans à compter de la date d’entrée en vigueur des modifications [en millions de PLN]</w:t>
            </w:r>
          </w:p>
        </w:tc>
      </w:tr>
      <w:tr w:rsidR="00DA5292" w:rsidRPr="00AA2BA3" w:rsidTr="008E2A1F">
        <w:tc>
          <w:tcPr>
            <w:tcW w:w="3133" w:type="dxa"/>
            <w:gridSpan w:val="4"/>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4</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5</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6</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7</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8</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9</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10</w:t>
            </w:r>
          </w:p>
        </w:tc>
        <w:tc>
          <w:tcPr>
            <w:tcW w:w="807" w:type="dxa"/>
            <w:gridSpan w:val="2"/>
            <w:shd w:val="clear" w:color="auto" w:fill="FFFFFF"/>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i/>
                <w:sz w:val="24"/>
                <w:szCs w:val="20"/>
              </w:rPr>
            </w:pPr>
            <w:r w:rsidRPr="00AA2BA3">
              <w:rPr>
                <w:rFonts w:ascii="Times New Roman" w:hAnsi="Times New Roman"/>
                <w:i/>
                <w:sz w:val="24"/>
              </w:rPr>
              <w:t>Au total (0-10)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lastRenderedPageBreak/>
              <w:t>Total des recettes</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Budget de l’État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JST (collectivités territoriales)</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Autres entités (séparément)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Total des dépenses</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Budget de l’État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JST (collectivités territoriales)</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Autres entités (séparément)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Solde total</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Budget de l’État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JST (collectivités territoriales)</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33" w:type="dxa"/>
            <w:gridSpan w:val="4"/>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Autres entités (séparément)</w:t>
            </w:r>
          </w:p>
        </w:tc>
        <w:tc>
          <w:tcPr>
            <w:tcW w:w="569"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69"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570"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80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r>
      <w:tr w:rsidR="00DA5292" w:rsidRPr="00AA2BA3" w:rsidTr="008E2A1F">
        <w:tc>
          <w:tcPr>
            <w:tcW w:w="3119" w:type="dxa"/>
            <w:gridSpan w:val="3"/>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Sources de financement </w:t>
            </w:r>
          </w:p>
        </w:tc>
        <w:tc>
          <w:tcPr>
            <w:tcW w:w="7088" w:type="dxa"/>
            <w:gridSpan w:val="26"/>
            <w:shd w:val="clear" w:color="auto" w:fill="FFFFFF"/>
            <w:vAlign w:val="center"/>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L’entrée en vigueur du projet de décret n’aura pas d’impact sur​ le secteur des finances publiques, y compris pour les recettes et les dépenses du budget de l’État et des collectivités territoriales.</w:t>
            </w:r>
          </w:p>
        </w:tc>
      </w:tr>
      <w:tr w:rsidR="00DA5292" w:rsidRPr="00AA2BA3" w:rsidTr="008E2A1F">
        <w:tc>
          <w:tcPr>
            <w:tcW w:w="3119" w:type="dxa"/>
            <w:gridSpan w:val="3"/>
            <w:shd w:val="clear" w:color="auto" w:fill="FFFFFF"/>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Renseignements supplémentaires, y compris l’identification des sources de données et les hypothèses retenues dans le calcul</w:t>
            </w:r>
          </w:p>
        </w:tc>
        <w:tc>
          <w:tcPr>
            <w:tcW w:w="7088" w:type="dxa"/>
            <w:gridSpan w:val="2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0207" w:type="dxa"/>
            <w:gridSpan w:val="29"/>
            <w:shd w:val="clear" w:color="auto" w:fill="99CCFF"/>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7.</w:t>
            </w:r>
            <w:r w:rsidRPr="00AA2BA3">
              <w:tab/>
            </w:r>
            <w:r w:rsidRPr="00AA2BA3">
              <w:rPr>
                <w:rFonts w:ascii="Times New Roman" w:hAnsi="Times New Roman"/>
                <w:color w:val="000000"/>
                <w:sz w:val="24"/>
              </w:rPr>
              <w:t xml:space="preserve">Impact sur la compétitivité de l’économie et de l’entrepreneuriat, y compris sur le fonctionnement des entreprises et sur les familles, les citoyens et les ménages </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Effets</w:t>
            </w:r>
          </w:p>
        </w:tc>
      </w:tr>
      <w:tr w:rsidR="00DA5292" w:rsidRPr="00AA2BA3" w:rsidTr="008E2A1F">
        <w:tc>
          <w:tcPr>
            <w:tcW w:w="3889" w:type="dxa"/>
            <w:gridSpan w:val="7"/>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Période en nombre d’années à compter de l’entrée en vigueur des modifications</w:t>
            </w:r>
          </w:p>
        </w:tc>
        <w:tc>
          <w:tcPr>
            <w:tcW w:w="93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938"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2</w:t>
            </w:r>
          </w:p>
        </w:tc>
        <w:tc>
          <w:tcPr>
            <w:tcW w:w="937"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3</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5</w:t>
            </w:r>
          </w:p>
        </w:tc>
        <w:tc>
          <w:tcPr>
            <w:tcW w:w="938"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10</w:t>
            </w:r>
          </w:p>
        </w:tc>
        <w:tc>
          <w:tcPr>
            <w:tcW w:w="692"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sidRPr="00AA2BA3">
              <w:rPr>
                <w:rFonts w:ascii="Times New Roman" w:hAnsi="Times New Roman"/>
                <w:i/>
                <w:sz w:val="24"/>
              </w:rPr>
              <w:t>Au total (0-10)</w:t>
            </w:r>
          </w:p>
        </w:tc>
      </w:tr>
      <w:tr w:rsidR="00DA5292" w:rsidRPr="00AA2BA3" w:rsidTr="008E2A1F">
        <w:tc>
          <w:tcPr>
            <w:tcW w:w="1702" w:type="dxa"/>
            <w:vMerge w:val="restart"/>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En termes monétaires</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sz w:val="24"/>
              </w:rPr>
              <w:t xml:space="preserve">(en millions </w:t>
            </w:r>
            <w:r w:rsidRPr="00AA2BA3">
              <w:rPr>
                <w:rFonts w:ascii="Times New Roman" w:hAnsi="Times New Roman"/>
                <w:sz w:val="24"/>
              </w:rPr>
              <w:lastRenderedPageBreak/>
              <w:t>de PLN, prix constants pour 2018)</w:t>
            </w: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lastRenderedPageBreak/>
              <w:t>grandes entreprises</w:t>
            </w:r>
          </w:p>
        </w:tc>
        <w:tc>
          <w:tcPr>
            <w:tcW w:w="93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c>
          <w:tcPr>
            <w:tcW w:w="937"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c>
          <w:tcPr>
            <w:tcW w:w="938"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c>
          <w:tcPr>
            <w:tcW w:w="692"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176</w:t>
            </w: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secteur des micro, petites et moyennes </w:t>
            </w:r>
            <w:r w:rsidRPr="00AA2BA3">
              <w:rPr>
                <w:rFonts w:ascii="Times New Roman" w:hAnsi="Times New Roman"/>
                <w:sz w:val="24"/>
              </w:rPr>
              <w:lastRenderedPageBreak/>
              <w:t>entreprises</w:t>
            </w:r>
          </w:p>
        </w:tc>
        <w:tc>
          <w:tcPr>
            <w:tcW w:w="93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7"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692"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sz w:val="24"/>
              </w:rPr>
              <w:t>familles, citoyens et ménages</w:t>
            </w:r>
          </w:p>
        </w:tc>
        <w:tc>
          <w:tcPr>
            <w:tcW w:w="93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938"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937"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170</w:t>
            </w:r>
          </w:p>
        </w:tc>
        <w:tc>
          <w:tcPr>
            <w:tcW w:w="938"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0</w:t>
            </w:r>
          </w:p>
        </w:tc>
        <w:tc>
          <w:tcPr>
            <w:tcW w:w="692"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170</w:t>
            </w: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noProof/>
                <w:sz w:val="24"/>
              </w:rPr>
              <w:t>(ajouter/supprimer)</w:t>
            </w:r>
          </w:p>
        </w:tc>
        <w:tc>
          <w:tcPr>
            <w:tcW w:w="937" w:type="dxa"/>
            <w:gridSpan w:val="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7"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3"/>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692" w:type="dxa"/>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val="restart"/>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En termes non monétaires</w:t>
            </w: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grandes entreprises</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secteur des micro, petites et moyennes entreprises</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sz w:val="24"/>
              </w:rPr>
              <w:t>familles, citoyens et ménages</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noProof/>
                <w:sz w:val="24"/>
              </w:rPr>
              <w:t>(ajouter/supprimer)</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val="restart"/>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Non quantifiables</w:t>
            </w: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noProof/>
                <w:sz w:val="24"/>
              </w:rPr>
              <w:t>(ajouter/supprimer)</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702" w:type="dxa"/>
            <w:vMerge/>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noProof/>
                <w:sz w:val="24"/>
              </w:rPr>
              <w:t>(ajouter/supprimer)</w:t>
            </w:r>
          </w:p>
        </w:tc>
        <w:tc>
          <w:tcPr>
            <w:tcW w:w="6318" w:type="dxa"/>
            <w:gridSpan w:val="2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3119" w:type="dxa"/>
            <w:gridSpan w:val="3"/>
            <w:shd w:val="clear" w:color="auto" w:fill="FFFFFF"/>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Renseignements supplémentaires, y compris l’identification des sources de données et les hypothèses retenues dans le calcul </w:t>
            </w:r>
          </w:p>
        </w:tc>
        <w:tc>
          <w:tcPr>
            <w:tcW w:w="7088" w:type="dxa"/>
            <w:gridSpan w:val="26"/>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projet de décret affectera directement les fabricants (grandes entreprises) en raison de royalties supplémentaires: env. 8 PLN pour une vente annuelle de 2,2 millions de récepteurs à partir de l’entrée en vigueur du décret, c’est-à-dire 17,6 millions par an.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Le projet de règlement n’aura aucune incidence sur la compétitivité, y compris sur le fonctionnement des entreprises et sur les familles, les citoyens et les ménages </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Les effets sociaux et économiques résulteront principalement de la décision sur le changement des normes et non pas des précisions sur les exigences fonctionnelles. La décision sur les changements de normes d’émission résultera d’un autre acte législatif. Le projet de décret a un impact direct sur 1,7 million des 4,5 millions de ménages qui reçoivent la télévision numérique terrestre (32 % de consommateurs) puisqu’une partie d’entre eux achètera sur une période de 4 ans de nouveaux récepteurs de télévision permettant de la recevoir selon la norme DVB-T2. L’estimation du coût d’un appareil STB est de 100 PLN. La plus importante vente de récepteurs STB aura lieu suite au changement des normes d’émissions.</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Il a été considéré que les changements de normes d’émission de DVB-T/AVC vers DVB-T2/HEVC seraient synchronisés avec la </w:t>
            </w:r>
            <w:r w:rsidRPr="00AA2BA3">
              <w:rPr>
                <w:rFonts w:ascii="Times New Roman" w:hAnsi="Times New Roman"/>
                <w:sz w:val="24"/>
              </w:rPr>
              <w:lastRenderedPageBreak/>
              <w:t>réaffectation de la bande 700 MHz en Pologne.</w:t>
            </w:r>
          </w:p>
        </w:tc>
      </w:tr>
      <w:tr w:rsidR="00DA5292" w:rsidRPr="00AA2BA3" w:rsidTr="008E2A1F">
        <w:tc>
          <w:tcPr>
            <w:tcW w:w="10207" w:type="dxa"/>
            <w:gridSpan w:val="29"/>
            <w:shd w:val="clear" w:color="auto" w:fill="99CCFF"/>
            <w:vAlign w:val="center"/>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lastRenderedPageBreak/>
              <w:t>8.</w:t>
            </w:r>
            <w:r w:rsidRPr="00AA2BA3">
              <w:tab/>
            </w:r>
            <w:r w:rsidRPr="00AA2BA3">
              <w:rPr>
                <w:rFonts w:ascii="Times New Roman" w:hAnsi="Times New Roman"/>
                <w:color w:val="000000"/>
                <w:sz w:val="24"/>
              </w:rPr>
              <w:t>Modification des charges réglementaires (y compris des obligations en matière d’information) résultant du projet</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60288" behindDoc="0" locked="0" layoutInCell="1" allowOverlap="1" wp14:anchorId="77D4CCD6" wp14:editId="39C32CBF">
                      <wp:simplePos x="0" y="0"/>
                      <wp:positionH relativeFrom="column">
                        <wp:posOffset>1905</wp:posOffset>
                      </wp:positionH>
                      <wp:positionV relativeFrom="paragraph">
                        <wp:posOffset>33655</wp:posOffset>
                      </wp:positionV>
                      <wp:extent cx="127635" cy="90170"/>
                      <wp:effectExtent l="0" t="0" r="24765" b="2413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65FB0EDB" id="_x0000_t32" coordsize="21600,21600" o:spt="32" o:oned="t" path="m,l21600,21600e" filled="f">
                      <v:path arrowok="t" fillok="f" o:connecttype="none"/>
                      <o:lock v:ext="edit" shapetype="t"/>
                    </v:shapetype>
                    <v:shape xmlns:o="urn:schemas-microsoft-com:office:office" xmlns:v="urn:schemas-microsoft-com:vml" id="Łącznik prosty ze strzałką 4" o:spid="_x0000_s1026" type="#_x0000_t32" style="position:absolute;margin-left:.15pt;margin-top:2.65pt;width:10.05pt;height:7.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"/>
                  </w:pict>
                </mc:Fallback>
              </mc:AlternateContent>
            </w: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59264" behindDoc="0" locked="0" layoutInCell="1" allowOverlap="1" wp14:anchorId="0F9870BC" wp14:editId="66298B80">
                      <wp:simplePos x="0" y="0"/>
                      <wp:positionH relativeFrom="column">
                        <wp:posOffset>1905</wp:posOffset>
                      </wp:positionH>
                      <wp:positionV relativeFrom="paragraph">
                        <wp:posOffset>33655</wp:posOffset>
                      </wp:positionV>
                      <wp:extent cx="127635" cy="90170"/>
                      <wp:effectExtent l="0" t="0" r="24765" b="2413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52A5519F" id="Łącznik prosty ze strzałką 3" o:spid="_x0000_s1026" type="#_x0000_t32" style="position:absolute;margin-left:.15pt;margin-top:2.65pt;width:10.0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"/>
                  </w:pict>
                </mc:Fallback>
              </mc:AlternateContent>
            </w:r>
            <w:r w:rsidRPr="00AA2BA3">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sans objet</w:t>
            </w:r>
          </w:p>
        </w:tc>
      </w:tr>
      <w:tr w:rsidR="00DA5292" w:rsidRPr="00AA2BA3" w:rsidTr="008E2A1F">
        <w:tc>
          <w:tcPr>
            <w:tcW w:w="5111" w:type="dxa"/>
            <w:gridSpan w:val="1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Mise en place des charges en dehors de celles strictement exigées par l’UE (voir le tableau de compatibilité inverse).</w:t>
            </w:r>
          </w:p>
        </w:tc>
        <w:tc>
          <w:tcPr>
            <w:tcW w:w="5096" w:type="dxa"/>
            <w:gridSpan w:val="17"/>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oui</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non</w:t>
            </w:r>
          </w:p>
          <w:p w:rsidR="00DA5292" w:rsidRPr="00AA2BA3"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61312" behindDoc="0" locked="0" layoutInCell="1" allowOverlap="1" wp14:anchorId="5983DEE9" wp14:editId="330B6551">
                      <wp:simplePos x="0" y="0"/>
                      <wp:positionH relativeFrom="column">
                        <wp:posOffset>13970</wp:posOffset>
                      </wp:positionH>
                      <wp:positionV relativeFrom="paragraph">
                        <wp:posOffset>36830</wp:posOffset>
                      </wp:positionV>
                      <wp:extent cx="127635" cy="90170"/>
                      <wp:effectExtent l="0" t="0" r="24765" b="2413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7D99E22A" id="_x0000_t32" coordsize="21600,21600" o:spt="32" o:oned="t" path="m,l21600,21600e" filled="f">
                      <v:path arrowok="t" fillok="f" o:connecttype="none"/>
                      <o:lock v:ext="edit" shapetype="t"/>
                    </v:shapetype>
                    <v:shape xmlns:o="urn:schemas-microsoft-com:office:office" xmlns:v="urn:schemas-microsoft-com:vml" id="Łącznik prosty ze strzałką 6" o:spid="_x0000_s1026" type="#_x0000_t32" style="position:absolute;margin-left:1.1pt;margin-top:2.9pt;width:10.0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"/>
                  </w:pict>
                </mc:Fallback>
              </mc:AlternateContent>
            </w: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62336" behindDoc="0" locked="0" layoutInCell="1" allowOverlap="1" wp14:anchorId="62D997F9" wp14:editId="50A80991">
                      <wp:simplePos x="0" y="0"/>
                      <wp:positionH relativeFrom="column">
                        <wp:posOffset>-7620</wp:posOffset>
                      </wp:positionH>
                      <wp:positionV relativeFrom="paragraph">
                        <wp:posOffset>41910</wp:posOffset>
                      </wp:positionV>
                      <wp:extent cx="127635" cy="90170"/>
                      <wp:effectExtent l="0" t="0" r="24765" b="2413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288C4036" id="Łącznik prosty ze strzałką 7" o:spid="_x0000_s1026" type="#_x0000_t32" style="position:absolute;margin-left:-.6pt;margin-top:3.3pt;width:10.05pt;height:7.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"/>
                  </w:pict>
                </mc:Fallback>
              </mc:AlternateContent>
            </w:r>
            <w:r w:rsidR="00DA5292"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00DA5292"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00DA5292"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sans objet</w:t>
            </w:r>
          </w:p>
        </w:tc>
      </w:tr>
      <w:tr w:rsidR="00DA5292" w:rsidRPr="00AA2BA3" w:rsidTr="008E2A1F">
        <w:tc>
          <w:tcPr>
            <w:tcW w:w="5111" w:type="dxa"/>
            <w:gridSpan w:val="1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réduction du nombre de documents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réduction du nombre de procédures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réduction du délai de traitement de chaque dossier</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autres:</w:t>
            </w:r>
          </w:p>
        </w:tc>
        <w:tc>
          <w:tcPr>
            <w:tcW w:w="5096" w:type="dxa"/>
            <w:gridSpan w:val="17"/>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augmentation du nombre de documents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augmentation du nombre de procédures</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prolongation du délai de traitement de chaque dossier</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autres:</w:t>
            </w:r>
          </w:p>
        </w:tc>
      </w:tr>
      <w:tr w:rsidR="00DA5292" w:rsidRPr="00AA2BA3" w:rsidTr="008E2A1F">
        <w:tc>
          <w:tcPr>
            <w:tcW w:w="5111" w:type="dxa"/>
            <w:gridSpan w:val="12"/>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 xml:space="preserve">Les charges mises en place sont adaptées au traitement électronique. </w:t>
            </w:r>
          </w:p>
        </w:tc>
        <w:tc>
          <w:tcPr>
            <w:tcW w:w="5096" w:type="dxa"/>
            <w:gridSpan w:val="17"/>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oui</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non</w:t>
            </w:r>
          </w:p>
          <w:p w:rsidR="00DA5292" w:rsidRPr="00AA2BA3" w:rsidRDefault="008E2A1F"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63360" behindDoc="0" locked="0" layoutInCell="1" allowOverlap="1" wp14:anchorId="71399207" wp14:editId="48A4158C">
                      <wp:simplePos x="0" y="0"/>
                      <wp:positionH relativeFrom="column">
                        <wp:posOffset>4445</wp:posOffset>
                      </wp:positionH>
                      <wp:positionV relativeFrom="paragraph">
                        <wp:posOffset>27305</wp:posOffset>
                      </wp:positionV>
                      <wp:extent cx="127635" cy="90170"/>
                      <wp:effectExtent l="0" t="0" r="24765" b="2413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10386439" id="Łącznik prosty ze strzałką 10" o:spid="_x0000_s1026" type="#_x0000_t32" style="position:absolute;margin-left:.35pt;margin-top:2.15pt;width:10.05pt;height:7.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"/>
                  </w:pict>
                </mc:Fallback>
              </mc:AlternateContent>
            </w:r>
            <w:r w:rsidRPr="00AA2BA3">
              <w:rPr>
                <w:rFonts w:ascii="Times New Roman" w:eastAsia="Times New Roman" w:hAnsi="Times New Roman" w:cs="Times New Roman"/>
                <w:noProof/>
                <w:sz w:val="24"/>
                <w:szCs w:val="20"/>
                <w:lang w:val="en-US" w:eastAsia="en-US" w:bidi="ar-SA"/>
              </w:rPr>
              <mc:AlternateContent>
                <mc:Choice Requires="wps">
                  <w:drawing>
                    <wp:anchor distT="0" distB="0" distL="114300" distR="114300" simplePos="0" relativeHeight="251664384" behindDoc="0" locked="0" layoutInCell="1" allowOverlap="1" wp14:anchorId="573A91A4" wp14:editId="7CF229C6">
                      <wp:simplePos x="0" y="0"/>
                      <wp:positionH relativeFrom="column">
                        <wp:posOffset>11430</wp:posOffset>
                      </wp:positionH>
                      <wp:positionV relativeFrom="paragraph">
                        <wp:posOffset>32385</wp:posOffset>
                      </wp:positionV>
                      <wp:extent cx="127635" cy="90170"/>
                      <wp:effectExtent l="0" t="0" r="24765" b="2413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7AEEE7D6" id="Łącznik prosty ze strzałką 11" o:spid="_x0000_s1026" type="#_x0000_t32" style="position:absolute;margin-left:.9pt;margin-top:2.55pt;width:10.0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"/>
                  </w:pict>
                </mc:Fallback>
              </mc:AlternateContent>
            </w:r>
            <w:r w:rsidR="00DA5292"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00DA5292"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00DA5292"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sans objet</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Observation: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AA2BA3" w:rsidTr="008E2A1F">
        <w:tc>
          <w:tcPr>
            <w:tcW w:w="10207" w:type="dxa"/>
            <w:gridSpan w:val="29"/>
            <w:shd w:val="clear" w:color="auto" w:fill="99CCFF"/>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9.</w:t>
            </w:r>
            <w:r w:rsidRPr="00AA2BA3">
              <w:tab/>
            </w:r>
            <w:r w:rsidRPr="00AA2BA3">
              <w:rPr>
                <w:rFonts w:ascii="Times New Roman" w:hAnsi="Times New Roman"/>
                <w:color w:val="000000"/>
                <w:sz w:val="24"/>
              </w:rPr>
              <w:t xml:space="preserve">Impact sur le marché du travail </w:t>
            </w:r>
          </w:p>
        </w:tc>
      </w:tr>
      <w:tr w:rsidR="00DA5292" w:rsidRPr="00AA2BA3" w:rsidTr="008E2A1F">
        <w:tc>
          <w:tcPr>
            <w:tcW w:w="10207" w:type="dxa"/>
            <w:gridSpan w:val="29"/>
            <w:shd w:val="clear" w:color="auto" w:fill="auto"/>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projet de décret n’aura pas d’incidence sur le marché du travail.</w:t>
            </w:r>
          </w:p>
        </w:tc>
      </w:tr>
      <w:tr w:rsidR="00DA5292" w:rsidRPr="00AA2BA3" w:rsidTr="008E2A1F">
        <w:tc>
          <w:tcPr>
            <w:tcW w:w="10207" w:type="dxa"/>
            <w:gridSpan w:val="29"/>
            <w:shd w:val="clear" w:color="auto" w:fill="99CCFF"/>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10.</w:t>
            </w:r>
            <w:r w:rsidRPr="00AA2BA3">
              <w:tab/>
            </w:r>
            <w:r w:rsidRPr="00AA2BA3">
              <w:rPr>
                <w:rFonts w:ascii="Times New Roman" w:hAnsi="Times New Roman"/>
                <w:color w:val="000000"/>
                <w:sz w:val="24"/>
              </w:rPr>
              <w:t>Impact sur d’autres domaines</w:t>
            </w:r>
          </w:p>
        </w:tc>
      </w:tr>
      <w:tr w:rsidR="00DA5292" w:rsidRPr="00AA2BA3" w:rsidTr="008E2A1F">
        <w:tc>
          <w:tcPr>
            <w:tcW w:w="3547" w:type="dxa"/>
            <w:gridSpan w:val="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environnement naturel</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situation et développement régional</w:t>
            </w:r>
          </w:p>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autres:</w:t>
            </w:r>
          </w:p>
        </w:tc>
        <w:tc>
          <w:tcPr>
            <w:tcW w:w="3687" w:type="dxa"/>
            <w:gridSpan w:val="15"/>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démographie</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biens publics</w:t>
            </w:r>
          </w:p>
        </w:tc>
        <w:tc>
          <w:tcPr>
            <w:tcW w:w="2973" w:type="dxa"/>
            <w:gridSpan w:val="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
                  <w:enabled/>
                  <w:calcOnExit w:val="0"/>
                  <w:checkBox>
                    <w:sizeAuto/>
                    <w:default w:val="1"/>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informatisation</w:t>
            </w:r>
          </w:p>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AA2BA3">
              <w:rPr>
                <w:rFonts w:ascii="Times New Roman" w:eastAsia="Times New Roman" w:hAnsi="Times New Roman" w:cs="Times New Roman"/>
                <w:sz w:val="24"/>
                <w:szCs w:val="20"/>
              </w:rPr>
              <w:instrText xml:space="preserve"> FORMCHECKBOX </w:instrText>
            </w:r>
            <w:r w:rsidR="00AA2BA3" w:rsidRPr="00AA2BA3">
              <w:rPr>
                <w:rFonts w:ascii="Times New Roman" w:eastAsia="Times New Roman" w:hAnsi="Times New Roman" w:cs="Times New Roman"/>
                <w:sz w:val="24"/>
                <w:szCs w:val="20"/>
              </w:rPr>
            </w:r>
            <w:r w:rsidR="00AA2BA3" w:rsidRPr="00AA2BA3">
              <w:rPr>
                <w:rFonts w:ascii="Times New Roman" w:eastAsia="Times New Roman" w:hAnsi="Times New Roman" w:cs="Times New Roman"/>
                <w:sz w:val="24"/>
                <w:szCs w:val="20"/>
              </w:rPr>
              <w:fldChar w:fldCharType="separate"/>
            </w:r>
            <w:r w:rsidRPr="00AA2BA3">
              <w:rPr>
                <w:rFonts w:ascii="Times New Roman" w:eastAsia="Times New Roman" w:hAnsi="Times New Roman" w:cs="Times New Roman"/>
                <w:sz w:val="24"/>
                <w:szCs w:val="20"/>
              </w:rPr>
              <w:fldChar w:fldCharType="end"/>
            </w:r>
            <w:r w:rsidRPr="00AA2BA3">
              <w:rPr>
                <w:rFonts w:ascii="Times New Roman" w:hAnsi="Times New Roman"/>
                <w:sz w:val="24"/>
              </w:rPr>
              <w:t xml:space="preserve"> santé</w:t>
            </w:r>
          </w:p>
        </w:tc>
      </w:tr>
      <w:tr w:rsidR="00DA5292" w:rsidRPr="00AA2BA3" w:rsidTr="008E2A1F">
        <w:tc>
          <w:tcPr>
            <w:tcW w:w="3119" w:type="dxa"/>
            <w:gridSpan w:val="3"/>
            <w:shd w:val="clear" w:color="auto" w:fill="FFFFFF"/>
            <w:vAlign w:val="center"/>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Examen de l’impact</w:t>
            </w:r>
          </w:p>
        </w:tc>
        <w:tc>
          <w:tcPr>
            <w:tcW w:w="7088" w:type="dxa"/>
            <w:gridSpan w:val="26"/>
            <w:shd w:val="clear" w:color="auto" w:fill="FFFFFF"/>
            <w:vAlign w:val="center"/>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projet de décret permettra de créer de nouvelles possibilités pour le développement de la télévision numérique terrestre en préparant les récepteurs aux changement</w:t>
            </w:r>
            <w:r w:rsidR="00B0131F" w:rsidRPr="00AA2BA3">
              <w:rPr>
                <w:rFonts w:ascii="Times New Roman" w:hAnsi="Times New Roman"/>
                <w:sz w:val="24"/>
              </w:rPr>
              <w:t xml:space="preserve">s </w:t>
            </w:r>
            <w:r w:rsidRPr="00AA2BA3">
              <w:rPr>
                <w:rFonts w:ascii="Times New Roman" w:hAnsi="Times New Roman"/>
                <w:sz w:val="24"/>
              </w:rPr>
              <w:t>de système d’émission au DVB-T2 pour les consommateurs et les fabricants.</w:t>
            </w:r>
          </w:p>
        </w:tc>
      </w:tr>
      <w:tr w:rsidR="00DA5292" w:rsidRPr="00AA2BA3" w:rsidTr="008E2A1F">
        <w:tc>
          <w:tcPr>
            <w:tcW w:w="10207" w:type="dxa"/>
            <w:gridSpan w:val="29"/>
            <w:shd w:val="clear" w:color="auto" w:fill="99CCFF"/>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11.</w:t>
            </w:r>
            <w:r w:rsidRPr="00AA2BA3">
              <w:tab/>
            </w:r>
            <w:r w:rsidRPr="00AA2BA3">
              <w:rPr>
                <w:rFonts w:ascii="Times New Roman" w:hAnsi="Times New Roman"/>
                <w:color w:val="000000"/>
                <w:sz w:val="24"/>
              </w:rPr>
              <w:t>Mise en œuvre planifiée des dispositions de l’acte législatif</w:t>
            </w:r>
          </w:p>
        </w:tc>
      </w:tr>
      <w:tr w:rsidR="00DA5292" w:rsidRPr="00AA2BA3" w:rsidTr="008E2A1F">
        <w:tc>
          <w:tcPr>
            <w:tcW w:w="10207" w:type="dxa"/>
            <w:gridSpan w:val="29"/>
            <w:shd w:val="clear" w:color="auto" w:fill="FFFFFF"/>
          </w:tcPr>
          <w:p w:rsidR="00DA5292" w:rsidRPr="00AA2BA3"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Le règlement entre en vigueur le 1</w:t>
            </w:r>
            <w:r w:rsidRPr="00AA2BA3">
              <w:rPr>
                <w:rFonts w:ascii="Times New Roman" w:hAnsi="Times New Roman"/>
                <w:sz w:val="24"/>
                <w:vertAlign w:val="superscript"/>
              </w:rPr>
              <w:t>er</w:t>
            </w:r>
            <w:r w:rsidRPr="00AA2BA3">
              <w:rPr>
                <w:rFonts w:ascii="Times New Roman" w:hAnsi="Times New Roman"/>
                <w:sz w:val="24"/>
              </w:rPr>
              <w:t> décembre 2019.</w:t>
            </w:r>
          </w:p>
        </w:tc>
      </w:tr>
      <w:tr w:rsidR="00DA5292" w:rsidRPr="00AA2BA3" w:rsidTr="008E2A1F">
        <w:tc>
          <w:tcPr>
            <w:tcW w:w="10207" w:type="dxa"/>
            <w:gridSpan w:val="29"/>
            <w:shd w:val="clear" w:color="auto" w:fill="99CCFF"/>
          </w:tcPr>
          <w:p w:rsidR="00DA5292" w:rsidRPr="00AA2BA3" w:rsidRDefault="008E2A1F"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t>12.</w:t>
            </w:r>
            <w:r w:rsidRPr="00AA2BA3">
              <w:tab/>
            </w:r>
            <w:r w:rsidRPr="00AA2BA3">
              <w:rPr>
                <w:rFonts w:ascii="Times New Roman" w:hAnsi="Times New Roman"/>
                <w:color w:val="000000"/>
                <w:sz w:val="24"/>
              </w:rPr>
              <w:t>Comment et quand les effets du projet seront-ils évalués et quels seront les indicateurs utilisés?</w:t>
            </w:r>
          </w:p>
        </w:tc>
      </w:tr>
      <w:tr w:rsidR="00DA5292" w:rsidRPr="00AA2BA3" w:rsidTr="008E2A1F">
        <w:tc>
          <w:tcPr>
            <w:tcW w:w="10207" w:type="dxa"/>
            <w:gridSpan w:val="29"/>
            <w:shd w:val="clear" w:color="auto" w:fill="FFFFFF"/>
          </w:tcPr>
          <w:p w:rsidR="00DA5292" w:rsidRPr="00AA2BA3" w:rsidRDefault="00DA5292" w:rsidP="00270BDC">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Aucune évaluation des effets du projet de décret n’est envisagée.</w:t>
            </w:r>
          </w:p>
        </w:tc>
      </w:tr>
      <w:tr w:rsidR="00DA5292" w:rsidRPr="00AA2BA3" w:rsidTr="008E2A1F">
        <w:tc>
          <w:tcPr>
            <w:tcW w:w="10207" w:type="dxa"/>
            <w:gridSpan w:val="29"/>
            <w:shd w:val="clear" w:color="auto" w:fill="99CCFF"/>
          </w:tcPr>
          <w:p w:rsidR="00DA5292" w:rsidRPr="00AA2BA3"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sidRPr="00AA2BA3">
              <w:rPr>
                <w:rFonts w:ascii="Times New Roman" w:hAnsi="Times New Roman"/>
                <w:color w:val="000000"/>
                <w:sz w:val="24"/>
              </w:rPr>
              <w:lastRenderedPageBreak/>
              <w:t>13.</w:t>
            </w:r>
            <w:r w:rsidRPr="00AA2BA3">
              <w:tab/>
            </w:r>
            <w:r w:rsidRPr="00AA2BA3">
              <w:rPr>
                <w:rFonts w:ascii="Times New Roman" w:hAnsi="Times New Roman"/>
                <w:color w:val="000000"/>
                <w:sz w:val="24"/>
              </w:rPr>
              <w:t xml:space="preserve">Annexes (documents pertinents concernant la source, la recherche, les analyses, etc.) </w:t>
            </w:r>
          </w:p>
        </w:tc>
      </w:tr>
      <w:tr w:rsidR="00DA5292" w:rsidRPr="00AA2BA3" w:rsidTr="008E2A1F">
        <w:tc>
          <w:tcPr>
            <w:tcW w:w="10207" w:type="dxa"/>
            <w:gridSpan w:val="29"/>
            <w:shd w:val="clear" w:color="auto" w:fill="FFFFFF"/>
          </w:tcPr>
          <w:p w:rsidR="00DA5292" w:rsidRPr="00AA2BA3"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AA2BA3">
              <w:rPr>
                <w:rFonts w:ascii="Times New Roman" w:hAnsi="Times New Roman"/>
                <w:sz w:val="24"/>
              </w:rPr>
              <w:t>Néant.</w:t>
            </w:r>
          </w:p>
        </w:tc>
      </w:tr>
    </w:tbl>
    <w:p w:rsidR="00FA6EEF" w:rsidRPr="00AA2BA3" w:rsidRDefault="00FA6EEF">
      <w:pPr>
        <w:rPr>
          <w:rFonts w:ascii="Times New Roman" w:hAnsi="Times New Roman" w:cs="Times New Roman"/>
        </w:rPr>
      </w:pPr>
    </w:p>
    <w:sectPr w:rsidR="00FA6EEF" w:rsidRPr="00AA2B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1E" w:rsidRDefault="00C7261E" w:rsidP="00A662BB">
      <w:pPr>
        <w:spacing w:after="0" w:line="240" w:lineRule="auto"/>
      </w:pPr>
      <w:r>
        <w:separator/>
      </w:r>
    </w:p>
  </w:endnote>
  <w:endnote w:type="continuationSeparator" w:id="0">
    <w:p w:rsidR="00C7261E" w:rsidRDefault="00C7261E" w:rsidP="00A6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1E" w:rsidRDefault="00C7261E" w:rsidP="00A662BB">
      <w:pPr>
        <w:spacing w:after="0" w:line="240" w:lineRule="auto"/>
      </w:pPr>
      <w:r>
        <w:separator/>
      </w:r>
    </w:p>
  </w:footnote>
  <w:footnote w:type="continuationSeparator" w:id="0">
    <w:p w:rsidR="00C7261E" w:rsidRDefault="00C7261E" w:rsidP="00A66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1F" w:rsidRDefault="00B01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92"/>
    <w:rsid w:val="00270BDC"/>
    <w:rsid w:val="004D34F7"/>
    <w:rsid w:val="008E2A1F"/>
    <w:rsid w:val="00A662BB"/>
    <w:rsid w:val="00AA2BA3"/>
    <w:rsid w:val="00B0131F"/>
    <w:rsid w:val="00C7261E"/>
    <w:rsid w:val="00DA5292"/>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3BC9F1-0D23-4DA5-B4ED-C4122B32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2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62BB"/>
  </w:style>
  <w:style w:type="paragraph" w:styleId="Footer">
    <w:name w:val="footer"/>
    <w:basedOn w:val="Normal"/>
    <w:link w:val="FooterChar"/>
    <w:uiPriority w:val="99"/>
    <w:unhideWhenUsed/>
    <w:rsid w:val="00A662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2242</Words>
  <Characters>12784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BADESCU, Iulia</cp:lastModifiedBy>
  <cp:revision>6</cp:revision>
  <dcterms:created xsi:type="dcterms:W3CDTF">2019-05-15T11:01:00Z</dcterms:created>
  <dcterms:modified xsi:type="dcterms:W3CDTF">2019-05-22T11:12:00Z</dcterms:modified>
</cp:coreProperties>
</file>