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Nařízení s mocí zákona č. 228 ze dne 30. prosince 2021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Naléhavá ustanovení o legislativních lhůtách.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Zveřejněno v Úředním věstníku č. 309 ze dne 30. prosince 2021.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it-IT"/>
        </w:rPr>
      </w:pPr>
    </w:p>
    <w:p w:rsidR="003A38A7" w:rsidRPr="00B36D07" w:rsidRDefault="00F2449E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ČLÁNEK 11</w:t>
      </w:r>
    </w:p>
    <w:p w:rsidR="003A38A7" w:rsidRPr="00B36D07" w:rsidRDefault="003A38A7" w:rsidP="003A38A7">
      <w:pPr>
        <w:spacing w:after="0" w:line="240" w:lineRule="auto"/>
        <w:jc w:val="center"/>
        <w:rPr>
          <w:bCs/>
          <w:i/>
          <w:iCs/>
          <w:rFonts w:ascii="Times New Roman" w:eastAsia="Times New Roman" w:hAnsi="Times New Roman" w:cs="Times New Roman"/>
        </w:rPr>
      </w:pPr>
      <w:r>
        <w:rPr>
          <w:i/>
          <w:rFonts w:ascii="Times New Roman" w:hAnsi="Times New Roman"/>
        </w:rPr>
        <w:t xml:space="preserve">(Prodloužení lhůty pro ekologickou transformaci)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1.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Článek 15 odst. 6 nařízení s mocí zákona č. 183 ze dne 31. prosince 2020, který byl se změnami změněn zákonem č. 21 ze dne 26. února 2021 o označování obalů, se mění takto: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a) v první větě se slova „31. prosince 2021“ nahrazují tímto: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„30. června 2022“;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ve druhé větě se slova „1. ledna 2022“ nahrazují tímto: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„1. července 2022“.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2.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V článku 219 legislativního výnosu č. 152 ze dne 3. dubna 2006 se za odstavec 5 vkládá nový odstavec, který zní: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„5.1.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Ministr pro ekologickou transformaci přijme do 30 dnů ode dne vstupu tohoto ustanovení v platnost prostřednictvím neregulačního výnosu technické pokyny pro označování uvedené v odstavci 5.“.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Lhůta pro vyplacení zdrojů Fondu pro energetickou transformaci v průmyslovém odvětví uvedená v čl. 23 odst. 8 legislativního výnosu č. 47 ze dne 9. června 2020 musí být stanovena s výlučným odkazem na náklady vzniklé v období od 1. ledna 2020 do 31. prosince 2020 do 31. března 2022.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čl. 1 odst. 832 zákona č. 208 ze dne 28. prosince 2015 se slova „31. prosince 2021“ nahrazují tímto: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„čtvrtek 31. prosince 2026“.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Úřad pro elektřinu a plyn proto aktualizuje opatření stanovená v čl. 32 odst. 6 zákona č. 99 ze dne 23. července 2009.</w:t>
      </w:r>
    </w:p>
    <w:p w:rsidR="003A38A7" w:rsidRPr="00B36D07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Lhůta uvedená v čl. 72 odst. 4 legislativního výnosu č. 101 ze dne 31. července 2020 o radiometrickém monitorování materiálů, polotovarů z kovů nebo kovových výrobků se prodlužuje o dalších 60 dnů.</w:t>
      </w: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3A38A7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VYSVĚTLUJÍCÍ POZNÁMKA</w:t>
      </w:r>
    </w:p>
    <w:p w:rsidR="003A38A7" w:rsidRPr="00B36D07" w:rsidRDefault="003A38A7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8E6789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Odstavce 1 a 2 stanoví šestiměsíční prodloužení lhůty pro uplatnění požadavků na označování uvedených v čl. 219 odst. 5 legislativního výnosu č. 152 z roku 2006, která již byla stanovena v čl. 15 odst. 6 nařízení s mocí zákona č. 183 z roku 2020, změněného se změnami zákonem č. 21 z roku 2021.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Takové prodloužení je nezbytné vzhledem k obtížím při provádění výše uvedeného čl. 219 odst. 5, které mají být vyřešeny přijetím zvláštního nařízení ministra pro ekologickou transformaci o technických pokynech k vyjasnění aspektů uplatňování požadavků na označování, aby bylo zajištěno jejich plné fungování po uplynutí lhůty stanovené v tomto ustanovení.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51D" w:rsidRDefault="0074451D" w:rsidP="00B36D07">
      <w:pPr>
        <w:pStyle w:val="Default"/>
        <w:jc w:val="both"/>
        <w:rPr>
          <w:sz w:val="22"/>
          <w:szCs w:val="22"/>
        </w:rPr>
      </w:pPr>
    </w:p>
    <w:sectPr w:rsidR="00744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2EB"/>
    <w:multiLevelType w:val="hybridMultilevel"/>
    <w:tmpl w:val="59C2E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dirty" w:grammar="dirty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07"/>
    <w:rsid w:val="003A38A7"/>
    <w:rsid w:val="00426ED0"/>
    <w:rsid w:val="00603451"/>
    <w:rsid w:val="0074451D"/>
    <w:rsid w:val="0078580F"/>
    <w:rsid w:val="008E6789"/>
    <w:rsid w:val="0093600A"/>
    <w:rsid w:val="00982481"/>
    <w:rsid w:val="00B36D07"/>
    <w:rsid w:val="00B802F5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CE7"/>
  <w15:chartTrackingRefBased/>
  <w15:docId w15:val="{692245E1-7103-4FF1-9CD0-A8752A4A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Maggioni Carlotta</dc:creator>
  <cp:keywords/>
  <dc:description/>
  <cp:lastModifiedBy>Vasile D'Agostino Marco</cp:lastModifiedBy>
  <cp:revision>3</cp:revision>
  <dcterms:created xsi:type="dcterms:W3CDTF">2022-01-10T16:12:00Z</dcterms:created>
  <dcterms:modified xsi:type="dcterms:W3CDTF">2022-01-10T16:36:00Z</dcterms:modified>
</cp:coreProperties>
</file>