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861F7" w14:textId="77777777" w:rsidR="00B767EF" w:rsidRPr="00B767EF" w:rsidRDefault="00B767EF" w:rsidP="00B767EF">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hAnsi="Times New Roman"/>
          <w:b/>
          <w:sz w:val="36"/>
        </w:rPr>
        <w:t>Odredba z dne 10. maja 2019 o spremembi Odredbe z dne 25. junija 1980 o sprejetju splošnih določb pravilnika o varstvu pred nevarnostmi požara in panike v objektih, v katerih se zbirajo ljudje</w:t>
      </w:r>
    </w:p>
    <w:p w14:paraId="07833EEA" w14:textId="77777777" w:rsidR="00B767EF" w:rsidRPr="00B767EF" w:rsidRDefault="00B767EF" w:rsidP="00B767EF">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 xml:space="preserve">Ciljna javnost: upravljavci in lastniki objektov, v katerih se zbirajo ljudje, naročniki, izvajalci, arhitekti, člani varnostnih odborov, tehnični kontrolorji, proizvajalci in monterji opreme, ki uporablja hladilna sredstva. </w:t>
      </w:r>
      <w:r>
        <w:rPr>
          <w:rFonts w:ascii="Times New Roman" w:hAnsi="Times New Roman"/>
          <w:sz w:val="24"/>
        </w:rPr>
        <w:br/>
        <w:t xml:space="preserve">Zadeva: sprememba določbe o uporabi hladilnih sredstev na javnih mestih. </w:t>
      </w:r>
      <w:r>
        <w:rPr>
          <w:rFonts w:ascii="Times New Roman" w:hAnsi="Times New Roman"/>
          <w:sz w:val="24"/>
        </w:rPr>
        <w:br/>
        <w:t xml:space="preserve">Začetek veljavnosti: dan po objavi v Uradnem listu Francoske republike. </w:t>
      </w:r>
      <w:r>
        <w:rPr>
          <w:rFonts w:ascii="Times New Roman" w:hAnsi="Times New Roman"/>
          <w:sz w:val="24"/>
        </w:rPr>
        <w:br/>
        <w:t xml:space="preserve">Obvestilo: Uredba (EU) št. 517/2014 Evropskega parlamenta in Sveta z dne 16. aprila 2014 o fluoriranih toplogrednih plinih določa zmanjšanje emisij teh plinov, zlasti količin fluoriranih ogljikovodikov (HFC). Nekateri HFC se uporabljajo v napravah in napeljavah za ogrevanje, prezračevanje, klimatizacijo in proizvodnjo tople sanitarne vode v objektih, v katerih se zbirajo ljudje. Nadomestne snovi za HFC, ki se uporabljajo pri klimatizaciji/hlajenju v objektih, v katerih se zbirajo ljudje, so pogosto vnetljive. Namen te odredbe je dovoliti uporabo teh nadomestnih snovi v objektih, v katerih se zbirajo ljudje, pod pogojem, da se izvedejo določeni ukrepi za obvladovanje tveganja. Postopki za obvladovanje tveganja iz te odredbe temeljijo na mnenju Generalnega direktorata za preprečevanje tveganj (DGPR) Ministrstva za ekološki in solidarnostni prehod (MTES) in na analizi tveganja, ki jo je izvedel Nacionalni inštitut za industrijsko okolje in tveganja (INERIS). </w:t>
      </w:r>
      <w:r>
        <w:rPr>
          <w:rFonts w:ascii="Times New Roman" w:hAnsi="Times New Roman"/>
          <w:sz w:val="24"/>
        </w:rPr>
        <w:br/>
        <w:t xml:space="preserve">Referenčna besedila: besedilo, ki ga spreminja ta odredba, je v spremenjeni obliki na voljo na spletnem mestu Légifrance (http://legifrance.gouv.fr). </w:t>
      </w:r>
    </w:p>
    <w:p w14:paraId="511145FD" w14:textId="77777777" w:rsidR="00B767EF" w:rsidRPr="00B767EF" w:rsidRDefault="00B767EF" w:rsidP="00B767EF">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Minister za notranje zadeve,</w:t>
      </w:r>
      <w:r>
        <w:rPr>
          <w:rFonts w:ascii="Times New Roman" w:hAnsi="Times New Roman"/>
          <w:sz w:val="24"/>
        </w:rPr>
        <w:br/>
        <w:t>ob upoštevanju Direktive (EU) 2015/1535 Evropskega parlamenta in Sveta z dne 9. septembra 2015 o določitvi postopka za zbiranje informacij na področju tehničnih predpisov in pravil za storitve informacijske družbe, zlasti uradnega obvestila št. 2018/467/F;</w:t>
      </w:r>
      <w:r>
        <w:rPr>
          <w:rFonts w:ascii="Times New Roman" w:hAnsi="Times New Roman"/>
          <w:sz w:val="24"/>
        </w:rPr>
        <w:br/>
        <w:t>ob upoštevanju Zakonika o gradnji in stanovanjih, zlasti člena R 123-12;</w:t>
      </w:r>
      <w:r>
        <w:rPr>
          <w:rFonts w:ascii="Times New Roman" w:hAnsi="Times New Roman"/>
          <w:sz w:val="24"/>
        </w:rPr>
        <w:br/>
        <w:t>ob upoštevanju Odredbe z dne 25. junija 1980 o sprejetju splošnih določb pravilnika o varstvu pred nevarnostmi požara in panike v objektih, v katerih se zbirajo ljudje, kakor je bila spremenjena;</w:t>
      </w:r>
      <w:r>
        <w:rPr>
          <w:rFonts w:ascii="Times New Roman" w:hAnsi="Times New Roman"/>
          <w:sz w:val="24"/>
        </w:rPr>
        <w:br/>
        <w:t>ob upoštevanju mnenja Vrhovnega sveta za gradnje in energetsko učinkovitost z dne 16. oktobra 2018;</w:t>
      </w:r>
      <w:r>
        <w:rPr>
          <w:rFonts w:ascii="Times New Roman" w:hAnsi="Times New Roman"/>
          <w:sz w:val="24"/>
        </w:rPr>
        <w:br/>
        <w:t>ob upoštevanju mnenja Nacionalnega sveta za ocenjevanje standardov z dne 11. oktobra 2018, odreja:</w:t>
      </w:r>
    </w:p>
    <w:p w14:paraId="1EB6D07B" w14:textId="77777777" w:rsidR="00B767EF" w:rsidRPr="00B767EF" w:rsidRDefault="00B767EF" w:rsidP="00B767EF">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Člen 1</w:t>
      </w:r>
    </w:p>
    <w:p w14:paraId="6668C2CB" w14:textId="77777777" w:rsidR="00B767EF" w:rsidRPr="00B767EF"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Poglavje V naslova I zvezka II Pravilnika o varstvu pred nevarnostmi požara in panike v objektih, v katerih se zbirajo ljudje, odobrenega z zgoraj navedeno odredbo z dne 25. junija 1980, se spremeni v skladu s členoma 2 in 3.</w:t>
      </w:r>
    </w:p>
    <w:p w14:paraId="5C05C3DB" w14:textId="77777777" w:rsidR="00B767EF" w:rsidRPr="00B767EF" w:rsidRDefault="00B767EF" w:rsidP="00B767EF">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Člen 2</w:t>
      </w:r>
    </w:p>
    <w:p w14:paraId="643787CA" w14:textId="77777777" w:rsidR="00B767EF" w:rsidRPr="00B767EF"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lastRenderedPageBreak/>
        <w:br/>
        <w:t xml:space="preserve">Člen CH 35 se nadomesti z naslednjimi določbami: </w:t>
      </w:r>
      <w:r>
        <w:rPr>
          <w:rFonts w:ascii="Times New Roman" w:hAnsi="Times New Roman"/>
          <w:sz w:val="24"/>
        </w:rPr>
        <w:br/>
        <w:t>„Naprave in napeljave, ki uporabljajo hladilna sredstva</w:t>
      </w:r>
      <w:r>
        <w:rPr>
          <w:rFonts w:ascii="Times New Roman" w:hAnsi="Times New Roman"/>
          <w:sz w:val="24"/>
        </w:rPr>
        <w:br/>
        <w:t xml:space="preserve">Oddelek 1. Za namene tega člena se uporabljajo naslednje opredelitve: </w:t>
      </w:r>
    </w:p>
    <w:p w14:paraId="41614B6A" w14:textId="77777777" w:rsidR="00B767EF" w:rsidRPr="00B767EF"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 ‚vnetljiva hladilna sredstva‘ so tekočine, pri katerih se plamen širi pri temperaturi 60 °C in tlaku 101,3 kPa; </w:t>
      </w:r>
      <w:r>
        <w:rPr>
          <w:rFonts w:ascii="Times New Roman" w:hAnsi="Times New Roman"/>
          <w:sz w:val="24"/>
        </w:rPr>
        <w:br/>
        <w:t xml:space="preserve">– ‚strupena hladilna sredstva‘ so tekočine, pri katerih obstajajo dokazi o strupenosti pri koncentracijah pod 400 ppm. </w:t>
      </w:r>
    </w:p>
    <w:p w14:paraId="4C970516" w14:textId="77777777" w:rsidR="00B767EF" w:rsidRPr="00B767EF"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Termodinamična oprema in napeljave za ogrevanje, prezračevanje, klimatizacijo in proizvodnjo tople sanitarne vode izpolnjujejo spodnje določbe. </w:t>
      </w:r>
      <w:r>
        <w:rPr>
          <w:rFonts w:ascii="Times New Roman" w:hAnsi="Times New Roman"/>
          <w:sz w:val="24"/>
        </w:rPr>
        <w:br/>
        <w:t xml:space="preserve">Oddelek 2. Določbe, ki veljajo ne glede na uporabljeno hladilno sredstvo. </w:t>
      </w:r>
      <w:r>
        <w:rPr>
          <w:rFonts w:ascii="Times New Roman" w:hAnsi="Times New Roman"/>
          <w:sz w:val="24"/>
        </w:rPr>
        <w:br/>
        <w:t xml:space="preserve">Kadar je oprema z vgrajenim kompresorjem nameščena v javnih prostorih, so kompresorji hermetični ali polhermetični. </w:t>
      </w:r>
      <w:r>
        <w:rPr>
          <w:rFonts w:ascii="Times New Roman" w:hAnsi="Times New Roman"/>
          <w:sz w:val="24"/>
        </w:rPr>
        <w:br/>
        <w:t xml:space="preserve">Kadar je oprema nameščena v strojnici, ima ta vsaj dve prezračevalni odprtini na zunanji strani objekta na različnih višinah. Ločena je od kurilnice in ni neposredno povezana z javno dostopnimi prostori. </w:t>
      </w:r>
      <w:r>
        <w:rPr>
          <w:rFonts w:ascii="Times New Roman" w:hAnsi="Times New Roman"/>
          <w:sz w:val="24"/>
        </w:rPr>
        <w:br/>
        <w:t xml:space="preserve">Cevi, ki se uporabljajo za prenašanje hladilnih sredstev, so kovinske. </w:t>
      </w:r>
      <w:r>
        <w:rPr>
          <w:rFonts w:ascii="Times New Roman" w:hAnsi="Times New Roman"/>
          <w:sz w:val="24"/>
        </w:rPr>
        <w:br/>
        <w:t xml:space="preserve">Toplotna izolacija cevi je izdelana iz materialov razreda M1 ali CL-s3, d0 v javnih prostorih in prehodih ter iz materialov razreda M3 ali DL-s3, d0 v drugih delih objekta. </w:t>
      </w:r>
      <w:r>
        <w:rPr>
          <w:rFonts w:ascii="Times New Roman" w:hAnsi="Times New Roman"/>
          <w:sz w:val="24"/>
        </w:rPr>
        <w:br/>
        <w:t xml:space="preserve">Cevi in posode, ki vsebujejo sredstva za prenos nizkih temperatur (hladilna sredstva), morajo izpolnjevati določbe oddelka 3 člena CH 25. </w:t>
      </w:r>
      <w:r>
        <w:rPr>
          <w:rFonts w:ascii="Times New Roman" w:hAnsi="Times New Roman"/>
          <w:sz w:val="24"/>
        </w:rPr>
        <w:br/>
        <w:t xml:space="preserve">Toplotna izolacija posod, ki vsebujejo hladilna sredstva, je izdelana iz materialov razreda M1 ali B-s3, d0 v javnih prostorih in prehodih in iz materialov razreda M3 ali D-s3, d0 v drugih delih objekta. </w:t>
      </w:r>
      <w:r>
        <w:rPr>
          <w:rFonts w:ascii="Times New Roman" w:hAnsi="Times New Roman"/>
          <w:sz w:val="24"/>
        </w:rPr>
        <w:br/>
        <w:t xml:space="preserve">Oddelek 3. Določbe, ki se uporabljajo pri uporabi vnetljivih hladilnih sredstev. </w:t>
      </w:r>
      <w:r>
        <w:rPr>
          <w:rFonts w:ascii="Times New Roman" w:hAnsi="Times New Roman"/>
          <w:sz w:val="24"/>
        </w:rPr>
        <w:br/>
        <w:t xml:space="preserve">Določbe oddelka 3 se ne uporabljajo za hermetično zaprto opremo, ki je označena z oznako CE. </w:t>
      </w:r>
      <w:r>
        <w:rPr>
          <w:rFonts w:ascii="Times New Roman" w:hAnsi="Times New Roman"/>
          <w:sz w:val="24"/>
        </w:rPr>
        <w:br/>
        <w:t xml:space="preserve">Prepovedana je namestitev snemljivih priključkov na ceveh za prenos vnetljivih hladilnih sredstev, razen za priključitev enot. </w:t>
      </w:r>
      <w:r>
        <w:rPr>
          <w:rFonts w:ascii="Times New Roman" w:hAnsi="Times New Roman"/>
          <w:sz w:val="24"/>
        </w:rPr>
        <w:br/>
        <w:t xml:space="preserve">Cevi za prenos vnetljivih hladilnih sredstev so zaščitene pred vsemi nevarnostmi zloma. Cevi so nameščene najmanj dva metra nad tlemi ali so opremljene z mehansko zaščito, ki izpolnjuje to zahtevo. </w:t>
      </w:r>
      <w:r>
        <w:rPr>
          <w:rFonts w:ascii="Times New Roman" w:hAnsi="Times New Roman"/>
          <w:sz w:val="24"/>
        </w:rPr>
        <w:br/>
        <w:t>Notranji premer cevi za prenos vnetljivih hladilnih sredstev v utekočinjeni obliki je manjši od 50 mm.</w:t>
      </w:r>
      <w:r>
        <w:rPr>
          <w:rFonts w:ascii="Times New Roman" w:hAnsi="Times New Roman"/>
          <w:sz w:val="24"/>
        </w:rPr>
        <w:br/>
        <w:t xml:space="preserve">Poleg pogojev iz oddelka 2 je toplotna izolacija notranjih enot, ki vsebujejo vnetljiva hladilna sredstva, izdelana iz materialov razreda M1 ali B-s3, d0. </w:t>
      </w:r>
      <w:r>
        <w:rPr>
          <w:rFonts w:ascii="Times New Roman" w:hAnsi="Times New Roman"/>
          <w:sz w:val="24"/>
        </w:rPr>
        <w:br/>
        <w:t xml:space="preserve">Strojnice v smislu oddelka 2 člena CO 28 so objekti s srednjim tveganjem. </w:t>
      </w:r>
      <w:r>
        <w:rPr>
          <w:rFonts w:ascii="Times New Roman" w:hAnsi="Times New Roman"/>
          <w:sz w:val="24"/>
        </w:rPr>
        <w:br/>
        <w:t xml:space="preserve">a) Območje izključitve. </w:t>
      </w:r>
      <w:r>
        <w:rPr>
          <w:rFonts w:ascii="Times New Roman" w:hAnsi="Times New Roman"/>
          <w:sz w:val="24"/>
        </w:rPr>
        <w:br/>
        <w:t xml:space="preserve">Okoli snemljivih priključkov enot, ki vsebujejo vnetljiva hladilna sredstva, se z namenom preprečitve kakršnega koli tveganja vžiga v primeru uhajanja vzpostavi območje, v katerem je prepovedan kateri koli vir vžiga, in zlasti kakršne koli plamen ali aparat, ki lahko povzroči iskro. </w:t>
      </w:r>
      <w:r>
        <w:rPr>
          <w:rFonts w:ascii="Times New Roman" w:hAnsi="Times New Roman"/>
          <w:sz w:val="24"/>
        </w:rPr>
        <w:br/>
        <w:t xml:space="preserve">Glede na to, ali je napeljava nameščena znotraj ali zunaj objekta, in glede na zgorevalne lastnosti sredstva se polmer tega območja določi v skladu z naslednjo preglednico: </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664"/>
        <w:gridCol w:w="1633"/>
        <w:gridCol w:w="1674"/>
        <w:gridCol w:w="2085"/>
      </w:tblGrid>
      <w:tr w:rsidR="00B767EF" w:rsidRPr="00B767EF" w14:paraId="4C9966B3" w14:textId="77777777" w:rsidTr="00B767EF">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8AB0631" w14:textId="0DD82B3C" w:rsidR="00B767EF" w:rsidRPr="00B767EF" w:rsidRDefault="00B767EF" w:rsidP="00B767EF">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lastRenderedPageBreak/>
              <w:br/>
              <w:t xml:space="preserve">Notranji premer (D) cevi za prenos sredstva v tekoči obliki (mm)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419608A" w14:textId="77777777" w:rsidR="00B767EF" w:rsidRPr="00B767EF" w:rsidRDefault="00B767EF" w:rsidP="00B767EF">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 xml:space="preserve">Polmer (m) </w:t>
            </w:r>
          </w:p>
        </w:tc>
      </w:tr>
      <w:tr w:rsidR="00B767EF" w:rsidRPr="00B767EF" w14:paraId="052FA11E" w14:textId="77777777" w:rsidTr="00B767EF">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405AF54" w14:textId="77777777" w:rsidR="00B767EF" w:rsidRPr="00B767EF" w:rsidRDefault="00B767EF" w:rsidP="00B767EF">
            <w:pPr>
              <w:spacing w:after="0" w:line="240" w:lineRule="auto"/>
              <w:rPr>
                <w:rFonts w:ascii="Times New Roman" w:eastAsia="Times New Roman" w:hAnsi="Times New Roman" w:cs="Times New Roman"/>
                <w:b/>
                <w:bCs/>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923FC3C" w14:textId="2BC22FA3" w:rsidR="00B767EF" w:rsidRPr="00B767EF" w:rsidRDefault="00B767EF" w:rsidP="00B767EF">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Zunanje napeljave</w:t>
            </w:r>
            <w:r w:rsidR="00263123">
              <w:rPr>
                <w:rFonts w:ascii="Times New Roman" w:hAnsi="Times New Roman"/>
                <w:b/>
                <w:sz w:val="24"/>
              </w:rPr>
              <w:t xml:space="preserve"> </w:t>
            </w:r>
            <w:r>
              <w:rPr>
                <w:rFonts w:ascii="Times New Roman" w:hAnsi="Times New Roman"/>
                <w:b/>
                <w:sz w:val="24"/>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54907804" w14:textId="53AA4213" w:rsidR="00B767EF" w:rsidRPr="00B767EF" w:rsidRDefault="00B767EF" w:rsidP="00B767EF">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Notranje napeljave</w:t>
            </w:r>
            <w:r w:rsidR="00263123">
              <w:rPr>
                <w:rFonts w:ascii="Times New Roman" w:hAnsi="Times New Roman"/>
                <w:b/>
                <w:sz w:val="24"/>
              </w:rPr>
              <w:t xml:space="preserve"> </w:t>
            </w:r>
            <w:r>
              <w:rPr>
                <w:rFonts w:ascii="Times New Roman" w:hAnsi="Times New Roman"/>
                <w:b/>
                <w:sz w:val="24"/>
              </w:rPr>
              <w:t>(2)</w:t>
            </w:r>
            <w:r>
              <w:rPr>
                <w:rFonts w:ascii="Times New Roman" w:hAnsi="Times New Roman"/>
                <w:b/>
                <w:sz w:val="24"/>
              </w:rPr>
              <w:br/>
              <w:t xml:space="preserve">LII ≥ 0,10 kg/m3 </w:t>
            </w:r>
          </w:p>
        </w:tc>
        <w:tc>
          <w:tcPr>
            <w:tcW w:w="0" w:type="auto"/>
            <w:tcBorders>
              <w:top w:val="outset" w:sz="6" w:space="0" w:color="auto"/>
              <w:left w:val="outset" w:sz="6" w:space="0" w:color="auto"/>
              <w:bottom w:val="outset" w:sz="6" w:space="0" w:color="auto"/>
              <w:right w:val="outset" w:sz="6" w:space="0" w:color="auto"/>
            </w:tcBorders>
            <w:vAlign w:val="center"/>
            <w:hideMark/>
          </w:tcPr>
          <w:p w14:paraId="455912B6" w14:textId="45B5C624" w:rsidR="00B767EF" w:rsidRPr="00B767EF" w:rsidRDefault="00B767EF" w:rsidP="00B767EF">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Notranje napeljave</w:t>
            </w:r>
            <w:r w:rsidR="00263123">
              <w:rPr>
                <w:rFonts w:ascii="Times New Roman" w:hAnsi="Times New Roman"/>
                <w:b/>
                <w:sz w:val="24"/>
              </w:rPr>
              <w:t xml:space="preserve"> </w:t>
            </w:r>
            <w:r>
              <w:rPr>
                <w:rFonts w:ascii="Times New Roman" w:hAnsi="Times New Roman"/>
                <w:b/>
                <w:sz w:val="24"/>
              </w:rPr>
              <w:t>(3)</w:t>
            </w:r>
            <w:r>
              <w:rPr>
                <w:rFonts w:ascii="Times New Roman" w:hAnsi="Times New Roman"/>
                <w:b/>
                <w:sz w:val="24"/>
              </w:rPr>
              <w:br/>
              <w:t xml:space="preserve">LII &lt; 0,10 kg/m3 </w:t>
            </w:r>
          </w:p>
        </w:tc>
      </w:tr>
      <w:tr w:rsidR="00B767EF" w:rsidRPr="00B767EF" w14:paraId="05AF61DD" w14:textId="77777777" w:rsidTr="00B767E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F44BCF1" w14:textId="77777777" w:rsidR="00B767EF" w:rsidRPr="00B767EF" w:rsidRDefault="00B767EF" w:rsidP="00B767EF">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D ≤ 10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111023" w14:textId="77777777" w:rsidR="00B767EF" w:rsidRPr="00B767EF" w:rsidRDefault="00B767EF" w:rsidP="00B767EF">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38A4FD76" w14:textId="77777777" w:rsidR="00B767EF" w:rsidRPr="00B767EF" w:rsidRDefault="00B767EF" w:rsidP="00B767EF">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2C9C5D2D" w14:textId="77777777" w:rsidR="00B767EF" w:rsidRPr="00B767EF" w:rsidRDefault="00B767EF" w:rsidP="00B767EF">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2 </w:t>
            </w:r>
          </w:p>
        </w:tc>
      </w:tr>
      <w:tr w:rsidR="00B767EF" w:rsidRPr="00B767EF" w14:paraId="3650889A" w14:textId="77777777" w:rsidTr="00B767E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44A1EF2" w14:textId="77777777" w:rsidR="00B767EF" w:rsidRPr="00B767EF" w:rsidRDefault="00B767EF" w:rsidP="00B767EF">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10 &lt; D ≤ 20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920494" w14:textId="77777777" w:rsidR="00B767EF" w:rsidRPr="00B767EF" w:rsidRDefault="00B767EF" w:rsidP="00B767EF">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C6735C" w14:textId="77777777" w:rsidR="00B767EF" w:rsidRPr="00B767EF" w:rsidRDefault="00B767EF" w:rsidP="00B767EF">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4E448935" w14:textId="77777777" w:rsidR="00B767EF" w:rsidRPr="00B767EF" w:rsidRDefault="00B767EF" w:rsidP="00B767EF">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4 </w:t>
            </w:r>
          </w:p>
        </w:tc>
      </w:tr>
      <w:tr w:rsidR="00B767EF" w:rsidRPr="00B767EF" w14:paraId="1020D8A8" w14:textId="77777777" w:rsidTr="00B767E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A954753" w14:textId="77777777" w:rsidR="00B767EF" w:rsidRPr="00B767EF" w:rsidRDefault="00B767EF" w:rsidP="00B767EF">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20 &lt; D ≤ 50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DE0AA6" w14:textId="77777777" w:rsidR="00B767EF" w:rsidRPr="00B767EF" w:rsidRDefault="00B767EF" w:rsidP="00B767EF">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14:paraId="704B77CA" w14:textId="77777777" w:rsidR="00B767EF" w:rsidRPr="00B767EF" w:rsidRDefault="00B767EF" w:rsidP="00B767EF">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3F7965" w14:textId="77777777" w:rsidR="00B767EF" w:rsidRPr="00B767EF" w:rsidRDefault="00B767EF" w:rsidP="00B767EF">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10 </w:t>
            </w:r>
          </w:p>
        </w:tc>
      </w:tr>
    </w:tbl>
    <w:p w14:paraId="57246B03" w14:textId="77777777" w:rsidR="00B767EF" w:rsidRPr="00B767EF"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b) Največja dovoljena obremenitev. </w:t>
      </w:r>
      <w:r>
        <w:rPr>
          <w:rFonts w:ascii="Times New Roman" w:hAnsi="Times New Roman"/>
          <w:sz w:val="24"/>
        </w:rPr>
        <w:br/>
        <w:t xml:space="preserve">Največja skupna količina vnetljivega hladilnega sredstva, ki kroži v hladilnem krogotoku, je omejena, s čimer se prepreči tveganje, da bi se v primeru puščanja v prostoru dosegla spodnja meja vnetljivosti. </w:t>
      </w:r>
      <w:r>
        <w:rPr>
          <w:rFonts w:ascii="Times New Roman" w:hAnsi="Times New Roman"/>
          <w:sz w:val="24"/>
        </w:rPr>
        <w:br/>
        <w:t xml:space="preserve">Izračuna se po naslednji formuli: </w:t>
      </w:r>
      <w:r>
        <w:rPr>
          <w:rFonts w:ascii="Times New Roman" w:hAnsi="Times New Roman"/>
          <w:sz w:val="24"/>
        </w:rPr>
        <w:br/>
        <w:t>mmax = 2,5 x LII5/4 x h0 x A1/2,</w:t>
      </w:r>
      <w:r>
        <w:rPr>
          <w:rFonts w:ascii="Times New Roman" w:hAnsi="Times New Roman"/>
          <w:sz w:val="24"/>
        </w:rPr>
        <w:br/>
        <w:t xml:space="preserve">kjer je: </w:t>
      </w:r>
      <w:r>
        <w:rPr>
          <w:rFonts w:ascii="Times New Roman" w:hAnsi="Times New Roman"/>
          <w:sz w:val="24"/>
        </w:rPr>
        <w:br/>
        <w:t xml:space="preserve">mmax (kg): največja skupna količina vnetljivega hladilnega sredstva. </w:t>
      </w:r>
      <w:r>
        <w:rPr>
          <w:rFonts w:ascii="Times New Roman" w:hAnsi="Times New Roman"/>
          <w:sz w:val="24"/>
        </w:rPr>
        <w:br/>
        <w:t xml:space="preserve">LII (kg/m³): spodnja meja vnetljivosti. </w:t>
      </w:r>
      <w:r>
        <w:rPr>
          <w:rFonts w:ascii="Times New Roman" w:hAnsi="Times New Roman"/>
          <w:sz w:val="24"/>
        </w:rPr>
        <w:br/>
        <w:t xml:space="preserve">h0 koeficient, povezan z višino opreme, ki je v prostoru nameščena najnižje, katerega vrednost je: </w:t>
      </w:r>
      <w:r>
        <w:rPr>
          <w:rFonts w:ascii="Times New Roman" w:hAnsi="Times New Roman"/>
          <w:sz w:val="24"/>
        </w:rPr>
        <w:br/>
        <w:t>0,6 za namestitev na tleh,</w:t>
      </w:r>
      <w:r>
        <w:rPr>
          <w:rFonts w:ascii="Times New Roman" w:hAnsi="Times New Roman"/>
          <w:sz w:val="24"/>
        </w:rPr>
        <w:br/>
        <w:t>1,1 pri okenski namestitvi,</w:t>
      </w:r>
      <w:r>
        <w:rPr>
          <w:rFonts w:ascii="Times New Roman" w:hAnsi="Times New Roman"/>
          <w:sz w:val="24"/>
        </w:rPr>
        <w:br/>
        <w:t>1,8 pri stenski namestitvi,</w:t>
      </w:r>
      <w:r>
        <w:rPr>
          <w:rFonts w:ascii="Times New Roman" w:hAnsi="Times New Roman"/>
          <w:sz w:val="24"/>
        </w:rPr>
        <w:br/>
        <w:t>2,2 pri stropni namestitvi</w:t>
      </w:r>
      <w:r>
        <w:rPr>
          <w:rFonts w:ascii="Times New Roman" w:hAnsi="Times New Roman"/>
          <w:sz w:val="24"/>
        </w:rPr>
        <w:br/>
        <w:t>glede na višino najnižjega priključka v prostoru, če je ta višja od 2,2 m,</w:t>
      </w:r>
      <w:r>
        <w:rPr>
          <w:rFonts w:ascii="Times New Roman" w:hAnsi="Times New Roman"/>
          <w:sz w:val="24"/>
        </w:rPr>
        <w:br/>
        <w:t xml:space="preserve">A (m²) površina prostora. </w:t>
      </w:r>
      <w:r>
        <w:rPr>
          <w:rFonts w:ascii="Times New Roman" w:hAnsi="Times New Roman"/>
          <w:sz w:val="24"/>
        </w:rPr>
        <w:br/>
        <w:t xml:space="preserve">Omejitev največje skupne količine vnetljivega hladilnega sredstva ne velja, če zasnova opreme vključuje ventil za zapiranje hladilnega krogotoka in prezračevalni sistem z detektorjem, da se v primeru uhajanja prepreči doseganje spodnje meje vnetljivosti v prostoru. </w:t>
      </w:r>
      <w:r>
        <w:rPr>
          <w:rFonts w:ascii="Times New Roman" w:hAnsi="Times New Roman"/>
          <w:sz w:val="24"/>
        </w:rPr>
        <w:br/>
        <w:t>Omejitev največje skupne količine vnetljivega hladilnega sredstva ne velja, če je oprema, ki uporablja te tekočine, postavljena v strojnico in je strojnica opremljena z:</w:t>
      </w:r>
    </w:p>
    <w:p w14:paraId="2B2A44F5" w14:textId="77777777" w:rsidR="00B767EF" w:rsidRPr="00B767EF"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napravo za odkrivanje uhajanja, ki v primeru uhajanja sproži mehansko napravo za odsesavanje zraka in prekine kroženje tekočine v krogotoku, da se omeji trajanje uhajanja, bodisi s popolnim izklopom termodinamičnega sistema bodisi z aktiviranjem elektromagnetnega ventila. Ta naprava za odkrivanje uhajanja je sestavljena iz centrale za odkrivanje in dveh senzorjev, nameščenih glede na naravo uporabljenega sredstva. Avtomatska opozorilna naprava opozarja na kakršne koli okvare sistema za odkrivanje in odsesavanje zraka;</w:t>
      </w:r>
      <w:r>
        <w:rPr>
          <w:rFonts w:ascii="Times New Roman" w:hAnsi="Times New Roman"/>
          <w:sz w:val="24"/>
        </w:rPr>
        <w:br/>
        <w:t xml:space="preserve">– mehanska naprava za odsesavanje zraka zagotavlja določeno količino obnovljenega </w:t>
      </w:r>
      <w:r>
        <w:rPr>
          <w:rFonts w:ascii="Times New Roman" w:hAnsi="Times New Roman"/>
          <w:sz w:val="24"/>
        </w:rPr>
        <w:lastRenderedPageBreak/>
        <w:t xml:space="preserve">zraka na uro, kar zadostuje, da se zrak stalno nahaja pod spodnjo mejo vnetljivosti. Ta naprava spada v kategorijo 3 v smislu Direktive 2014/34/EU o opremi in zaščitnih sistemih, namenjenih za uporabo v potencialno eksplozivnih atmosferah. </w:t>
      </w:r>
    </w:p>
    <w:p w14:paraId="0FA42FF1" w14:textId="77777777" w:rsidR="00B767EF" w:rsidRPr="00B767EF"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c) Pri vgradnji termodinamične opreme in sistemov se upoštevajo navodila proizvajalca. </w:t>
      </w:r>
      <w:r>
        <w:rPr>
          <w:rFonts w:ascii="Times New Roman" w:hAnsi="Times New Roman"/>
          <w:sz w:val="24"/>
        </w:rPr>
        <w:br/>
        <w:t>Pripravi se dokument z opisom vseh elementov napeljave, ki se da na voljo upravnim organom in intervencijskim družbam, ki se morajo z njim seznaniti pred vsakim posegom. Vsebovati mora zlasti naslednje elemente:</w:t>
      </w:r>
    </w:p>
    <w:p w14:paraId="28CFE839" w14:textId="77777777" w:rsidR="00B767EF" w:rsidRPr="00B767EF"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načrt cevovoda;</w:t>
      </w:r>
      <w:r>
        <w:rPr>
          <w:rFonts w:ascii="Times New Roman" w:hAnsi="Times New Roman"/>
          <w:sz w:val="24"/>
        </w:rPr>
        <w:br/>
        <w:t>– sinoptična shema namestitve;</w:t>
      </w:r>
      <w:r>
        <w:rPr>
          <w:rFonts w:ascii="Times New Roman" w:hAnsi="Times New Roman"/>
          <w:sz w:val="24"/>
        </w:rPr>
        <w:br/>
        <w:t>– podroben in utemeljen izračun največje količine ali količin hladilnih sredstev;</w:t>
      </w:r>
      <w:r>
        <w:rPr>
          <w:rFonts w:ascii="Times New Roman" w:hAnsi="Times New Roman"/>
          <w:sz w:val="24"/>
        </w:rPr>
        <w:br/>
        <w:t>– načrt postavitve varnostnih naprav (detektorjev, elektromagnetnih ventilov, razdelilnikov itd.);</w:t>
      </w:r>
      <w:r>
        <w:rPr>
          <w:rFonts w:ascii="Times New Roman" w:hAnsi="Times New Roman"/>
          <w:sz w:val="24"/>
        </w:rPr>
        <w:br/>
        <w:t>– teoretične stopnje vseh eventualnih razdelitev, če je presežena največja izračunana količina;</w:t>
      </w:r>
      <w:r>
        <w:rPr>
          <w:rFonts w:ascii="Times New Roman" w:hAnsi="Times New Roman"/>
          <w:sz w:val="24"/>
        </w:rPr>
        <w:br/>
        <w:t>– prikaz umerjenosti in zanesljivosti naprave za odkrivanje ter hitrost prenove zraka prek mehanske naprave za odsesavanje zraka;</w:t>
      </w:r>
      <w:r>
        <w:rPr>
          <w:rFonts w:ascii="Times New Roman" w:hAnsi="Times New Roman"/>
          <w:sz w:val="24"/>
        </w:rPr>
        <w:br/>
        <w:t xml:space="preserve">– korelacijsko preglednico različnih varnostnih naprav v primeru prekoračitve največje izračunane količine. </w:t>
      </w:r>
    </w:p>
    <w:p w14:paraId="4B0CAAF9" w14:textId="77777777" w:rsidR="00B767EF" w:rsidRPr="00B767EF"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Ta dokument se posodobi po vsaki spremembi napeljav ali prostorov. </w:t>
      </w:r>
      <w:r>
        <w:rPr>
          <w:rFonts w:ascii="Times New Roman" w:hAnsi="Times New Roman"/>
          <w:sz w:val="24"/>
        </w:rPr>
        <w:br/>
        <w:t xml:space="preserve">Napeljave mora vsako leto preveriti pristojni tehnik, ki mora pripraviti poročilo, v katerem navede zlasti rezultate odkrivanja neposrednega ali posrednega uhajanja. Vsaj 20 % zgoraj omenjenih povezanih varnostnih naprav in podrejenih naprav je treba preveriti vsako leto, vse skupaj pa je treba preveriti vsakih 5 let. Rezultati teh preskusov se vključijo v prej omenjeno poročilo. </w:t>
      </w:r>
      <w:r>
        <w:rPr>
          <w:rFonts w:ascii="Times New Roman" w:hAnsi="Times New Roman"/>
          <w:sz w:val="24"/>
        </w:rPr>
        <w:br/>
        <w:t>Oddelek 4. Uporaba strupenih hladilnih sredstev je dovoljena, če so hkrati izpolnjeni naslednji trije pogoji:</w:t>
      </w:r>
    </w:p>
    <w:p w14:paraId="4007EB3F" w14:textId="77777777" w:rsidR="00B767EF" w:rsidRPr="00B767EF"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zunanja izvedba ali izvedba v strojnici, ki je ločena od kurilnice;</w:t>
      </w:r>
      <w:r>
        <w:rPr>
          <w:rFonts w:ascii="Times New Roman" w:hAnsi="Times New Roman"/>
          <w:sz w:val="24"/>
        </w:rPr>
        <w:br/>
        <w:t>– delovanje v sistemu posredne izmenjave;</w:t>
      </w:r>
      <w:r>
        <w:rPr>
          <w:rFonts w:ascii="Times New Roman" w:hAnsi="Times New Roman"/>
          <w:sz w:val="24"/>
        </w:rPr>
        <w:br/>
        <w:t xml:space="preserve">– skupna količina sredstva, prisotna v celotni opremi, je omejena na 150 kg. </w:t>
      </w:r>
    </w:p>
    <w:p w14:paraId="0AD8B318" w14:textId="77777777" w:rsidR="00B767EF" w:rsidRPr="00B767EF"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Oddelek 5. Hladilne naprave ali skupine teh naprav z izgorevanjem se namestijo pod pogoji, določenimi v členih CH 5 ali CH 6, odvisno od njihove moči. “ </w:t>
      </w:r>
    </w:p>
    <w:p w14:paraId="365B6614" w14:textId="3DAD4F1D" w:rsidR="00B767EF" w:rsidRPr="00B767EF" w:rsidRDefault="00B767EF" w:rsidP="00B767EF">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(1) Območje izključitve, ki velja samo za zunanje napeljave z vnetljivimi hladilnimi sredstvi, pri katerih je hitrost širjenja plamena višja od 10 cm/s.</w:t>
      </w:r>
      <w:r>
        <w:rPr>
          <w:rFonts w:ascii="Times New Roman" w:hAnsi="Times New Roman"/>
          <w:sz w:val="24"/>
        </w:rPr>
        <w:br/>
        <w:t>(2) Vnetljiva hladilna sredstva s spodnjo mejo vnetljivosti 0,10 kg/</w:t>
      </w:r>
      <w:r w:rsidR="00263123" w:rsidRPr="00263123">
        <w:rPr>
          <w:rFonts w:ascii="Times New Roman" w:eastAsia="Times New Roman" w:hAnsi="Times New Roman" w:cs="Times New Roman"/>
          <w:sz w:val="24"/>
          <w:szCs w:val="24"/>
          <w:lang w:eastAsia="fr-FR"/>
        </w:rPr>
        <w:t xml:space="preserve"> </w:t>
      </w:r>
      <w:r w:rsidR="00263123" w:rsidRPr="00B767EF">
        <w:rPr>
          <w:rFonts w:ascii="Times New Roman" w:eastAsia="Times New Roman" w:hAnsi="Times New Roman" w:cs="Times New Roman"/>
          <w:sz w:val="24"/>
          <w:szCs w:val="24"/>
          <w:lang w:eastAsia="fr-FR"/>
        </w:rPr>
        <w:t>m³</w:t>
      </w:r>
      <w:r>
        <w:rPr>
          <w:rFonts w:ascii="Times New Roman" w:hAnsi="Times New Roman"/>
          <w:sz w:val="24"/>
        </w:rPr>
        <w:t xml:space="preserve"> ali več. </w:t>
      </w:r>
      <w:r>
        <w:rPr>
          <w:rFonts w:ascii="Times New Roman" w:hAnsi="Times New Roman"/>
          <w:sz w:val="24"/>
        </w:rPr>
        <w:br/>
      </w:r>
      <w:r w:rsidR="00263123">
        <w:rPr>
          <w:rFonts w:ascii="Times New Roman" w:hAnsi="Times New Roman"/>
          <w:sz w:val="24"/>
        </w:rPr>
        <w:t>(</w:t>
      </w:r>
      <w:r>
        <w:rPr>
          <w:rFonts w:ascii="Times New Roman" w:hAnsi="Times New Roman"/>
          <w:sz w:val="24"/>
        </w:rPr>
        <w:t>3</w:t>
      </w:r>
      <w:r w:rsidR="00263123">
        <w:rPr>
          <w:rFonts w:ascii="Times New Roman" w:hAnsi="Times New Roman"/>
          <w:sz w:val="24"/>
        </w:rPr>
        <w:t>)</w:t>
      </w:r>
      <w:r>
        <w:rPr>
          <w:rFonts w:ascii="Times New Roman" w:hAnsi="Times New Roman"/>
          <w:sz w:val="24"/>
        </w:rPr>
        <w:t xml:space="preserve"> Vnetljiva hladilna sredstva s spodnjo mejo vnetljivosti, ki je nižja od 0,10 kg/</w:t>
      </w:r>
      <w:r w:rsidR="00263123" w:rsidRPr="00263123">
        <w:rPr>
          <w:rFonts w:ascii="Times New Roman" w:eastAsia="Times New Roman" w:hAnsi="Times New Roman" w:cs="Times New Roman"/>
          <w:sz w:val="24"/>
          <w:szCs w:val="24"/>
          <w:lang w:eastAsia="fr-FR"/>
        </w:rPr>
        <w:t xml:space="preserve"> </w:t>
      </w:r>
      <w:r w:rsidR="00263123" w:rsidRPr="00B767EF">
        <w:rPr>
          <w:rFonts w:ascii="Times New Roman" w:eastAsia="Times New Roman" w:hAnsi="Times New Roman" w:cs="Times New Roman"/>
          <w:sz w:val="24"/>
          <w:szCs w:val="24"/>
          <w:lang w:eastAsia="fr-FR"/>
        </w:rPr>
        <w:t>m³</w:t>
      </w:r>
      <w:r>
        <w:rPr>
          <w:rFonts w:ascii="Times New Roman" w:hAnsi="Times New Roman"/>
          <w:sz w:val="24"/>
        </w:rPr>
        <w:t>.</w:t>
      </w:r>
    </w:p>
    <w:p w14:paraId="6B67D63E" w14:textId="77777777" w:rsidR="00B767EF" w:rsidRPr="00B767EF" w:rsidRDefault="00B767EF" w:rsidP="00B767EF">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Člen 3</w:t>
      </w:r>
    </w:p>
    <w:p w14:paraId="09930595" w14:textId="77777777" w:rsidR="00B767EF" w:rsidRPr="00B767EF"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lastRenderedPageBreak/>
        <w:br/>
        <w:t>Točka c) člena CH 45 se črta.</w:t>
      </w:r>
    </w:p>
    <w:p w14:paraId="6849DEBF" w14:textId="77777777" w:rsidR="00B767EF" w:rsidRPr="00B767EF" w:rsidRDefault="00B767EF" w:rsidP="00B767EF">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Člen 4</w:t>
      </w:r>
    </w:p>
    <w:p w14:paraId="74F3395F" w14:textId="77777777" w:rsidR="00B767EF" w:rsidRPr="00B767EF"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Poglavje II naslova II zvezka II Pravilnika o varstvu pred nevarnostmi požara in panike v objektih, v katerih se zbirajo ljudje, odobrenega z zgoraj navedeno Odredbo z dne 25. junija 1980, se spremeni: </w:t>
      </w:r>
      <w:r>
        <w:rPr>
          <w:rFonts w:ascii="Times New Roman" w:hAnsi="Times New Roman"/>
          <w:sz w:val="24"/>
        </w:rPr>
        <w:br/>
        <w:t>Oddelek 4 člena M 40 se črta.</w:t>
      </w:r>
    </w:p>
    <w:p w14:paraId="31ECF89C" w14:textId="77777777" w:rsidR="00B767EF" w:rsidRPr="00B767EF" w:rsidRDefault="00B767EF" w:rsidP="00B767EF">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Člen 5</w:t>
      </w:r>
    </w:p>
    <w:p w14:paraId="6B0A3F54" w14:textId="77777777" w:rsidR="00B767EF" w:rsidRPr="00B767EF"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Ta odredba začne veljati dan po objavi v Uradnem listu Francoske republike.</w:t>
      </w:r>
    </w:p>
    <w:p w14:paraId="032C5E60" w14:textId="77777777" w:rsidR="00B767EF" w:rsidRPr="00B767EF" w:rsidRDefault="00B767EF" w:rsidP="00B767EF">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Dne 10. maja 2019.</w:t>
      </w:r>
    </w:p>
    <w:p w14:paraId="582D28DE" w14:textId="6250E133" w:rsidR="00B767EF" w:rsidRPr="00B767EF" w:rsidRDefault="00B767EF" w:rsidP="00B767EF">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V imenu ministra in s pooblastilom:</w:t>
      </w:r>
      <w:r>
        <w:rPr>
          <w:rFonts w:ascii="Times New Roman" w:hAnsi="Times New Roman"/>
          <w:sz w:val="24"/>
        </w:rPr>
        <w:br/>
        <w:t>vodja službe, namestnik generalnega direktorja za civilno varnost in krizno upravljanje, pristojen za direktorat za gasilce,</w:t>
      </w:r>
      <w:r>
        <w:rPr>
          <w:rFonts w:ascii="Times New Roman" w:hAnsi="Times New Roman"/>
          <w:sz w:val="24"/>
        </w:rPr>
        <w:br/>
      </w:r>
      <w:r w:rsidR="00AF438C">
        <w:rPr>
          <w:rFonts w:ascii="Times New Roman" w:hAnsi="Times New Roman"/>
          <w:sz w:val="24"/>
        </w:rPr>
        <w:t>M.</w:t>
      </w:r>
      <w:r>
        <w:rPr>
          <w:rFonts w:ascii="Times New Roman" w:hAnsi="Times New Roman"/>
          <w:sz w:val="24"/>
        </w:rPr>
        <w:t xml:space="preserve"> Marquer</w:t>
      </w:r>
    </w:p>
    <w:p w14:paraId="5785BBFE" w14:textId="77777777" w:rsidR="006467BD" w:rsidRDefault="006467BD"/>
    <w:sectPr w:rsidR="006467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7EF"/>
    <w:rsid w:val="00263123"/>
    <w:rsid w:val="00500C1C"/>
    <w:rsid w:val="006467BD"/>
    <w:rsid w:val="00AF438C"/>
    <w:rsid w:val="00B767E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4BCF1"/>
  <w15:chartTrackingRefBased/>
  <w15:docId w15:val="{9718DBF2-DF08-434E-8486-12F8ECF70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576541">
      <w:bodyDiv w:val="1"/>
      <w:marLeft w:val="0"/>
      <w:marRight w:val="0"/>
      <w:marTop w:val="0"/>
      <w:marBottom w:val="0"/>
      <w:divBdr>
        <w:top w:val="none" w:sz="0" w:space="0" w:color="auto"/>
        <w:left w:val="none" w:sz="0" w:space="0" w:color="auto"/>
        <w:bottom w:val="none" w:sz="0" w:space="0" w:color="auto"/>
        <w:right w:val="none" w:sz="0" w:space="0" w:color="auto"/>
      </w:divBdr>
      <w:divsChild>
        <w:div w:id="1240165949">
          <w:marLeft w:val="0"/>
          <w:marRight w:val="0"/>
          <w:marTop w:val="0"/>
          <w:marBottom w:val="0"/>
          <w:divBdr>
            <w:top w:val="none" w:sz="0" w:space="0" w:color="auto"/>
            <w:left w:val="none" w:sz="0" w:space="0" w:color="auto"/>
            <w:bottom w:val="none" w:sz="0" w:space="0" w:color="auto"/>
            <w:right w:val="none" w:sz="0" w:space="0" w:color="auto"/>
          </w:divBdr>
          <w:divsChild>
            <w:div w:id="43902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1568</Words>
  <Characters>8944</Characters>
  <Application>Microsoft Office Word</Application>
  <DocSecurity>0</DocSecurity>
  <Lines>74</Lines>
  <Paragraphs>20</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10492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Dimitris Dimitriadis</cp:lastModifiedBy>
  <cp:revision>4</cp:revision>
  <dcterms:created xsi:type="dcterms:W3CDTF">2021-08-25T12:18:00Z</dcterms:created>
  <dcterms:modified xsi:type="dcterms:W3CDTF">2022-01-02T14:11:00Z</dcterms:modified>
</cp:coreProperties>
</file>