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AUSTRIJOS RESPUBLIKOS</w:t>
      </w:r>
    </w:p>
    <w:p w:rsidR="00F10F73" w:rsidRPr="00EB5BAD" w:rsidRDefault="00F10F73" w:rsidP="00EB60F8">
      <w:pPr>
        <w:pStyle w:val="03RepOesterr"/>
      </w:pPr>
      <w:r>
        <w:t xml:space="preserve">FEDERALINIS ĮSTATYMŲ LEIDINYS</w:t>
      </w:r>
    </w:p>
    <w:p w:rsidR="00F10F73" w:rsidRPr="00EB5BAD" w:rsidRDefault="00F10F73" w:rsidP="00EB60F8">
      <w:pPr>
        <w:pStyle w:val="04AusgabeDaten"/>
      </w:pPr>
      <w:r>
        <w:t xml:space="preserve">2020 m.</w:t>
      </w:r>
      <w:r>
        <w:tab/>
      </w:r>
      <w:r>
        <w:t xml:space="preserve">Išleistas 2020 m. vasario 18 d.</w:t>
      </w:r>
      <w:r>
        <w:tab/>
      </w:r>
      <w:r>
        <w:t xml:space="preserve">II dalis</w:t>
      </w:r>
    </w:p>
    <w:p w:rsidR="00F10F73" w:rsidRPr="00EB5BAD" w:rsidRDefault="00F10F73" w:rsidP="00EB60F8">
      <w:pPr>
        <w:pStyle w:val="05Kurztitel"/>
      </w:pPr>
      <w:r>
        <w:t xml:space="preserve">30-asis potvarkis:</w:t>
      </w:r>
      <w:r>
        <w:tab/>
      </w:r>
      <w:r>
        <w:t xml:space="preserve">Vaistų tiekimo užtikrinimas</w:t>
      </w:r>
    </w:p>
    <w:p w:rsidR="00F10F73" w:rsidRPr="00EB5BAD" w:rsidRDefault="00F10F73" w:rsidP="00EB60F8">
      <w:pPr>
        <w:pStyle w:val="11Titel"/>
      </w:pPr>
      <w:r>
        <w:t xml:space="preserve">30-asis darbo, socialinių reikalų, sveikatos apsaugos ir vartotojų apsaugos ministrės nutarimas dėl vaistų tiekimo užtikrinimo potvarkis</w:t>
      </w:r>
    </w:p>
    <w:p w:rsidR="00F10F73" w:rsidRPr="00EB5BAD" w:rsidRDefault="00F10F73" w:rsidP="00EB60F8">
      <w:pPr>
        <w:pStyle w:val="12PromKlEinlSatz"/>
      </w:pPr>
      <w:r>
        <w:t xml:space="preserve">Remiantis Vaistų įstatymo (BGBl. Nr. 185/1983) su paskutiniais pakeitimais, padarytais Federaliniu įstatymu, paskelbtu BGBl. I Nr. 104/2019, ir 2020 m. Federalinės ministerijos įstatymo pakeitimu (BGBl. Nr. 8/2020) 57a straipsnio 2 dalimi, nutariama:</w:t>
      </w:r>
    </w:p>
    <w:p w:rsidR="00F10F73" w:rsidRPr="00EB5BAD" w:rsidRDefault="00F10F73" w:rsidP="00EB60F8">
      <w:pPr>
        <w:pStyle w:val="51Abs"/>
      </w:pPr>
      <w:r>
        <w:rPr>
          <w:rStyle w:val="991GldSymbol"/>
        </w:rPr>
        <w:t xml:space="preserve">1 straipsnis.</w:t>
      </w:r>
      <w:r>
        <w:t xml:space="preserve"> </w:t>
      </w:r>
      <w:r>
        <w:t xml:space="preserve">1. Leidimo prekiauti turėtojas turi pranešti Federalinei saugos ir sveikatos priežiūros tarnybai apie bet kokius receptinių patentuotų vaistų platinimo apribojimus šalyje.</w:t>
      </w:r>
      <w:r>
        <w:t xml:space="preserve"> </w:t>
      </w:r>
      <w:r>
        <w:t xml:space="preserve">Platinimo galimybių apribojimu laikomas dvi ateinančias savaites numatomas receptinio vaisto rūšies neprieinamumas arba keturias ateinančias savaites numatomas nepakankamas prieinamumas, kad būtų patenkintas pacientų poreikis šalies teritorijoje.</w:t>
      </w:r>
    </w:p>
    <w:p w:rsidR="00F10F73" w:rsidRPr="00EB5BAD" w:rsidRDefault="00F10F73" w:rsidP="00EB60F8">
      <w:pPr>
        <w:pStyle w:val="51Abs"/>
      </w:pPr>
      <w:r>
        <w:t xml:space="preserve">2. Pranešimas pagal 1 dalį atitinkamai turi būti pateiktas pagal Federalinės saugos ir sveikatos reikalų tarnybos nuostatas dėl elektroninio paraiškų ir pranešimų teikimo (2011 m. Elektroninio teikimo nutarimas (vok. santrumpa – EEVO).</w:t>
      </w:r>
    </w:p>
    <w:p w:rsidR="00F10F73" w:rsidRPr="00EB5BAD" w:rsidRDefault="00F10F73" w:rsidP="00EB60F8">
      <w:pPr>
        <w:pStyle w:val="51Abs"/>
      </w:pPr>
      <w:r>
        <w:t xml:space="preserve">3. Patikrinus 1 dalyje nurodytą pranešimą, Federalinė saugos ir sveikatos priežiūros tarnyba savo interneto svetainėje viešai prieinamame sąraše turi paskelbti patentuotus vaistus ne anksčiau nei dieną, kurią faktiškai pradedamas taikyti platinimo apribojimas.</w:t>
      </w:r>
    </w:p>
    <w:p w:rsidR="00F10F73" w:rsidRPr="00EB5BAD" w:rsidRDefault="00F10F73" w:rsidP="00EB60F8">
      <w:pPr>
        <w:pStyle w:val="51Abs"/>
      </w:pPr>
      <w:r>
        <w:t xml:space="preserve">4. Leidimo prekiauti turėtojo pranešimo apie atitinkamų patentuotų vaistų platinimo apribojimą tikrinimas visų pirma susijęs su susijusių pacientų skaičiumi, rinkos aprėptimi, vidutiniais pardavimo duomenimis, apskaičiuotais poreikiais ir atsargomis bei galimais alternatyviais vaistais.</w:t>
      </w:r>
    </w:p>
    <w:p w:rsidR="00F10F73" w:rsidRPr="00EB5BAD" w:rsidRDefault="00F10F73" w:rsidP="00EB60F8">
      <w:pPr>
        <w:pStyle w:val="51Abs"/>
      </w:pPr>
      <w:r>
        <w:t xml:space="preserve">5. Federalinė saugos ir sveikatos priežiūros tarnyba reguliariai tikrina, ar 3 dalyje nurodytas sąrašas yra atnaujinamas.</w:t>
      </w:r>
    </w:p>
    <w:p w:rsidR="00F10F73" w:rsidRPr="00EB5BAD" w:rsidRDefault="00F10F73" w:rsidP="00EB60F8">
      <w:pPr>
        <w:pStyle w:val="51Abs"/>
      </w:pPr>
      <w:r>
        <w:rPr>
          <w:rStyle w:val="991GldSymbol"/>
        </w:rPr>
        <w:t xml:space="preserve">2 straipsnis.</w:t>
      </w:r>
      <w:r>
        <w:t xml:space="preserve"> </w:t>
      </w:r>
      <w:r>
        <w:t xml:space="preserve">1. Receptinių patentuotų vaistų platinimo šalyje apribojimams pasibaigus, leidimo prekiauti turėtojas turi pranešti apie tai Federalinei saugos ir sveikatos priežiūros tarnybai.</w:t>
      </w:r>
      <w:r>
        <w:t xml:space="preserve"> </w:t>
      </w:r>
      <w:r>
        <w:t xml:space="preserve">Atitinkamai taikomos 1 straipsnio 2 dalies nuostatos.</w:t>
      </w:r>
    </w:p>
    <w:p w:rsidR="00F10F73" w:rsidRPr="00EB5BAD" w:rsidRDefault="00F10F73" w:rsidP="00EB60F8">
      <w:pPr>
        <w:pStyle w:val="51Abs"/>
      </w:pPr>
      <w:r>
        <w:t xml:space="preserve">2. Federalinė saugos ir sveikatos priežiūros tarnyba turi patikrinti šią informaciją, ir, jei platinimo ribojimas pasibaigęs, turi nedelsdama pašalinti atitinkamus patentuotus vaistus iš sąrašo pagal 1 straipsnio 3 dalį.</w:t>
      </w:r>
    </w:p>
    <w:p w:rsidR="00F10F73" w:rsidRPr="00EB5BAD" w:rsidRDefault="00F10F73" w:rsidP="00EB60F8">
      <w:pPr>
        <w:pStyle w:val="51Abs"/>
      </w:pPr>
      <w:r>
        <w:t xml:space="preserve">3. Jei leidimo prekiauti turėtojas nevykdo savo įsipareigojimo pagal 1 dalį, Federalinė saugos ir sveikatos priežiūros tarnyba, atlikusi patikrinimą, gali atlikti </w:t>
      </w:r>
      <w:r>
        <w:rPr>
          <w:i/>
          <w:iCs/>
        </w:rPr>
        <w:t xml:space="preserve">ex officio</w:t>
      </w:r>
      <w:r>
        <w:t xml:space="preserve"> pašalinimą.</w:t>
      </w:r>
    </w:p>
    <w:p w:rsidR="00F10F73" w:rsidRPr="00EB5BAD" w:rsidRDefault="00F10F73" w:rsidP="00EB60F8">
      <w:pPr>
        <w:pStyle w:val="51Abs"/>
      </w:pPr>
      <w:r>
        <w:rPr>
          <w:rStyle w:val="991GldSymbol"/>
        </w:rPr>
        <w:t xml:space="preserve">3 straipsnis.</w:t>
      </w:r>
      <w:r>
        <w:t xml:space="preserve"> </w:t>
      </w:r>
      <w:r>
        <w:t xml:space="preserve">1. Jeigu Federalinei saugos ir sveikatos priežiūros tarnybai tampa žinoma, kad leidimo prekiauti turėtojas nesilaiko arba iš dalies laikosi savo įsipareigojimo pagal 1 straipsnio 1 dalį, patikrinusi, ar taikomas platinimo apribojimas, Federalinė saugos ir sveikatos priežiūros tarnyba turi įtraukti atitinkamus patentuotus vaistus į viešai prieinamą sąrašą pagal 1 straipsnio 3 dalį.</w:t>
      </w:r>
    </w:p>
    <w:p w:rsidR="00F10F73" w:rsidRPr="00EB5BAD" w:rsidRDefault="00F10F73" w:rsidP="00EB60F8">
      <w:pPr>
        <w:pStyle w:val="51Abs"/>
      </w:pPr>
      <w:r>
        <w:t xml:space="preserve">3. Jei 1 dalyje nurodyto platinimo apribojimas pasibaigė, </w:t>
      </w:r>
      <w:r>
        <w:rPr>
          <w:i/>
          <w:iCs/>
        </w:rPr>
        <w:t xml:space="preserve">mutatis mutandis</w:t>
      </w:r>
      <w:r>
        <w:t xml:space="preserve"> taikomas 2 straipsnis.</w:t>
      </w:r>
    </w:p>
    <w:p w:rsidR="00F10F73" w:rsidRPr="00EB5BAD" w:rsidRDefault="00F10F73" w:rsidP="00EB60F8">
      <w:pPr>
        <w:pStyle w:val="51Abs"/>
      </w:pPr>
      <w:r>
        <w:rPr>
          <w:rStyle w:val="991GldSymbol"/>
        </w:rPr>
        <w:t xml:space="preserve">4 straipsnis.</w:t>
      </w:r>
      <w:r>
        <w:t xml:space="preserve"> </w:t>
      </w:r>
      <w:r>
        <w:t xml:space="preserve">1. Jei Federalinė saugos ir sveikatos priežiūros tarnyba sužino, kad receptinių patentuotų vaistų yra tiek, kad nepakanka šalies pacientų poreikiams patenkinti, nors leidimo prekiauti turėtojas nepranešė apie platinimo apribojimą, Federalinė saugos ir sveikatos priežiūros tarnyba, patikrinusi šią informaciją, turi įtraukti patentuotus vaistus į viešai prieinamą sąrašą pagal 1 straipsnio 3 dalį.</w:t>
      </w:r>
    </w:p>
    <w:p w:rsidR="00F10F73" w:rsidRPr="00EB5BAD" w:rsidRDefault="00F10F73" w:rsidP="00EB60F8">
      <w:pPr>
        <w:pStyle w:val="51Abs"/>
      </w:pPr>
      <w:r>
        <w:t xml:space="preserve">2. Jeigu pagal 1 dalį nebėra jokių kitų apribojimų, Federalinė saugos ir sveikatos priežiūros tarnyba, atlikusi patikrinimą, </w:t>
      </w:r>
      <w:r>
        <w:rPr>
          <w:i/>
          <w:iCs/>
        </w:rPr>
        <w:t xml:space="preserve">ex officio</w:t>
      </w:r>
      <w:r>
        <w:t xml:space="preserve"> išbraukia atitinkamus patentuotus vaistus iš sąrašo pagal 1 straipsnio 3 dalį.</w:t>
      </w:r>
    </w:p>
    <w:p w:rsidR="00F10F73" w:rsidRPr="00EB5BAD" w:rsidRDefault="00F10F73" w:rsidP="00EB60F8">
      <w:pPr>
        <w:pStyle w:val="51Abs"/>
      </w:pPr>
      <w:r>
        <w:rPr>
          <w:rStyle w:val="991GldSymbol"/>
        </w:rPr>
        <w:t xml:space="preserve">5 straipsnis.</w:t>
      </w:r>
      <w:r>
        <w:t xml:space="preserve"> </w:t>
      </w:r>
      <w:r>
        <w:t xml:space="preserve">1. Kad būtų užtikrinta visuomenės sveikatos apsauga, yra draudžiama eksportuoti receptinius patentuotus vaistus, kurie yra įtraukti į Federalinės saugos ir sveikatos priežiūros tarnybos paskelbtą sąrašą pagal 1 straipsnio 3 dalį į kitas Europos ekonominės erdvės susitarimą pasirašiusias šalis.</w:t>
      </w:r>
    </w:p>
    <w:p w:rsidR="00F10F73" w:rsidRPr="00EB5BAD" w:rsidRDefault="00F10F73" w:rsidP="00EB60F8">
      <w:pPr>
        <w:pStyle w:val="51Abs"/>
      </w:pPr>
      <w:r>
        <w:t xml:space="preserve">2. Leidimo prekiauti turėtojo prašymu Federalinė saugos ir sveikatos priežiūros tarnyba priima sprendimą dėl 1 dalyje nurodyto eksporto draudimo.</w:t>
      </w:r>
    </w:p>
    <w:p w:rsidR="00F10F73" w:rsidRPr="00EB5BAD" w:rsidRDefault="00F10F73" w:rsidP="00EB60F8">
      <w:pPr>
        <w:pStyle w:val="51Abs"/>
      </w:pPr>
      <w:r>
        <w:rPr>
          <w:rStyle w:val="991GldSymbol"/>
        </w:rPr>
        <w:t xml:space="preserve">6 straipsnis.</w:t>
      </w:r>
      <w:r>
        <w:t xml:space="preserve"> </w:t>
      </w:r>
      <w:r>
        <w:t xml:space="preserve">Šiam potvarkiui pritaikyta informacijos teikimo procedūra pagal 2015 m. rugsėjo 9 d. Europos Parlamento ir Tarybos direktyvą (ES) 2015/1535, kuria nustatoma informacijos apie techninius reglamentus ir informacinės visuomenės paslaugų taisykles teikimo tvarka, (OL L 241, 2015 9 17, p. 1).</w:t>
      </w:r>
    </w:p>
    <w:p w:rsidR="00F10F73" w:rsidRPr="00EB5BAD" w:rsidRDefault="00F10F73" w:rsidP="00EB60F8">
      <w:pPr>
        <w:pStyle w:val="51Abs"/>
      </w:pPr>
      <w:r>
        <w:rPr>
          <w:rStyle w:val="991GldSymbol"/>
        </w:rPr>
        <w:t xml:space="preserve">7 straipsnis.</w:t>
      </w:r>
      <w:r>
        <w:t xml:space="preserve"> </w:t>
      </w:r>
      <w:r>
        <w:t xml:space="preserve">Šis potvarkis įsigalioja 2020 m. balandžio 1 d.</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paskelbta 2020 m. vasario 18 d., Nr. 30</w:t>
    </w:r>
    <w:r>
      <w:tab/>
    </w:r>
    <w:r>
      <w:t xml:space="preserve">p. </w:t>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iš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paskelbta 2020 m. vasario 18 d., Nr. 30</w:t>
    </w:r>
    <w:r>
      <w:tab/>
    </w:r>
    <w:r>
      <w:t xml:space="preserve">p. </w:t>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iš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t xml:space="preserve">p. </w:t>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iš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lt-LT"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lt-LT"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lt-LT"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lt-LT"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lt-LT"/>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lt-LT"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lt-LT"/>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lt-LT"/>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lt-LT"/>
    </w:rPr>
  </w:style>
  <w:style w:type="paragraph" w:customStyle="1" w:styleId="PDU1">
    <w:name w:val="PD_U1"/>
    <w:basedOn w:val="00LegStandard"/>
    <w:next w:val="Standard"/>
    <w:rsid w:val="00F10F73"/>
    <w:pPr>
      <w:tabs>
        <w:tab w:val="center" w:pos="2126"/>
        <w:tab w:val="center" w:pos="6379"/>
      </w:tabs>
      <w:spacing w:before="440"/>
    </w:pPr>
    <w:rPr>
      <w:b/>
      <w:lang w:val="lt-LT"/>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lt-LT"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lt-LT"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lt-LT"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lt-LT"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lt-LT"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lt-LT"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lt-LT"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lt-LT"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lt-LT" w:eastAsia="de-AT"/>
    </w:rPr>
  </w:style>
  <w:style w:type="paragraph" w:customStyle="1" w:styleId="58Schlussteile0Abs">
    <w:name w:val="58_Schlussteil_e0_Abs"/>
    <w:basedOn w:val="00LegStandard"/>
    <w:next w:val="51Abs"/>
    <w:rsid w:val="00F10F73"/>
    <w:pPr>
      <w:spacing w:before="40"/>
    </w:pPr>
    <w:rPr>
      <w:lang w:val="lt-LT"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lt-LT"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lt-LT"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lt-LT"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lt-LT"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lt-LT"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lt-LT"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lt-LT"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lt-LT"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lt-LT"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lt-LT"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lt-LT"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lt-LT"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lt-LT"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lt-LT"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lt-LT"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lt-LT"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lt-L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