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rFonts w:ascii="Questa-Regular" w:eastAsia="Times New Roman" w:hAnsi="Questa-Regular" w:cs="Segoe UI"/>
          <w:color w:val="212529"/>
          <w:sz w:val="37"/>
          <w:szCs w:val="37"/>
        </w:rPr>
      </w:pPr>
      <w:r>
        <w:rPr>
          <w:rFonts w:ascii="Questa-Regular" w:hAnsi="Questa-Regular"/>
          <w:color w:val="212529"/>
          <w:sz w:val="28"/>
        </w:rPr>
        <w:t>Orden sobre la regulación de ciertos gases industriales de efecto invernadero</w:t>
      </w:r>
      <w:bookmarkStart w:id="0" w:name="Henvisning_idadc2bf9e-e2bc-4522-800d-b83"/>
      <w:r w:rsidRPr="00231E43">
        <w:rPr>
          <w:rFonts w:ascii="Questa-Regular" w:eastAsia="Times New Roman" w:hAnsi="Questa-Regular" w:cs="Segoe UI"/>
          <w:color w:val="212529"/>
          <w:sz w:val="37"/>
        </w:rPr>
        <w:fldChar w:fldCharType="begin"/>
      </w:r>
      <w:r w:rsidRPr="00231E43">
        <w:rPr>
          <w:rFonts w:ascii="Questa-Regular" w:eastAsia="Times New Roman" w:hAnsi="Questa-Regular" w:cs="Segoe UI"/>
          <w:color w:val="212529"/>
          <w:sz w:val="37"/>
        </w:rPr>
        <w:instrText xml:space="preserve"> HYPERLINK "https://www.retsinformation.dk/eli/lta/2021/1013" \l "idadc2bf9e-e2bc-4522-800d-b831881a24cf" </w:instrText>
      </w:r>
      <w:r w:rsidRPr="00231E43">
        <w:rPr>
          <w:rFonts w:ascii="Questa-Regular" w:eastAsia="Times New Roman" w:hAnsi="Questa-Regular" w:cs="Segoe UI"/>
          <w:color w:val="212529"/>
          <w:sz w:val="37"/>
        </w:rPr>
        <w:fldChar w:fldCharType="separate"/>
      </w:r>
      <w:r>
        <w:rPr>
          <w:rFonts w:ascii="Questa-Regular" w:hAnsi="Questa-Regular"/>
          <w:color w:val="176D41"/>
          <w:sz w:val="19"/>
          <w:u w:val="single"/>
        </w:rPr>
        <w:t>1)</w:t>
      </w:r>
      <w:r w:rsidRPr="00231E43">
        <w:rPr>
          <w:rFonts w:ascii="Questa-Regular" w:eastAsia="Times New Roman" w:hAnsi="Questa-Regular" w:cs="Segoe UI"/>
          <w:color w:val="212529"/>
          <w:sz w:val="37"/>
        </w:rPr>
        <w:fldChar w:fldCharType="end"/>
      </w:r>
      <w:bookmarkEnd w:id="0"/>
    </w:p>
    <w:p w14:paraId="7F0C0F5F"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color w:val="212529"/>
          <w:sz w:val="23"/>
        </w:rPr>
        <w:t>En virtud del artículo 30, el artículo 45, apartado 1, y el artículo 59, apartado 4, de la Ley de productos químicos (véase la Ley consolidada n.º 115 de 26 de enero de 2017, en su versión modificada por la Ley n.º 2214 de 29 de diciembre de 2020), por la presente, se establece lo siguiente:</w:t>
      </w:r>
    </w:p>
    <w:p w14:paraId="0CB6BC7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Ámbito de aplicación de la Orden</w:t>
      </w:r>
    </w:p>
    <w:p w14:paraId="59687B3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Artículo 1.</w:t>
      </w:r>
      <w:r>
        <w:rPr>
          <w:rFonts w:ascii="Questa-Regular" w:hAnsi="Questa-Regular"/>
          <w:color w:val="212529"/>
          <w:sz w:val="23"/>
        </w:rPr>
        <w:t xml:space="preserve"> La Orden incluye los </w:t>
      </w:r>
      <w:proofErr w:type="spellStart"/>
      <w:r>
        <w:rPr>
          <w:rFonts w:ascii="Questa-Regular" w:hAnsi="Questa-Regular"/>
          <w:color w:val="212529"/>
          <w:sz w:val="23"/>
        </w:rPr>
        <w:t>perfluorocarburos</w:t>
      </w:r>
      <w:proofErr w:type="spellEnd"/>
      <w:r>
        <w:rPr>
          <w:rFonts w:ascii="Questa-Regular" w:hAnsi="Questa-Regular"/>
          <w:color w:val="212529"/>
          <w:sz w:val="23"/>
        </w:rPr>
        <w:t xml:space="preserve"> (PFC) y el hexafluoruro de azufre (SF</w:t>
      </w:r>
      <w:r>
        <w:rPr>
          <w:rFonts w:ascii="Questa-Regular" w:hAnsi="Questa-Regular"/>
          <w:color w:val="212529"/>
          <w:sz w:val="16"/>
          <w:vertAlign w:val="subscript"/>
        </w:rPr>
        <w:t>6</w:t>
      </w:r>
      <w:r>
        <w:rPr>
          <w:rFonts w:ascii="Questa-Regular" w:hAnsi="Questa-Regular"/>
          <w:color w:val="212529"/>
          <w:sz w:val="23"/>
        </w:rPr>
        <w:t xml:space="preserve">) y los hidrofluorocarbonos (HFC), con excepción de las </w:t>
      </w:r>
      <w:proofErr w:type="spellStart"/>
      <w:r>
        <w:rPr>
          <w:rFonts w:ascii="Questa-Regular" w:hAnsi="Questa-Regular"/>
          <w:color w:val="212529"/>
          <w:sz w:val="23"/>
        </w:rPr>
        <w:t>hidrofluoroolefinas</w:t>
      </w:r>
      <w:proofErr w:type="spellEnd"/>
      <w:r>
        <w:rPr>
          <w:rFonts w:ascii="Questa-Regular" w:hAnsi="Questa-Regular"/>
          <w:color w:val="212529"/>
          <w:sz w:val="23"/>
        </w:rPr>
        <w:t xml:space="preserve"> (HFO-s), tanto las sustancias solas como en mezclas que contienen una o más de esas sustancias.</w:t>
      </w:r>
    </w:p>
    <w:p w14:paraId="184CCFD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2.</w:t>
      </w:r>
      <w:r>
        <w:rPr>
          <w:rFonts w:ascii="Questa-Regular" w:hAnsi="Questa-Regular"/>
          <w:color w:val="212529"/>
          <w:sz w:val="23"/>
        </w:rPr>
        <w:t> La Orden no incluirá el uso industrial de los gases de efecto invernadero mencionados en el apartado 1, excepto para su utilización como gas protector en fundiciones de metales ligeros y para la producción de plásticos de espuma flexible. En la presente Orden, por «uso industrial» se entenderá el uso en la producción de mercancías, cuando no hay gases de efecto invernadero presentes en el producto acabado.</w:t>
      </w:r>
    </w:p>
    <w:p w14:paraId="55CE4E89"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3.</w:t>
      </w:r>
      <w:r>
        <w:rPr>
          <w:rFonts w:ascii="Questa-Regular" w:hAnsi="Questa-Regular"/>
          <w:color w:val="212529"/>
          <w:sz w:val="23"/>
        </w:rPr>
        <w:t> El Reglamento de la UE sobre los gases fluorados de efecto invernadero en vigor en cualquier momento establece el nivel mínimo de regulación de los gases de efecto invernadero según el apartado 1.</w:t>
      </w:r>
    </w:p>
    <w:p w14:paraId="66A7B908"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Restricciones de uso, etc.</w:t>
      </w:r>
    </w:p>
    <w:p w14:paraId="4B724AE3"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Artículo 2.</w:t>
      </w:r>
      <w:r>
        <w:rPr>
          <w:rFonts w:ascii="Questa-Regular" w:hAnsi="Questa-Regular"/>
          <w:color w:val="212529"/>
          <w:sz w:val="23"/>
        </w:rPr>
        <w:t> Se prohíbe la importación, la venta y el uso de nuevos productos que contengan los gases de efecto invernadero mencionados en el artículo 1, apartado 1.</w:t>
      </w:r>
    </w:p>
    <w:p w14:paraId="7AAFBE4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2.</w:t>
      </w:r>
      <w:r>
        <w:rPr>
          <w:rFonts w:ascii="Questa-Regular" w:hAnsi="Questa-Regular"/>
          <w:color w:val="212529"/>
          <w:sz w:val="23"/>
        </w:rPr>
        <w:t> No obstante lo dispuesto en el apartado 1, estará permitida la importación, la venta y el uso de los nuevos productos enumerados en el anexo 1 para los gases de efecto invernadero mencionados en dicho anexo.</w:t>
      </w:r>
    </w:p>
    <w:p w14:paraId="4323A580"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lastRenderedPageBreak/>
        <w:t>Artículo 3.</w:t>
      </w:r>
      <w:r>
        <w:rPr>
          <w:rFonts w:ascii="Questa-Regular" w:hAnsi="Questa-Regular"/>
          <w:color w:val="212529"/>
          <w:sz w:val="23"/>
        </w:rPr>
        <w:t> Se prohíbe la importación, la venta y el uso de los gases de efecto invernadero, nuevos o recuperados, mencionados en el artículo 1, apartado 1.</w:t>
      </w:r>
    </w:p>
    <w:p w14:paraId="4990F525"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2.</w:t>
      </w:r>
      <w:r>
        <w:rPr>
          <w:rFonts w:ascii="Questa-Regular" w:hAnsi="Questa-Regular"/>
          <w:color w:val="212529"/>
          <w:sz w:val="23"/>
        </w:rPr>
        <w:t> No obstante lo dispuesto en el apartado 1, se permitirá la importación, la venta y el uso que aparecen en la lista del anexo 2 para los gases de efecto invernadero especificados.</w:t>
      </w:r>
    </w:p>
    <w:p w14:paraId="5919578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Disposiciones administrativas</w:t>
      </w:r>
    </w:p>
    <w:p w14:paraId="3C3F634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Artículo 4.</w:t>
      </w:r>
      <w:r>
        <w:rPr>
          <w:rFonts w:ascii="Questa-Regular" w:hAnsi="Questa-Regular"/>
          <w:color w:val="212529"/>
          <w:sz w:val="23"/>
        </w:rPr>
        <w:t> La Agencia de Protección Medioambiental se encargará, de conformidad con lo dispuesto, de la supervisión y el control de cumplimiento de las normas contenidas en el Reglamento.</w:t>
      </w:r>
    </w:p>
    <w:p w14:paraId="66D186F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2.</w:t>
      </w:r>
      <w:r>
        <w:rPr>
          <w:rFonts w:ascii="Questa-Regular" w:hAnsi="Questa-Regular"/>
          <w:color w:val="212529"/>
          <w:sz w:val="23"/>
        </w:rPr>
        <w:t> En casos excepcionales, la Agencia de Protección Medioambiental de Dinamarca podrá permitir excepciones a las normas de la Orden.</w:t>
      </w:r>
    </w:p>
    <w:p w14:paraId="0F32C31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3.</w:t>
      </w:r>
      <w:r>
        <w:rPr>
          <w:rFonts w:ascii="Questa-Regular" w:hAnsi="Questa-Regular"/>
          <w:color w:val="212529"/>
          <w:sz w:val="23"/>
        </w:rPr>
        <w:t> No podrá presentarse recurso contra las decisiones de la Agencia de Protección Medioambiental de Dinamarca tomadas con arreglo al apartado 2 ante otras autoridades administrativas.</w:t>
      </w:r>
    </w:p>
    <w:p w14:paraId="29720BCA"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Sanciones, entrada en vigor y disposiciones transitorias</w:t>
      </w:r>
    </w:p>
    <w:p w14:paraId="173B0918"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Artículo 5.</w:t>
      </w:r>
      <w:r>
        <w:rPr>
          <w:rFonts w:ascii="Questa-Regular" w:hAnsi="Questa-Regular"/>
          <w:color w:val="212529"/>
          <w:sz w:val="23"/>
        </w:rPr>
        <w:t> A menos que otra legislación estipule sanciones mayores, se penalizará con multas a aquellos que:</w:t>
      </w:r>
    </w:p>
    <w:p w14:paraId="4ED8A6D9"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1) importen, vendan o usen nuevos productos que contengan gases de efecto invernadero en contravención del artículo 2; o</w:t>
      </w:r>
    </w:p>
    <w:p w14:paraId="6885B775"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2) importen, vendan o usen gases de efecto invernadero en contravención del artículo 3.</w:t>
      </w:r>
    </w:p>
    <w:p w14:paraId="6CDC018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2.</w:t>
      </w:r>
      <w:r>
        <w:rPr>
          <w:rFonts w:ascii="Questa-Regular" w:hAnsi="Questa-Regular"/>
          <w:color w:val="212529"/>
          <w:sz w:val="23"/>
        </w:rPr>
        <w:t> La sanción podrá llegar a convertirse en dos años de prisión si la infracción se cometió deliberadamente o por negligencia grave, y si esta dio lugar o se pretendía que diera lugar a beneficios económicos, incluidos ahorros, para los propios autores o para otros.</w:t>
      </w:r>
    </w:p>
    <w:p w14:paraId="4F33AC2D"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3.</w:t>
      </w:r>
      <w:r>
        <w:rPr>
          <w:rFonts w:ascii="Questa-Regular" w:hAnsi="Questa-Regular"/>
          <w:color w:val="212529"/>
          <w:sz w:val="23"/>
        </w:rPr>
        <w:t> Las entidades, etc. (personas jurídicas) podrán considerarse responsables penalmente de conformidad con las disposiciones del capítulo 5 del Código Penal.</w:t>
      </w:r>
    </w:p>
    <w:p w14:paraId="0C61183C"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Artículo 6.</w:t>
      </w:r>
      <w:r>
        <w:rPr>
          <w:rFonts w:ascii="Questa-Regular" w:hAnsi="Questa-Regular"/>
          <w:color w:val="212529"/>
          <w:sz w:val="23"/>
        </w:rPr>
        <w:t> La presente Orden entrará en vigor el jueves, 1 de julio de 2021.</w:t>
      </w:r>
    </w:p>
    <w:p w14:paraId="03EB802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lastRenderedPageBreak/>
        <w:t>Apartado 2.</w:t>
      </w:r>
      <w:r>
        <w:rPr>
          <w:rFonts w:ascii="Questa-Regular" w:hAnsi="Questa-Regular"/>
          <w:color w:val="212529"/>
          <w:sz w:val="23"/>
        </w:rPr>
        <w:t> En el caso de las bombas de calor con rellenos comprendidos entre 0,15 kg y 10 kg, las normas vigentes hasta la fecha se aplicarán hasta el 1 de enero de 2022.</w:t>
      </w:r>
    </w:p>
    <w:p w14:paraId="7C9F2CA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Apartado 3.</w:t>
      </w:r>
      <w:r>
        <w:rPr>
          <w:rFonts w:ascii="Questa-Regular" w:hAnsi="Questa-Regular"/>
          <w:color w:val="212529"/>
          <w:sz w:val="23"/>
        </w:rPr>
        <w:t> Queda derogada la Orden n.º 1326, de 19 de noviembre de 2018, sobre la regulación de ciertos gases industriales de efecto invernadero.</w:t>
      </w:r>
    </w:p>
    <w:p w14:paraId="01810B7E" w14:textId="77777777" w:rsidR="00231E43" w:rsidRPr="00231E43" w:rsidRDefault="00231E43" w:rsidP="00231E43">
      <w:pPr>
        <w:spacing w:before="120" w:after="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Ministerio de Medio Ambiente, a 13 de mayo de 2021</w:t>
      </w:r>
    </w:p>
    <w:p w14:paraId="4EA287F6" w14:textId="77777777" w:rsidR="00231E43" w:rsidRPr="00231E43" w:rsidRDefault="00231E43" w:rsidP="00231E43">
      <w:pPr>
        <w:spacing w:before="120" w:after="0" w:line="480" w:lineRule="auto"/>
        <w:jc w:val="center"/>
        <w:rPr>
          <w:rFonts w:ascii="Questa-Regular" w:eastAsia="Times New Roman" w:hAnsi="Questa-Regular" w:cs="Segoe UI"/>
          <w:color w:val="212529"/>
          <w:sz w:val="23"/>
          <w:szCs w:val="23"/>
        </w:rPr>
      </w:pPr>
      <w:r>
        <w:rPr>
          <w:rFonts w:ascii="Questa-Regular" w:hAnsi="Questa-Regular"/>
          <w:color w:val="212529"/>
          <w:sz w:val="23"/>
        </w:rPr>
        <w:t xml:space="preserve">Lea </w:t>
      </w:r>
      <w:proofErr w:type="spellStart"/>
      <w:r>
        <w:rPr>
          <w:rFonts w:ascii="Questa-Regular" w:hAnsi="Questa-Regular"/>
          <w:color w:val="212529"/>
          <w:sz w:val="23"/>
        </w:rPr>
        <w:t>Wermelin</w:t>
      </w:r>
      <w:proofErr w:type="spellEnd"/>
    </w:p>
    <w:p w14:paraId="4C46C222" w14:textId="77777777" w:rsidR="00231E43" w:rsidRPr="00231E43" w:rsidRDefault="00231E43" w:rsidP="00231E43">
      <w:pPr>
        <w:spacing w:after="0" w:line="480" w:lineRule="auto"/>
        <w:jc w:val="right"/>
        <w:rPr>
          <w:rFonts w:ascii="Questa-Regular" w:eastAsia="Times New Roman" w:hAnsi="Questa-Regular" w:cs="Segoe UI"/>
          <w:color w:val="212529"/>
          <w:sz w:val="23"/>
          <w:szCs w:val="23"/>
        </w:rPr>
      </w:pPr>
      <w:r>
        <w:rPr>
          <w:rFonts w:ascii="Questa-Regular" w:hAnsi="Questa-Regular"/>
          <w:color w:val="212529"/>
          <w:sz w:val="23"/>
        </w:rPr>
        <w:t xml:space="preserve">/Henrik </w:t>
      </w:r>
      <w:proofErr w:type="spellStart"/>
      <w:r>
        <w:rPr>
          <w:rFonts w:ascii="Questa-Regular" w:hAnsi="Questa-Regular"/>
          <w:color w:val="212529"/>
          <w:sz w:val="23"/>
        </w:rPr>
        <w:t>Søren</w:t>
      </w:r>
      <w:proofErr w:type="spellEnd"/>
      <w:r>
        <w:rPr>
          <w:rFonts w:ascii="Questa-Regular" w:hAnsi="Questa-Regular"/>
          <w:color w:val="212529"/>
          <w:sz w:val="23"/>
        </w:rPr>
        <w:t xml:space="preserve"> Larsen</w:t>
      </w:r>
    </w:p>
    <w:p w14:paraId="51926885" w14:textId="77777777" w:rsidR="00231E43" w:rsidRPr="00231E43" w:rsidRDefault="00EB545A"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5E3E9614">
          <v:rect id="_x0000_i1025" style="width:416.3pt;height:0" o:hrpct="0" o:hralign="center" o:hrstd="t" o:hr="t" fillcolor="#a0a0a0" stroked="f"/>
        </w:pict>
      </w:r>
    </w:p>
    <w:p w14:paraId="38755CA3" w14:textId="77777777" w:rsidR="00BF61A0" w:rsidRDefault="00BF61A0">
      <w:pPr>
        <w:rPr>
          <w:rFonts w:ascii="Questa-Regular" w:hAnsi="Questa-Regular"/>
          <w:b/>
          <w:color w:val="212529"/>
          <w:sz w:val="32"/>
        </w:rPr>
      </w:pPr>
      <w:r>
        <w:br w:type="page"/>
      </w:r>
    </w:p>
    <w:p w14:paraId="78C08BCE" w14:textId="17AF3AF4"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Anexo 1</w:t>
      </w:r>
    </w:p>
    <w:p w14:paraId="0DC067B5"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Los siguientes productos con los gases de efecto invernadero especificados quedan exentos de la prohibición del artículo 2</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7576"/>
              <w:gridCol w:w="90"/>
              <w:gridCol w:w="1649"/>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Producto</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Gas de efecto invernadero</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rFonts w:ascii="Times New Roman" w:eastAsia="Times New Roman" w:hAnsi="Times New Roman" w:cs="Times New Roman"/>
                      <w:sz w:val="24"/>
                      <w:szCs w:val="24"/>
                    </w:rPr>
                  </w:pPr>
                  <w:proofErr w:type="spellStart"/>
                  <w:r>
                    <w:rPr>
                      <w:rFonts w:ascii="Times New Roman" w:hAnsi="Times New Roman"/>
                      <w:sz w:val="24"/>
                    </w:rPr>
                    <w:t>Aparamenta</w:t>
                  </w:r>
                  <w:proofErr w:type="spellEnd"/>
                  <w:r>
                    <w:rPr>
                      <w:rFonts w:ascii="Times New Roman" w:hAnsi="Times New Roman"/>
                      <w:sz w:val="24"/>
                    </w:rPr>
                    <w:t xml:space="preserve"> de alta tensión (voltajes de más de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Bombas de calor con una carga de 50 kg o menos que se hayan montado completamente en fábrica como unidades compactas que se montan principalmente por soldadura o soldadura blanda.</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Sistemas de refrigeración para bombas de calor con una carga de 50 kg o menos que se hayan montado completamente en fábrica como unidades compactas que se montan principalmente por soldadura o soldadura blanda.</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Bombas de calor no cubiertas por el punto 2, equipos de refrigeración, sistemas de aire acondicionado (refrigeración para fines de confort) y deshumidificadores con cargas iguales o inferiores a 5 toneladas de CO</w:t>
                  </w:r>
                  <w:r>
                    <w:rPr>
                      <w:rFonts w:ascii="Times New Roman" w:hAnsi="Times New Roman"/>
                      <w:sz w:val="16"/>
                      <w:vertAlign w:val="subscript"/>
                    </w:rPr>
                    <w:t>2</w:t>
                  </w:r>
                  <w:r>
                    <w:rPr>
                      <w:rFonts w:ascii="Times New Roman" w:hAnsi="Times New Roman"/>
                    </w:rPr>
                    <w:t xml:space="preserve"> equivalente</w:t>
                  </w:r>
                  <w:bookmarkStart w:id="1" w:name="Henvisning_id853ebac0-2be4-4db0-9b53-7d7"/>
                  <w:r w:rsidRPr="00231E43">
                    <w:rPr>
                      <w:rFonts w:ascii="Times New Roman" w:eastAsia="Times New Roman" w:hAnsi="Times New Roman" w:cs="Times New Roman"/>
                      <w:sz w:val="24"/>
                    </w:rPr>
                    <w:fldChar w:fldCharType="begin"/>
                  </w:r>
                  <w:r w:rsidRPr="00231E43">
                    <w:rPr>
                      <w:rFonts w:ascii="Times New Roman" w:eastAsia="Times New Roman" w:hAnsi="Times New Roman" w:cs="Times New Roman"/>
                      <w:sz w:val="24"/>
                    </w:rPr>
                    <w:instrText xml:space="preserve"> HYPERLINK "https://www.retsinformation.dk/eli/lta/2021/1013" \l "id853ebac0-2be4-4db0-9b53-7d7bc98618c7" </w:instrText>
                  </w:r>
                  <w:r w:rsidRPr="00231E43">
                    <w:rPr>
                      <w:rFonts w:ascii="Times New Roman" w:eastAsia="Times New Roman" w:hAnsi="Times New Roman" w:cs="Times New Roman"/>
                      <w:sz w:val="24"/>
                    </w:rPr>
                    <w:fldChar w:fldCharType="separate"/>
                  </w:r>
                  <w:r>
                    <w:rPr>
                      <w:rFonts w:ascii="Times New Roman" w:hAnsi="Times New Roman"/>
                      <w:color w:val="176D41"/>
                      <w:sz w:val="19"/>
                      <w:u w:val="single"/>
                      <w:vertAlign w:val="superscript"/>
                    </w:rPr>
                    <w:t>2)</w:t>
                  </w:r>
                  <w:r w:rsidRPr="00231E43">
                    <w:rPr>
                      <w:rFonts w:ascii="Times New Roman" w:eastAsia="Times New Roman" w:hAnsi="Times New Roman" w:cs="Times New Roman"/>
                      <w:sz w:val="24"/>
                    </w:rPr>
                    <w:fldChar w:fldCharType="end"/>
                  </w:r>
                  <w:bookmarkEnd w:id="1"/>
                  <w:r>
                    <w:rPr>
                      <w:rFonts w:ascii="Times New Roman" w:hAnsi="Times New Roman"/>
                      <w:sz w:val="24"/>
                    </w:rPr>
                    <w:t>.</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Sistemas de refrigeración no cubiertos por el punto 4 para bombas de calor con cargas entre 0,15 kg y 10 kg que se hayan montado completamente en fábrica como unidades compactas que se montan principalmente por soldadura o soldadura blanda.</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Refrigeradores para vacunas.</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Equipo móvil de refrigeración.</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Sistemas de aire acondicionado en vehículos o aviones.</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Congeladores de baja temperatura (temperaturas por debajo de los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Aerosoles médicos.</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Equipos de laboratorio.</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Todos</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Instalaciones de ensayo para el ensayo de equipos de refrigeración.</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Dispositivos de control automático (termostatos, válvulas, etc.).</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Todos</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Productos para uso militar.</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Todos</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Productos para uso a bordo de buques.</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Todos</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rFonts w:ascii="Questa-Regular" w:eastAsia="Times New Roman" w:hAnsi="Questa-Regular" w:cs="Segoe UI"/>
          <w:color w:val="212529"/>
          <w:sz w:val="19"/>
          <w:szCs w:val="19"/>
        </w:rPr>
      </w:pPr>
      <w:r>
        <w:rPr>
          <w:rFonts w:ascii="Questa-Regular" w:hAnsi="Questa-Regular"/>
          <w:color w:val="212529"/>
          <w:sz w:val="19"/>
        </w:rPr>
        <w:t>2) La cantidad y equivalente de CO</w:t>
      </w:r>
      <w:r>
        <w:rPr>
          <w:rFonts w:ascii="Questa-Regular" w:hAnsi="Questa-Regular"/>
          <w:color w:val="212529"/>
          <w:sz w:val="13"/>
          <w:vertAlign w:val="subscript"/>
        </w:rPr>
        <w:t>2</w:t>
      </w:r>
      <w:r>
        <w:rPr>
          <w:rFonts w:ascii="Questa-Regular" w:hAnsi="Questa-Regular"/>
          <w:color w:val="212529"/>
          <w:sz w:val="19"/>
        </w:rPr>
        <w:t xml:space="preserve"> se determinarán de conformidad con las normas aplicables al etiquetado de conformidad con el artículo 12, apartado 3, letra c), del Reglamento (CE) n.º 517/2014 del Parlamento Europeo y del Consejo, de 16 de abril de 2014, sobre los gases fluorados de efecto invernadero y por el que se deroga el Reglamento (CE) n.º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EB545A"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221067F7">
          <v:rect id="_x0000_i1026" style="width:416.3pt;height:0" o:hrpct="0" o:hralign="center" o:hrstd="t" o:hr="t" fillcolor="#a0a0a0" stroked="f"/>
        </w:pict>
      </w:r>
    </w:p>
    <w:p w14:paraId="1EF54FD8" w14:textId="759FA3CC" w:rsidR="00231E43" w:rsidRDefault="00231E43">
      <w:pPr>
        <w:rPr>
          <w:rFonts w:ascii="Questa-Regular" w:eastAsia="Times New Roman" w:hAnsi="Questa-Regular" w:cs="Segoe UI"/>
          <w:b/>
          <w:bCs/>
          <w:color w:val="212529"/>
          <w:sz w:val="32"/>
          <w:szCs w:val="32"/>
        </w:rPr>
      </w:pPr>
    </w:p>
    <w:p w14:paraId="4404E3D1" w14:textId="77777777"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t>Anexo 2</w:t>
      </w:r>
    </w:p>
    <w:p w14:paraId="0AA4944F"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Los siguientes usos de los gases de efecto invernadero especificados quedan exentos de la prohibición del artículo 3</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7172"/>
              <w:gridCol w:w="2263"/>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Uso</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Gas de efecto invernadero</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Servicio de equipos de refrigeración, aires acondicionados, bombas de calor y deshumidificadores.</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Servicio de aire acondicionado en vehículos o aviones.</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xml:space="preserve">Servicio de </w:t>
                  </w:r>
                  <w:proofErr w:type="spellStart"/>
                  <w:r>
                    <w:rPr>
                      <w:rFonts w:ascii="Times New Roman" w:hAnsi="Times New Roman"/>
                      <w:sz w:val="24"/>
                    </w:rPr>
                    <w:t>aparamenta</w:t>
                  </w:r>
                  <w:proofErr w:type="spellEnd"/>
                  <w:r>
                    <w:rPr>
                      <w:rFonts w:ascii="Times New Roman" w:hAnsi="Times New Roman"/>
                      <w:sz w:val="24"/>
                    </w:rPr>
                    <w:t xml:space="preserve"> de alta tensión (voltajes de más de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Servicio de equipos de laboratorio.</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Todos</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Uso militar.</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Todos</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Incineración a bordo.</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Todos</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rFonts w:ascii="Questa-Regular" w:eastAsia="Times New Roman" w:hAnsi="Questa-Regular" w:cs="Segoe UI"/>
          <w:color w:val="212529"/>
          <w:sz w:val="23"/>
          <w:szCs w:val="23"/>
        </w:rPr>
      </w:pPr>
      <w:r>
        <w:rPr>
          <w:rFonts w:ascii="Questa-Regular" w:hAnsi="Questa-Regular"/>
          <w:color w:val="212529"/>
          <w:sz w:val="23"/>
        </w:rPr>
        <w:t>Notas oficiales</w:t>
      </w:r>
    </w:p>
    <w:bookmarkStart w:id="2" w:name="idadc2bf9e-e2bc-4522-800d-b831881a24cf"/>
    <w:p w14:paraId="49A84516" w14:textId="77777777" w:rsidR="00231E43" w:rsidRPr="00231E43" w:rsidRDefault="00231E43" w:rsidP="00231E43">
      <w:pPr>
        <w:spacing w:before="40" w:after="40" w:line="480" w:lineRule="auto"/>
        <w:rPr>
          <w:rFonts w:ascii="Questa-Regular" w:eastAsia="Times New Roman" w:hAnsi="Questa-Regular" w:cs="Segoe UI"/>
          <w:color w:val="212529"/>
          <w:sz w:val="19"/>
          <w:szCs w:val="19"/>
        </w:rPr>
      </w:pPr>
      <w:r w:rsidRPr="00231E43">
        <w:rPr>
          <w:rFonts w:ascii="Questa-Regular" w:eastAsia="Times New Roman" w:hAnsi="Questa-Regular" w:cs="Segoe UI"/>
          <w:color w:val="212529"/>
          <w:sz w:val="19"/>
        </w:rPr>
        <w:fldChar w:fldCharType="begin"/>
      </w:r>
      <w:r w:rsidRPr="00231E43">
        <w:rPr>
          <w:rFonts w:ascii="Questa-Regular" w:eastAsia="Times New Roman" w:hAnsi="Questa-Regular" w:cs="Segoe UI"/>
          <w:color w:val="212529"/>
          <w:sz w:val="19"/>
        </w:rPr>
        <w:instrText xml:space="preserve"> HYPERLINK "https://www.retsinformation.dk/eli/lta/2021/1013" \l "Reference_idadc2bf9e-e2bc-4522-800d-b831881a24cf" </w:instrText>
      </w:r>
      <w:r w:rsidRPr="00231E43">
        <w:rPr>
          <w:rFonts w:ascii="Questa-Regular" w:eastAsia="Times New Roman" w:hAnsi="Questa-Regular" w:cs="Segoe UI"/>
          <w:color w:val="212529"/>
          <w:sz w:val="19"/>
        </w:rPr>
        <w:fldChar w:fldCharType="separate"/>
      </w:r>
      <w:r>
        <w:rPr>
          <w:rFonts w:ascii="Questa-Regular" w:hAnsi="Questa-Regular"/>
          <w:color w:val="176D41"/>
          <w:sz w:val="16"/>
          <w:u w:val="single"/>
          <w:vertAlign w:val="superscript"/>
        </w:rPr>
        <w:t>1)</w:t>
      </w:r>
      <w:r w:rsidRPr="00231E43">
        <w:rPr>
          <w:rFonts w:ascii="Questa-Regular" w:eastAsia="Times New Roman" w:hAnsi="Questa-Regular" w:cs="Segoe UI"/>
          <w:color w:val="212529"/>
          <w:sz w:val="19"/>
        </w:rPr>
        <w:fldChar w:fldCharType="end"/>
      </w:r>
      <w:bookmarkEnd w:id="2"/>
      <w:r>
        <w:rPr>
          <w:rFonts w:ascii="Questa-Regular" w:hAnsi="Questa-Regular"/>
          <w:color w:val="212529"/>
          <w:sz w:val="19"/>
        </w:rPr>
        <w:t> La presente Orden se notificó como proyecto de acuerdo con la Directiva (UE) 2015/1535 del Parlamento Europeo y del Consejo, de 9 de septiembre de 2015, por la que se establece un procedimiento de información en materia de reglamentaciones técnicas y de reglas relativas a los servicios de la sociedad de la información (versión codificada).</w:t>
      </w:r>
    </w:p>
    <w:p w14:paraId="576F272C" w14:textId="77777777" w:rsidR="00D4498B" w:rsidRPr="00231E43" w:rsidRDefault="00D4498B" w:rsidP="00231E43"/>
    <w:sectPr w:rsidR="00D4498B" w:rsidRPr="00231E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545A"/>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1073</Words>
  <Characters>6118</Characters>
  <Application>Microsoft Office Word</Application>
  <DocSecurity>0</DocSecurity>
  <Lines>50</Lines>
  <Paragraphs>14</Paragraphs>
  <ScaleCrop>false</ScaleCrop>
  <Company>Statens It</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4</cp:revision>
  <dcterms:created xsi:type="dcterms:W3CDTF">2021-06-30T11:09:00Z</dcterms:created>
  <dcterms:modified xsi:type="dcterms:W3CDTF">2021-08-29T16:32:00Z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