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F3" w:rsidRDefault="00694BF3" w:rsidP="00F54ECB">
      <w:pPr>
        <w:jc w:val="both"/>
      </w:pPr>
    </w:p>
    <w:p w:rsidR="009C128D" w:rsidRDefault="009C128D" w:rsidP="00F54ECB">
      <w:pPr>
        <w:jc w:val="both"/>
      </w:pPr>
    </w:p>
    <w:p w:rsidR="009C128D" w:rsidRDefault="009C128D" w:rsidP="00F54ECB">
      <w:pPr>
        <w:jc w:val="both"/>
        <w:rPr>
          <w:color w:val="000000"/>
          <w:rFonts w:ascii="Arial" w:hAnsi="Arial" w:cs="Arial"/>
        </w:rPr>
      </w:pPr>
      <w:r>
        <w:rPr>
          <w:color w:val="000000"/>
          <w:rFonts w:ascii="Arial" w:hAnsi="Arial"/>
        </w:rPr>
        <w:t xml:space="preserve">Udkast til lov, der bekræfter konsolidering af respekten for republikkens principper</w:t>
      </w:r>
    </w:p>
    <w:p w:rsidR="009C128D" w:rsidRDefault="009C128D" w:rsidP="00F54ECB">
      <w:pPr>
        <w:jc w:val="both"/>
        <w:rPr>
          <w:rFonts w:ascii="Arial" w:hAnsi="Arial" w:cs="Arial"/>
          <w:color w:val="000000"/>
        </w:rPr>
      </w:pPr>
    </w:p>
    <w:p w:rsidR="009C128D" w:rsidRDefault="009C128D" w:rsidP="00F54ECB">
      <w:pPr>
        <w:jc w:val="both"/>
        <w:rPr>
          <w:rFonts w:ascii="Arial" w:hAnsi="Arial" w:cs="Arial"/>
          <w:color w:val="000000"/>
        </w:rPr>
      </w:pPr>
    </w:p>
    <w:p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Artikel 19</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kapitel II i afsnit I i lov nr. 2004-575 af 21. juni 2004 om tillid til den digitale økonomi foretages følgende ændringer: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Pr>
        <w:t xml:space="preserve">1.</w:t>
      </w:r>
      <w:r>
        <w:rPr>
          <w:sz w:val="21"/>
        </w:rPr>
        <w:t xml:space="preserve"> </w:t>
      </w:r>
      <w:r>
        <w:rPr>
          <w:sz w:val="21"/>
          <w:i/>
          <w:iCs/>
        </w:rPr>
        <w:t xml:space="preserve">(nyt)</w:t>
      </w:r>
      <w:r>
        <w:rPr>
          <w:sz w:val="21"/>
        </w:rPr>
        <w:t xml:space="preserve"> I artikel 6 I, nr. 8, ordene:</w:t>
      </w:r>
      <w:r>
        <w:rPr>
          <w:sz w:val="21"/>
          <w:rFonts w:ascii="Times-Roman" w:hAnsi="Times-Roman"/>
        </w:rPr>
        <w:t xml:space="preserve"> </w:t>
      </w:r>
      <w:r>
        <w:rPr>
          <w:sz w:val="21"/>
          <w:rFonts w:ascii="Times-Roman" w:hAnsi="Times-Roman"/>
        </w:rPr>
        <w:t xml:space="preserve">"i 2 eller, hvis dette ikke er tilfældet, til enhver person, der er omhandlet i punkt 1" affattes således:</w:t>
      </w:r>
      <w:r>
        <w:rPr>
          <w:sz w:val="21"/>
          <w:rFonts w:ascii="Times-Roman" w:hAnsi="Times-Roman"/>
        </w:rPr>
        <w:t xml:space="preserve"> </w:t>
      </w:r>
      <w:r>
        <w:rPr>
          <w:sz w:val="21"/>
          <w:rFonts w:ascii="Times-Roman" w:hAnsi="Times-Roman"/>
        </w:rPr>
        <w:t xml:space="preserve">"i 1 eller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Efter artikel 6-2 i ordlyden i lov nr. 2020-1266 af 19. oktober 2020 om regulering af den kommercielle udnyttelse af billeder af børn under seksten år på onlineplatforme indsættes artikel 6-3 og 6-4 som følger: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"Artikel 6-4.</w:t>
      </w:r>
      <w:r>
        <w:rPr>
          <w:sz w:val="21"/>
          <w:i/>
          <w:rFonts w:ascii="Times-Italic" w:hAnsi="Times-Italic"/>
        </w:rPr>
        <w:t xml:space="preserve"> </w:t>
      </w:r>
      <w:r>
        <w:rPr>
          <w:sz w:val="21"/>
          <w:rFonts w:ascii="Times-Roman" w:hAnsi="Times-Roman"/>
        </w:rPr>
        <w:t xml:space="preserve">— Når en eksigibel retsafgørelse har påbudt enhver foranstaltning, der har til formål at hindre adgangen til en offentlig onlinekommunikationstjeneste, hvis indhold falder ind under anvendelsesområdet for de overtrædelser, der er omhandlet i artikel 6, stk. l, nr. 7, kan den administrative myndighed, om nødvendigt, anmode de personer, der er nævnt i 1 eller 2 i samme stk. I, i en periode, der ikke overstiger den resterende del af de foranstaltninger, der er beordret ved denne retsafgørelse, om at forhindre offentligheden i at få adgang til en hvilken som helst onlinekommunikationstjeneste, hvis indhold er identisk eller helt eller delvis svarer til indholdet af den service, der er nævnt i ovennævnte beslutning.</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På samme betingelser kan den administrative myndighed også anmode enhver operatør af en søgemaskine, et register eller en anden referencetjeneste om at bringe henvisningerne til webadresser, der giver offentligheden adgang til sådanne onlinekommunikationstjenester, til ophør.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Den administrative myndighed skal ajourføre en liste over de onlinekommunikationstjenester, der er omhandlet i første afsnit i denne artikel, som har været genstand for en anmodning om at blokere adgangen i henhold til samme første afsnit, samt over webadresser, der giver adgang til sådanne tjenester, og skal stille denne liste til rådighed for annoncører, deres agenter og de tjenester, der er omhandlet i skattelovens artikel 299, stk. II, nr. 2.</w:t>
      </w:r>
      <w:r>
        <w:rPr>
          <w:sz w:val="21"/>
          <w:rFonts w:ascii="Times-Roman" w:hAnsi="Times-Roman"/>
        </w:rPr>
        <w:t xml:space="preserve"> </w:t>
      </w:r>
      <w:r>
        <w:rPr>
          <w:sz w:val="21"/>
          <w:rFonts w:ascii="Times-Roman" w:hAnsi="Times-Roman"/>
        </w:rPr>
        <w:t xml:space="preserve">Listen skal omfatte disse tjenester for resten af varigheden af de foranstaltninger, der træffes af den judicielle myndighed.</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Hvis sådanne tjenester ikke blokeres, eller hvis henvisninger til dem ikke fjernes i overensstemmelse med denne artikel, kan den judicielle myndighed henvises til ved midlertidig foranstaltning eller efter anmodning at beordre enhver foranstaltning, der har til formål at stoppe adgangen til indholdet af disse tjenester.</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Bold" w:hAnsi="Times-Bold" w:cs="Times-Bold"/>
          <w:b/>
          <w:bCs/>
          <w:sz w:val="21"/>
          <w:szCs w:val="21"/>
        </w:rPr>
      </w:pPr>
    </w:p>
    <w:p w:rsidR="001048BC" w:rsidRDefault="001048BC" w:rsidP="00F54ECB">
      <w:pPr>
        <w:autoSpaceDE w:val="0"/>
        <w:autoSpaceDN w:val="0"/>
        <w:adjustRightInd w:val="0"/>
        <w:spacing w:after="0" w:line="240" w:lineRule="auto"/>
        <w:jc w:val="both"/>
        <w:rPr>
          <w:rFonts w:ascii="Times-Bold" w:hAnsi="Times-Bold" w:cs="Times-Bold"/>
          <w:b/>
          <w:b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Pr>
        <w:t xml:space="preserve">Artikel 19 </w:t>
      </w:r>
      <w:r>
        <w:rPr>
          <w:b/>
          <w:sz w:val="21"/>
          <w:i/>
          <w:iCs/>
        </w:rPr>
        <w:t xml:space="preserve">a (ny)</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 Afsnit I, kapitel II, i lov nr. 2004-575 af 21. juni 2004 om tillid til den digitale økonomi ændres således: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I artikel 6, stk. 7, fjerde afsnit, foretages følgende ændringer:</w:t>
      </w:r>
    </w:p>
    <w:p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a)</w:t>
      </w:r>
      <w:r>
        <w:rPr>
          <w:sz w:val="21"/>
        </w:rPr>
        <w:t xml:space="preserve"> Første punktum suppleres med ordene:</w:t>
      </w:r>
      <w:r>
        <w:rPr>
          <w:sz w:val="21"/>
          <w:rFonts w:ascii="Times-Roman" w:hAnsi="Times-Roman"/>
        </w:rPr>
        <w:t xml:space="preserve"> </w:t>
      </w:r>
      <w:r>
        <w:rPr>
          <w:sz w:val="21"/>
          <w:rFonts w:ascii="Times-Roman" w:hAnsi="Times-Roman"/>
        </w:rPr>
        <w:t xml:space="preserve">"og offentliggøre de midler, de anvender til bekæmpelse af de ulovlige aktiviteter, der er omhandlet i tredje afsnit i dette 7".</w:t>
      </w:r>
    </w:p>
    <w:p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b)</w:t>
      </w:r>
      <w:r>
        <w:rPr>
          <w:sz w:val="21"/>
        </w:rPr>
        <w:t xml:space="preserve"> efter samme første punktum indsættes følgende punktum:</w:t>
      </w:r>
      <w:r>
        <w:rPr>
          <w:sz w:val="21"/>
          <w:rFonts w:ascii="Times-Roman" w:hAnsi="Times-Roman"/>
        </w:rPr>
        <w:t xml:space="preserve"> </w:t>
      </w:r>
      <w:r>
        <w:rPr>
          <w:sz w:val="21"/>
          <w:rFonts w:ascii="Times-Roman" w:hAnsi="Times-Roman"/>
        </w:rPr>
        <w:t xml:space="preserve">"Disse forpligtelser gælder ikke for de operatører, der er omhandlet i artikel 6-5, første afsnit, med henblik på at bekæmpe udbredelsen af det i samme første afsnit omhandlede indhold.</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iCs/>
        </w:rPr>
        <w:t xml:space="preserve">c)</w:t>
      </w:r>
      <w:r>
        <w:rPr>
          <w:sz w:val="21"/>
        </w:rPr>
        <w:t xml:space="preserve"> Andet punktum ændres således: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 begyndelsen, ordet:</w:t>
      </w:r>
      <w:r>
        <w:rPr>
          <w:sz w:val="21"/>
          <w:rFonts w:ascii="Times-Roman" w:hAnsi="Times-Roman"/>
        </w:rPr>
        <w:t xml:space="preserve"> </w:t>
      </w:r>
      <w:r>
        <w:rPr>
          <w:sz w:val="21"/>
          <w:rFonts w:ascii="Times-Roman" w:hAnsi="Times-Roman"/>
        </w:rPr>
        <w:t xml:space="preserve">"De" affattes således:</w:t>
      </w:r>
      <w:r>
        <w:rPr>
          <w:sz w:val="21"/>
          <w:rFonts w:ascii="Times-Roman" w:hAnsi="Times-Roman"/>
        </w:rPr>
        <w:t xml:space="preserve"> </w:t>
      </w:r>
      <w:r>
        <w:rPr>
          <w:sz w:val="21"/>
          <w:rFonts w:ascii="Times-Roman" w:hAnsi="Times-Roman"/>
        </w:rPr>
        <w:t xml:space="preserve">"De personer, der er nævnt i 1 og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ordene:</w:t>
      </w:r>
      <w:r>
        <w:rPr>
          <w:sz w:val="21"/>
          <w:rFonts w:ascii="Times-Roman" w:hAnsi="Times-Roman"/>
        </w:rPr>
        <w:t xml:space="preserve"> </w:t>
      </w:r>
      <w:r>
        <w:rPr>
          <w:sz w:val="21"/>
          <w:rFonts w:ascii="Times-Roman" w:hAnsi="Times-Roman"/>
        </w:rPr>
        <w:t xml:space="preserve">"på den ene side," udgår.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ordene:</w:t>
      </w:r>
      <w:r>
        <w:rPr>
          <w:sz w:val="21"/>
          <w:rFonts w:ascii="Times-Roman" w:hAnsi="Times-Roman"/>
        </w:rPr>
        <w:t xml:space="preserve"> </w:t>
      </w:r>
      <w:r>
        <w:rPr>
          <w:sz w:val="21"/>
          <w:rFonts w:ascii="Times-Roman" w:hAnsi="Times-Roman"/>
        </w:rPr>
        <w:t xml:space="preserve">"i det foregående stykke" affattes således:</w:t>
      </w:r>
      <w:r>
        <w:rPr>
          <w:sz w:val="21"/>
          <w:rFonts w:ascii="Times-Roman" w:hAnsi="Times-Roman"/>
        </w:rPr>
        <w:t xml:space="preserve"> </w:t>
      </w:r>
      <w:r>
        <w:rPr>
          <w:sz w:val="21"/>
          <w:rFonts w:ascii="Times-Roman" w:hAnsi="Times-Roman"/>
        </w:rPr>
        <w:t xml:space="preserve">"i samme tredje afsnit"</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efter ordet:</w:t>
      </w:r>
      <w:r>
        <w:rPr>
          <w:sz w:val="21"/>
          <w:rFonts w:ascii="Times-Roman" w:hAnsi="Times-Roman"/>
        </w:rPr>
        <w:t xml:space="preserve"> </w:t>
      </w:r>
      <w:r>
        <w:rPr>
          <w:sz w:val="21"/>
          <w:rFonts w:ascii="Times-Roman" w:hAnsi="Times-Roman"/>
        </w:rPr>
        <w:t xml:space="preserve">"tjenesteydelser", slutningen udgår.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Efter ordlyden af artikel 6-2 som følge af ovennævnte lov nr. 2020-1266 af 19. oktober 2020 indsættes følgende artikel 6-5:</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w:t>
      </w:r>
      <w:r>
        <w:rPr>
          <w:sz w:val="21"/>
          <w:i/>
          <w:rFonts w:ascii="Times-Italic" w:hAnsi="Times-Italic"/>
        </w:rPr>
        <w:t xml:space="preserve">Artikel </w:t>
      </w:r>
      <w:r>
        <w:rPr>
          <w:sz w:val="21"/>
          <w:i/>
          <w:rFonts w:ascii="Times-Italic" w:hAnsi="Times-Italic"/>
        </w:rPr>
        <w:t xml:space="preserve">6</w:t>
      </w:r>
      <w:r>
        <w:rPr>
          <w:sz w:val="21"/>
          <w:i/>
          <w:rFonts w:ascii="Times-Italic" w:hAnsi="Times-Italic"/>
        </w:rPr>
        <w:t xml:space="preserve">-5</w:t>
      </w:r>
      <w:r>
        <w:rPr>
          <w:sz w:val="21"/>
          <w:i/>
          <w:rFonts w:ascii="Times-Italic" w:hAnsi="Times-Italic"/>
        </w:rPr>
        <w:t xml:space="preserve">.</w:t>
      </w:r>
      <w:r>
        <w:rPr>
          <w:sz w:val="21"/>
          <w:i/>
          <w:rFonts w:ascii="Times-Italic" w:hAnsi="Times-Italic"/>
        </w:rPr>
        <w:t xml:space="preserve"> </w:t>
      </w:r>
      <w:r>
        <w:rPr>
          <w:sz w:val="21"/>
          <w:rFonts w:ascii="Times-Roman" w:hAnsi="Times-Roman"/>
        </w:rPr>
        <w:t xml:space="preserve">— Operatørerne af onlineplatforme som defineret i artikel L. 111-7 i forbrugerloven, der tilbyder en onlinekommunikationstjeneste til offentligheden baseret på klassificering, henvisning til eller deling af indhold, der er placeret online af tredjeparter, og hvis aktiviteter på fransk område overstiger en grænse for det antal forbindelser, der er fastsat ved dekret eller ej, om de er etableret på fransk område eller ej, skal bidrage til bekæmpelse af offentlig udbredelse af indhold, der er i strid med bestemmelserne i artikel 6, stk. I, nr. 7, tredje afsnit, i denne lov samt i artikel 24, litra a), og i artikel 33, tredje og fjerde afsnit, i loven af 29. juli 1881 om pressefrihed.</w:t>
      </w:r>
      <w:r>
        <w:rPr>
          <w:sz w:val="21"/>
          <w:rFonts w:ascii="Times-Roman" w:hAnsi="Times-Roman"/>
        </w:rPr>
        <w:t xml:space="preserve"> </w:t>
      </w:r>
      <w:r>
        <w:rPr>
          <w:sz w:val="21"/>
          <w:rFonts w:ascii="Times-Roman" w:hAnsi="Times-Roman"/>
        </w:rPr>
        <w:t xml:space="preserve">I den forbindelse:</w:t>
      </w:r>
    </w:p>
    <w:p w:rsidR="00F54ECB" w:rsidRDefault="00F54ECB" w:rsidP="00196BE6">
      <w:pPr>
        <w:spacing w:after="0"/>
        <w:jc w:val="both"/>
        <w:rPr>
          <w:rFonts w:ascii="Times-Roman" w:hAnsi="Times-Roman" w:cs="Times-Roman"/>
          <w:sz w:val="21"/>
          <w:szCs w:val="21"/>
        </w:rPr>
      </w:pPr>
    </w:p>
    <w:p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Skal de gennemføre passende menneskelige og teknologiske procedurer og midler, der gør det muligt for dem:</w:t>
      </w:r>
    </w:p>
    <w:p w:rsidR="001048BC" w:rsidRDefault="001048BC" w:rsidP="00196BE6">
      <w:pPr>
        <w:spacing w:after="0"/>
        <w:jc w:val="both"/>
        <w:rPr>
          <w:rFonts w:ascii="Times-Roman" w:hAnsi="Times-Roman" w:cs="Times-Roman"/>
          <w:sz w:val="21"/>
          <w:szCs w:val="21"/>
        </w:rPr>
      </w:pPr>
    </w:p>
    <w:p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hurtigst muligt at underrette de judicielle eller administrative myndigheder om de foranstaltninger, de har truffet som følge af disse myndigheders påbud om det indhold, der er omhandlet i første afsnit i denne artikel</w:t>
      </w:r>
    </w:p>
    <w:p w:rsidR="004E021A" w:rsidRPr="004E021A" w:rsidRDefault="004E021A" w:rsidP="00196BE6">
      <w:pPr>
        <w:spacing w:after="0"/>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straks at bekræfte en sikker modtagelse af anmodninger fra judicielle eller administrative myndigheder om videregivelse af de oplysninger, de råder over, for at gøre det muligt at identificere brugere, der har uploadet det i samme første afsnit omhandlede indhold, og hurtigst muligt underrette disse myndigheder om opfølgningen på sådanne anmodninger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midlertidigt at opbevare det indhold, som de har fået meddelelse om er i strid med bestemmelserne i første afsnit, og som de har trukket tilbage eller gjort utilgængelige, med henblik på at stille dem til rådighed for den judicielle myndighed med henblik på granskning, efterforskning og retsforfølgning af strafbare handlinger.</w:t>
      </w:r>
      <w:r>
        <w:rPr>
          <w:sz w:val="21"/>
          <w:rFonts w:ascii="Times-Roman" w:hAnsi="Times-Roman"/>
        </w:rPr>
        <w:t xml:space="preserve"> </w:t>
      </w:r>
      <w:r>
        <w:rPr>
          <w:sz w:val="21"/>
          <w:rFonts w:ascii="Times-Roman" w:hAnsi="Times-Roman"/>
        </w:rPr>
        <w:t xml:space="preserve">Varigheden og de nærmere bestemmelser for bevarelsen af dette indhold fastsættes ved dekret fra Statsrådet efter udtalelse fra</w:t>
      </w: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Den nationale Kommission for Informationsteknologi og Frihedsrettigheder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De udpeger et enkelt kontaktpunkt, en fysisk person, der har til opgave at kommunikere med de offentlige myndigheder med henblik på gennemførelsen af bestemmelserne i denne artikel, og til hvem navnlig alle ansøgninger, der indgives af det øverste råd for audiovisuelle anliggender i henhold til artikel 62 i lov nr. 86-1067 af 30. september 1986 om kommunikationsfrihed, kan sendes elektronisk.</w:t>
      </w:r>
      <w:r>
        <w:rPr>
          <w:sz w:val="21"/>
          <w:rFonts w:ascii="Times-Roman" w:hAnsi="Times-Roman"/>
        </w:rPr>
        <w:t xml:space="preserve"> </w:t>
      </w:r>
      <w:r>
        <w:rPr>
          <w:sz w:val="21"/>
          <w:rFonts w:ascii="Times-Roman" w:hAnsi="Times-Roman"/>
        </w:rPr>
        <w:t xml:space="preserve">Dette fælles kontaktpunkt skal navnlig hav ansvaret for at modtage ansøgninger, der indgives til operatøren af den judicielle myndighed efter proceduren i artikel 6, stk. II, i denne lov, med henblik på at sikre, at de omgående behandles.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De skal på en lettilgængelig måde gøre de generelle betingelser for brug af den tjeneste, de tilbyder, tilgængelige for offentligheden. De skal indeholde bestemmelser om forbud mod online offentliggørelse af det indhold, der er omhandlet i første afsnit i denne artikel, de skal klart og præcist beskrive deres mådeholdsordninger med henblik på, hvor det er relevant, at identificere og behandle sådant indhold med nærmere oplysninger om procedurerne og de menneskelige eller automatiserede midler, der anvendes til dette formål, og hvilke foranstaltninger, de gennemfører, der påvirker tilgængeligheden, synligheden og tilgængeligheden af sådant indhold. De skal angive, hvilke foranstaltninger de gennemfører med hensyn til brugere, der har gjort dette indhold tilgængeligt online, samt de nationale og retsmidler, som sådanne brugere har adgang til</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De skal underrette offentligheden om de anvendte midler og de foranstaltninger, der er truffet for at bekæmpe udbredelse, til brugere, der befinder sig på fransk område, om det indhold, der er nævnt i første afsnit ved offentliggørelsen, i overensstemmelse med de procedurer og med intervaller, der er fastlagt af det øverste råd for audiovisuelle anliggender, information og kvantificerede indikatorer defineret af sidstnævnte, navnlig vedrørende behandling af påbud eller anmodninger om oplysninger fra judicielle eller administrative myndigheder, de modtagne anmeldelser og udvælgelsen af interne retsmidler samt, hvor det er relevant, kriterierne for udvælgelse af pålidelige tredjeparter, hvis anmeldelser prioriteres, og samarbejdsvilkårene med disse tredjeparter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De skal gennemføre en lettilgængelig og letanvendelig procedure, der gør det muligt for enhver person ad elektronisk vej at indberette ethvert indhold, der anses for at være i strid med bestemmelserne i første afsnit, for klart at angive dets placering og grundene til, at det menes, at dette indhold bør betragtes som ulovligt, og angive de oplysninger, der gør det muligt at kontakte og rapportere om sanktioner i tilfælde af ukorrekt anmeldelse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De skal gennemføre forholdsmæssige menneskelige og teknologiske procedurer og midler, der gør det muligt for dem: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straks at bekræfte en sikker modtagelse af meddelelser vedrørende det i første afsnit omhandlede indhold med forbehold af de oplysninger, der er nødvendige for at kontakte aktøren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at sikre en passende analyse af disse anmeldelser rettidigt</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at underrette ophavsmanden om de deri trufne foranstaltninger og om de retsmidler, herunder nationale, der er til rådighed, forudsat at de er i besiddelse af de oplysninger, der er nødvendige for at kunne kontakte dem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 hvis det besluttes at fjerne indholdet eller gøre det utilgængeligt på grund af tilsidesættelse af bestemmelserne i første afsnit, at underrette brugeren ved offentliggørelsens oprindelse, forudsat at de oplysninger, der er nødvendige for at kontakte dem, er opfyldt:</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angivelse af grundene til afgørelsen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angivelse af, om denne beslutning er truffet ved hjælp af et automatiseret værktøj</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at informere dem om de retsmidler, herunder nationale, der er til rådighed for dem</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og rapportering om, at der påføres civile og strafferetlige sanktioner for offentliggørelse af ulovligt indhold.</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De skal anvende interne afhjælpende midler, der gør det muligt for: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aktøren, der indgiver en anmeldelse om indholdet, jf. første afsnit, at anfægte den beslutning, som operatøren har truffet som svar på anmeldelsen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brugeren, der er ophavsmand til offentliggørelsen af indhold, som er genstand for en afgørelse som omhandlet i 6, litra d), at anfægte afgørelsen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c) brugeren, der har været genstand for en afgørelse som omhandlet i 8, litra a) eller b), om at anfægte afgørelsen.</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 skal sikre, at disse systemer er lettilgængelige og lette at anvende, og at de giver mulighed for en hensigtsmæssig og hurtig behandling af klager, som ikke udelukkende er baseret på anvendelse af automatiserede midler, og straks underretter brugeren om den trufne afgørelse og straks annullerer de foranstaltninger vedrørende det pågældende indhold eller brugeren, der er iværksat af operatøren, når klagen fører til, at den anfægtede afgørelse ikke er berettiget.</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Når de beslutter at gennemføre sådanne procedurer, skal de i deres anvendelsesbetingelser klart og præcist angive de procedurer, der fører til: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suspension eller i de alvorligste tilfælde opsigelse af kontoen for brugere, der gentagne gange har uploadet indhold i strid med bestemmelserne i første afsnit i denne artikel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suspension af adgangen til anmeldelsesmekanismen for brugere, der gentagne gange har indgivet åbenlyst ubegrundede anmeldelser om det i samme første afsnit omhandlede indhold.</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Når sådanne procedurer gennemføres, gennemføres der en analyse fra sag til sag, der tager sigte på objektivt at karakterisere eksistensen af den adfærd, der er omhandlet i a eller b i denne 8, og som navnlig tager hensyn til: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antallet af ulovligt indhold som omhandlet i første afsnit i denne artikel eller af åbenlyst ubegrundede anmeldelser fra brugeren i det forløbne år, både i absolutte tal og i forhold til det samlede antal indhold eller meddelelser, som vedkommende var ansvarlig for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og alvoren og konsekvenserne af dette misbrug.</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Ved gennemførelsen af disse procedurer fastsættes det i disse procedurer, at de i 8, litra a) og b), omhandlede foranstaltninger skal stå i rimeligt forhold til den pågældende adfærds alvor og, hvis der er tale om suspension, at den skal udtales i et rimeligt tidsrum.</w:t>
      </w:r>
      <w:r>
        <w:rPr>
          <w:sz w:val="21"/>
          <w:rFonts w:ascii="Times-Roman" w:hAnsi="Times-Roman"/>
        </w:rPr>
        <w:t xml:space="preserve"> </w:t>
      </w:r>
      <w:r>
        <w:rPr>
          <w:sz w:val="21"/>
          <w:rFonts w:ascii="Times-Roman" w:hAnsi="Times-Roman"/>
        </w:rPr>
        <w:t xml:space="preserve">Brugeren skal have en advarsel og oplysninger om de retsmidler, herunder nationale, der er til rådighed</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Operatørerne, der er nævnt i denne artikels første afsnit, med aktiviteter på fransk område, der overstiger det antal tilslutninger, der er fastsat ved dekret, og som er højere end dem, der er nævnt i samme første afsnit, skal: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foretage en årlig vurdering af de systemiske risici, der er forbundet med driften og anvendelsen af deres tjenester, for så vidt angår udbredelse af det i første afsnit omhandlede indhold og i forbindelse med overtrædelser af grundlæggende rettigheder, herunder ytringsfrihed.</w:t>
      </w:r>
      <w:r>
        <w:rPr>
          <w:sz w:val="21"/>
          <w:rFonts w:ascii="Times-Roman" w:hAnsi="Times-Roman"/>
        </w:rPr>
        <w:t xml:space="preserve"> </w:t>
      </w:r>
      <w:r>
        <w:rPr>
          <w:sz w:val="21"/>
          <w:rFonts w:ascii="Times-Roman" w:hAnsi="Times-Roman"/>
        </w:rPr>
        <w:t xml:space="preserve">Ved denne vurdering tages der hensyn til disse tjenesters karakteristika, navnlig deres indvirkning på viral spredning eller massespredning af ovennævnte indhold</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gennemføre rimelige, effektive og forholdsmæssige foranstaltninger, navnlig med hensyn til deres tjenesters karakteristika og omfanget og alvoren af de risici, der er konstateret ved afslutningen af den vurdering, der er omhandlet i 9, litra a), med henblik på at mindske risiciene ved formidling af sådant indhold, som navnlig kan vedrøre de procedurer og de menneskelige og teknologiske midler, der anvendes til at påvise, konstatere og behandle sådant indhold, samtidig med at risikoen for uberettiget eliminering i henhold til gældende lovgivning og brugsvilkår undgås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i overensstemmelse med de procedurer og intervaller, der er fastsat af det øverste råd for audiovisuelle anliggender, aflægge rapport til offentligheden om vurderingen af disse systemiske risici og de gennemførte risikobegrænsende foranstaltninger.</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 De i første afsnit nævnte operatører aflægger rapport til det øverste råd for audiovisuelle anliggender om de procedurer og midler, der anvendes til anvendelsen af denne artikel, på de betingelser, der er fastsat i artikel 62 i lov nr. 86-1067 af 30. september 1986.</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IІ.</w:t>
      </w:r>
      <w:r>
        <w:rPr>
          <w:sz w:val="21"/>
          <w:rFonts w:ascii="Times-Roman" w:hAnsi="Times-Roman"/>
        </w:rPr>
        <w:t xml:space="preserve"> </w:t>
      </w:r>
      <w:r>
        <w:rPr>
          <w:sz w:val="21"/>
          <w:rFonts w:ascii="Times-Roman" w:hAnsi="Times-Roman"/>
        </w:rPr>
        <w:t xml:space="preserve">— Lov nr. 86-1067 af 30. september 1986 om kommunikationsfrihed ændres således:</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I artikel 19, stk. 1, tredje afsnit, ordene:</w:t>
      </w:r>
      <w:r>
        <w:rPr>
          <w:sz w:val="21"/>
          <w:rFonts w:ascii="Times-Roman" w:hAnsi="Times-Roman"/>
        </w:rPr>
        <w:t xml:space="preserve"> </w:t>
      </w:r>
      <w:r>
        <w:rPr>
          <w:sz w:val="21"/>
          <w:rFonts w:ascii="Times-Roman" w:hAnsi="Times-Roman"/>
        </w:rPr>
        <w:t xml:space="preserve">"samt videodelingsplatforme" affattes således:</w:t>
      </w:r>
      <w:r>
        <w:rPr>
          <w:sz w:val="21"/>
          <w:rFonts w:ascii="Times-Roman" w:hAnsi="Times-Roman"/>
        </w:rPr>
        <w:t xml:space="preserve"> </w:t>
      </w:r>
      <w:r>
        <w:rPr>
          <w:sz w:val="21"/>
          <w:rFonts w:ascii="Times-Roman" w:hAnsi="Times-Roman"/>
        </w:rPr>
        <w:t xml:space="preserve">", videodelingsplatforme og onlineplatformoperatører som omhandlet i artikel 62".</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I artikel 42-7, første afsnit, henvisningen:</w:t>
      </w:r>
      <w:r>
        <w:rPr>
          <w:sz w:val="21"/>
          <w:rFonts w:ascii="Times-Roman" w:hAnsi="Times-Roman"/>
        </w:rPr>
        <w:t xml:space="preserve"> </w:t>
      </w:r>
      <w:r>
        <w:rPr>
          <w:sz w:val="21"/>
          <w:rFonts w:ascii="Times-Roman" w:hAnsi="Times-Roman"/>
        </w:rPr>
        <w:t xml:space="preserve">b) "og 48-3" affattes således:</w:t>
      </w:r>
      <w:r>
        <w:rPr>
          <w:sz w:val="21"/>
          <w:rFonts w:ascii="Times-Roman" w:hAnsi="Times-Roman"/>
        </w:rPr>
        <w:t xml:space="preserve"> </w:t>
      </w:r>
      <w:r>
        <w:rPr>
          <w:sz w:val="21"/>
          <w:rFonts w:ascii="Times-Roman" w:hAnsi="Times-Roman"/>
        </w:rPr>
        <w:t xml:space="preserve">", 48-3 og 62";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Afsnit IV suppleres med et kapitel III med følgende ordlyd:</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KAPITEL III</w:t>
      </w:r>
    </w:p>
    <w:p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Bestemmelser gældende for onlineplatforme til bekæmpelse af hadefuldt indhold</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Artikel 62.</w:t>
      </w:r>
      <w:r>
        <w:rPr>
          <w:sz w:val="21"/>
          <w:i/>
          <w:rFonts w:ascii="Times-Italic" w:hAnsi="Times-Italic"/>
        </w:rPr>
        <w:t xml:space="preserve"> </w:t>
      </w:r>
      <w:r>
        <w:rPr>
          <w:sz w:val="21"/>
          <w:rFonts w:ascii="Times-Roman" w:hAnsi="Times-Roman"/>
        </w:rPr>
        <w:t xml:space="preserve">— I. – Det øverste råd for audiovisuelle anliggender skal sikre, at de onlineplatformoperatører, der er omhandlet i artikel 6-5, første afsnit, i lov nr. 2004-575 af 21. juni 2004 om tillid til den digitale økonomi, overholder bestemmelserne i samme artikel 6-5, idet der med hensyn til hver af de tjenester, de tilbyder, tages hensyn til tjenestens karakteristika og tilstrækkeligheden af de midler, som operatøren anvender med hensyn til navnlig omfanget og alvoren af de risici, der er forbundet med dens anvendelse i henhold til artikel 6-5 og risikoen for uberettiget eliminering i henhold til gældende lovgivning og dens brugsvilkår.</w:t>
      </w:r>
      <w:r>
        <w:rPr>
          <w:sz w:val="21"/>
          <w:rFonts w:ascii="Times-Roman" w:hAnsi="Times-Roman"/>
        </w:rPr>
        <w:t xml:space="preserve"> </w:t>
      </w:r>
      <w:r>
        <w:rPr>
          <w:sz w:val="21"/>
          <w:rFonts w:ascii="Times-Roman" w:hAnsi="Times-Roman"/>
        </w:rPr>
        <w:t xml:space="preserve">Den skal give disse platformsoperatører retningslinjer for anvendelsen af samme artikel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Den skal, på de betingelser, der er fastsat i artikel 19 i denne lov, indsamle de oplysninger, der er nødvendige for at overvåge deres forpligtelser.</w:t>
      </w:r>
      <w:r>
        <w:rPr>
          <w:sz w:val="21"/>
          <w:rFonts w:ascii="Times-Roman" w:hAnsi="Times-Roman"/>
        </w:rPr>
        <w:t xml:space="preserve"> </w:t>
      </w:r>
      <w:r>
        <w:rPr>
          <w:sz w:val="21"/>
          <w:rFonts w:ascii="Times-Roman" w:hAnsi="Times-Roman"/>
        </w:rPr>
        <w:t xml:space="preserve">Som sådan giver operatørerne, der er nævnt i artikel 6-5, stk. 9, i lov nr. 2004-575 af 21. juni 2004 ovenfor, adgang til principperne for driften af de automatiserede værktøjer, der anvendes til at opfylde disse forpligtelser, til de parametre, der anvendes ved disse værktøjer, de metoder og data, der anvendes til evaluering og forbedring af deres resultater, samt til alle andre oplysninger eller data, der gør det muligt at vurdere deres effektivitet i overensstemmelse med bestemmelserne om beskyttelse af personoplysninger.</w:t>
      </w:r>
      <w:r>
        <w:rPr>
          <w:sz w:val="21"/>
          <w:rFonts w:ascii="Times-Roman" w:hAnsi="Times-Roman"/>
        </w:rPr>
        <w:t xml:space="preserve"> </w:t>
      </w:r>
      <w:r>
        <w:rPr>
          <w:sz w:val="21"/>
          <w:rFonts w:ascii="Times-Roman" w:hAnsi="Times-Roman"/>
        </w:rPr>
        <w:t xml:space="preserve">I overensstemmelse med disse bestemmelser kan det øverste råd for audiovisuelle anliggender sende proportionale anmodninger om adgang via dedikerede programmeringsgrænseflader til alle data, der er relevante for at vurdere deres effektivitet.</w:t>
      </w:r>
      <w:r>
        <w:rPr>
          <w:sz w:val="21"/>
          <w:rFonts w:ascii="Times-Roman" w:hAnsi="Times-Roman"/>
        </w:rPr>
        <w:t xml:space="preserve"> </w:t>
      </w:r>
      <w:r>
        <w:rPr>
          <w:sz w:val="21"/>
          <w:rFonts w:ascii="Times-Roman" w:hAnsi="Times-Roman"/>
        </w:rPr>
        <w:t xml:space="preserve">I overensstemmelse med disse bestemmelser og til samme formål kan det øverste råd for audiovisuelle anliggender gennemføre proportionale metoder til automatisk indsamling af offentligt tilgængelige data for at få adgang til de nødvendige data.</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Det fastlægger de oplysninger og kvantificerede indikatorer, som disse operatører skal offentliggøre i overensstemmelse med artikel 6-5, stk. 4, samt de nærmere bestemmelser og intervaller for denne offentliggørelse.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Det offentliggør hvert år en gennemgang af anvendelsen af bestemmelserne i artikel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IІ.</w:t>
      </w:r>
      <w:r>
        <w:rPr>
          <w:sz w:val="21"/>
          <w:rFonts w:ascii="Times-Roman" w:hAnsi="Times-Roman"/>
        </w:rPr>
        <w:t xml:space="preserve"> </w:t>
      </w:r>
      <w:r>
        <w:rPr>
          <w:sz w:val="21"/>
          <w:rFonts w:ascii="Times-Roman" w:hAnsi="Times-Roman"/>
        </w:rPr>
        <w:t xml:space="preserve">— Det øverste råd for audiovisuelle anliggender kan opfordre operatørerne til ved indgivelse af en formel opfordring og inden for den frist, det har fastsat, at overholde bestemmelserne i artikel 6-5 i lov nr. 2004-575 af 21. juni 2004 ovenfor.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Hvis operatøren ikke efterkommer den modtagne opfordring, kan det øverste råd for audiovisuelle anliggender på de betingelser, der er fastsat i artikel 42-7 i denne lov, udstede en bøde, hvis størrelse skal tage hensyn til den manglende overholdelses grovhed og i givet fald dens gentagne karakter, dog højst 20 mio. EUR eller 6 % af det foregående års samlede årlige omsætning, alt efter hvad der er højest.</w:t>
      </w:r>
      <w:r>
        <w:rPr>
          <w:sz w:val="21"/>
          <w:rFonts w:ascii="Times-Roman" w:hAnsi="Times-Roman"/>
        </w:rPr>
        <w:t xml:space="preserve"> </w:t>
      </w:r>
      <w:r>
        <w:rPr>
          <w:sz w:val="21"/>
          <w:rFonts w:ascii="Times-Roman" w:hAnsi="Times-Roman"/>
        </w:rPr>
        <w:t xml:space="preserve">Hvis den samme overtrædelse i en anden stat har været genstand for en bøde, der beregnes på samme grundlag, tages sanktionens størrelse i betragtning ved fastsættelsen af den sanktion, der pålægges i henhold til dette stykke.</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Uanset andet afsnit i dette II må sanktionsbeløbet ikke overstige 1 % af den samlede årlige omsætning på verdensplan i tilfælde af afslag på videregivelse af de oplysninger, som tilsynsmyndigheden har anmodet om i henhold til I, andet afsnit, eller i tilfælde af videregivelse af urigtige eller vildledende oplysninger.</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Det øverste råd for audiovisuelle anliggender kan offentliggøre forbedringspåbud og sanktioner.</w:t>
      </w:r>
      <w:r>
        <w:rPr>
          <w:sz w:val="21"/>
          <w:rFonts w:ascii="Times-Roman" w:hAnsi="Times-Roman"/>
        </w:rPr>
        <w:t xml:space="preserve"> </w:t>
      </w:r>
      <w:r>
        <w:rPr>
          <w:sz w:val="21"/>
          <w:rFonts w:ascii="Times-Roman" w:hAnsi="Times-Roman"/>
        </w:rPr>
        <w:t xml:space="preserve">Det fastlægger i sin afgørelse nærmere oplysninger om offentliggørelsen, som skal stå i et rimeligt forhold til overtrædelsens grovhed.</w:t>
      </w:r>
      <w:r>
        <w:rPr>
          <w:sz w:val="21"/>
          <w:rFonts w:ascii="Times-Roman" w:hAnsi="Times-Roman"/>
        </w:rPr>
        <w:t xml:space="preserve"> </w:t>
      </w:r>
      <w:r>
        <w:rPr>
          <w:sz w:val="21"/>
          <w:rFonts w:ascii="Times-Roman" w:hAnsi="Times-Roman"/>
        </w:rPr>
        <w:t xml:space="preserve">Det kan også kræve, at beslutningen indføjes i udpegede publikationer, aviser og medier på bekostning af de operatører, der er omfattet af forbedringspåbuddet eller sanktionen.</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Bøder opkræves i form af gæld til staten på andre områder en skat og fast ejendom.</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 Efter ordet:</w:t>
      </w:r>
      <w:r>
        <w:rPr>
          <w:sz w:val="21"/>
          <w:rFonts w:ascii="Times-Roman" w:hAnsi="Times-Roman"/>
        </w:rPr>
        <w:t xml:space="preserve"> </w:t>
      </w:r>
      <w:r>
        <w:rPr>
          <w:sz w:val="21"/>
          <w:rFonts w:ascii="Times-Roman" w:hAnsi="Times-Roman"/>
        </w:rPr>
        <w:t xml:space="preserve">"medfører", artikel 108, i slutningen af første afsnit, lyder som følger:</w:t>
      </w:r>
      <w:r>
        <w:rPr>
          <w:sz w:val="21"/>
          <w:rFonts w:ascii="Times-Roman" w:hAnsi="Times-Roman"/>
        </w:rPr>
        <w:t xml:space="preserve"> </w:t>
      </w:r>
      <w:r>
        <w:rPr>
          <w:sz w:val="21"/>
          <w:rFonts w:ascii="Times-Roman" w:hAnsi="Times-Roman"/>
        </w:rPr>
        <w:t xml:space="preserve">"fra lov nr. om konsolidering af respekten for republikkens principper.</w:t>
      </w:r>
      <w:r>
        <w:rPr>
          <w:sz w:val="21"/>
          <w:rFonts w:ascii="Times-Roman" w:hAnsi="Times-Roman"/>
        </w:rPr>
        <w:t xml:space="preserve"> </w:t>
      </w:r>
      <w:r>
        <w:rPr>
          <w:sz w:val="21"/>
          <w:rFonts w:ascii="Times-Roman" w:hAnsi="Times-Roman"/>
        </w:rPr>
        <w:t xml:space="preserv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w:t>
      </w:r>
      <w:r>
        <w:rPr>
          <w:sz w:val="21"/>
          <w:rFonts w:ascii="Times-Roman" w:hAnsi="Times-Roman"/>
        </w:rPr>
        <w:t xml:space="preserve"> </w:t>
      </w:r>
      <w:r>
        <w:rPr>
          <w:sz w:val="21"/>
          <w:rFonts w:ascii="Times-Roman" w:hAnsi="Times-Roman"/>
        </w:rPr>
        <w:t xml:space="preserve">— Bestemmelserne i denne artikel gælder indtil den 31. december 2023.</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Italic">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dirty" w:grammar="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8D"/>
    <w:rsid w:val="001048BC"/>
    <w:rsid w:val="00134B73"/>
    <w:rsid w:val="00196BE6"/>
    <w:rsid w:val="00317039"/>
    <w:rsid w:val="00485A93"/>
    <w:rsid w:val="004E021A"/>
    <w:rsid w:val="006522CF"/>
    <w:rsid w:val="00694BF3"/>
    <w:rsid w:val="00994AE4"/>
    <w:rsid w:val="009C128D"/>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021A"/>
    <w:pPr>
      <w:ind w:left="720"/>
      <w:contextualSpacing/>
    </w:pPr>
  </w:style>
  <w:style w:type="paragraph" w:styleId="Textedebulles">
    <w:name w:val="Balloon Text"/>
    <w:basedOn w:val="Normal"/>
    <w:link w:val="TextedebullesCar"/>
    <w:uiPriority w:val="99"/>
    <w:semiHidden/>
    <w:unhideWhenUsed/>
    <w:rsid w:val="00F02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2964</Words>
  <Characters>16308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SOURY-LAVERGNE Blaise</cp:lastModifiedBy>
  <cp:revision>6</cp:revision>
  <dcterms:created xsi:type="dcterms:W3CDTF">2021-03-12T11:39:00Z</dcterms:created>
  <dcterms:modified xsi:type="dcterms:W3CDTF">2021-03-12T12:08:00Z</dcterms:modified>
</cp:coreProperties>
</file>